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overflowPunct/>
        <w:topLinePunct w:val="0"/>
        <w:bidi w:val="0"/>
        <w:spacing w:line="576" w:lineRule="exact"/>
        <w:ind w:left="0" w:leftChars="0"/>
        <w:rPr>
          <w:rFonts w:hint="eastAsia"/>
        </w:rPr>
      </w:pPr>
    </w:p>
    <w:p>
      <w:pPr>
        <w:pageBreakBefore w:val="0"/>
        <w:overflowPunct/>
        <w:topLinePunct w:val="0"/>
        <w:bidi w:val="0"/>
        <w:spacing w:line="576" w:lineRule="exact"/>
        <w:ind w:left="0" w:leftChars="0"/>
        <w:rPr>
          <w:rFonts w:hint="eastAsia"/>
        </w:rPr>
      </w:pPr>
    </w:p>
    <w:p>
      <w:pPr>
        <w:pageBreakBefore w:val="0"/>
        <w:overflowPunct/>
        <w:topLinePunct w:val="0"/>
        <w:bidi w:val="0"/>
        <w:spacing w:line="576" w:lineRule="exact"/>
        <w:ind w:left="0" w:leftChars="0"/>
        <w:rPr>
          <w:rFonts w:hint="eastAsia"/>
        </w:rPr>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rPr>
        <w:t>202</w:t>
      </w:r>
      <w:r>
        <w:rPr>
          <w:rFonts w:hint="eastAsia" w:ascii="方正小标宋简体" w:hAnsi="方正小标宋简体" w:eastAsia="方正小标宋简体" w:cs="方正小标宋简体"/>
          <w:b w:val="0"/>
          <w:bCs w:val="0"/>
          <w:sz w:val="44"/>
          <w:szCs w:val="44"/>
          <w:lang w:val="en-US" w:eastAsia="zh-CN"/>
        </w:rPr>
        <w:t>2</w:t>
      </w:r>
      <w:r>
        <w:rPr>
          <w:rFonts w:hint="eastAsia" w:ascii="方正小标宋简体" w:hAnsi="方正小标宋简体" w:eastAsia="方正小标宋简体" w:cs="方正小标宋简体"/>
          <w:b w:val="0"/>
          <w:bCs w:val="0"/>
          <w:sz w:val="44"/>
          <w:szCs w:val="44"/>
        </w:rPr>
        <w:t>年</w:t>
      </w:r>
      <w:r>
        <w:rPr>
          <w:rFonts w:hint="eastAsia" w:ascii="方正小标宋简体" w:hAnsi="方正小标宋简体" w:eastAsia="方正小标宋简体" w:cs="方正小标宋简体"/>
          <w:b w:val="0"/>
          <w:bCs w:val="0"/>
          <w:sz w:val="44"/>
          <w:szCs w:val="44"/>
          <w:lang w:val="en-US" w:eastAsia="zh-CN"/>
        </w:rPr>
        <w:t>城中区</w:t>
      </w:r>
      <w:r>
        <w:rPr>
          <w:rFonts w:hint="eastAsia" w:ascii="方正小标宋简体" w:hAnsi="方正小标宋简体" w:eastAsia="方正小标宋简体" w:cs="方正小标宋简体"/>
          <w:b w:val="0"/>
          <w:bCs w:val="0"/>
          <w:sz w:val="44"/>
          <w:szCs w:val="44"/>
          <w:lang w:eastAsia="zh-CN"/>
        </w:rPr>
        <w:t>财政重点</w:t>
      </w:r>
      <w:r>
        <w:rPr>
          <w:rFonts w:hint="eastAsia" w:ascii="方正小标宋简体" w:hAnsi="方正小标宋简体" w:eastAsia="方正小标宋简体" w:cs="方正小标宋简体"/>
          <w:b w:val="0"/>
          <w:bCs w:val="0"/>
          <w:sz w:val="44"/>
          <w:szCs w:val="44"/>
        </w:rPr>
        <w:t>支出</w:t>
      </w:r>
      <w:r>
        <w:rPr>
          <w:rFonts w:hint="eastAsia" w:ascii="方正小标宋简体" w:hAnsi="方正小标宋简体" w:eastAsia="方正小标宋简体" w:cs="方正小标宋简体"/>
          <w:b w:val="0"/>
          <w:bCs w:val="0"/>
          <w:sz w:val="44"/>
          <w:szCs w:val="44"/>
          <w:lang w:eastAsia="zh-CN"/>
        </w:rPr>
        <w:t>项目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val="0"/>
          <w:bCs w:val="0"/>
          <w:sz w:val="44"/>
          <w:szCs w:val="44"/>
        </w:rPr>
        <w:t>绩效评价总报告</w:t>
      </w:r>
    </w:p>
    <w:p>
      <w:pPr>
        <w:pageBreakBefore w:val="0"/>
        <w:widowControl w:val="0"/>
        <w:kinsoku/>
        <w:wordWrap/>
        <w:overflowPunct/>
        <w:topLinePunct w:val="0"/>
        <w:autoSpaceDE/>
        <w:autoSpaceDN/>
        <w:bidi w:val="0"/>
        <w:adjustRightInd w:val="0"/>
        <w:snapToGrid w:val="0"/>
        <w:spacing w:line="576" w:lineRule="exact"/>
        <w:ind w:left="0" w:leftChars="0"/>
        <w:jc w:val="center"/>
        <w:textAlignment w:val="auto"/>
      </w:pPr>
    </w:p>
    <w:p>
      <w:pPr>
        <w:keepNext w:val="0"/>
        <w:keepLines w:val="0"/>
        <w:pageBreakBefore w:val="0"/>
        <w:widowControl w:val="0"/>
        <w:kinsoku/>
        <w:wordWrap/>
        <w:overflowPunct/>
        <w:topLinePunct w:val="0"/>
        <w:autoSpaceDE/>
        <w:autoSpaceDN/>
        <w:bidi w:val="0"/>
        <w:adjustRightInd w:val="0"/>
        <w:snapToGrid w:val="0"/>
        <w:spacing w:before="0" w:line="576" w:lineRule="exact"/>
        <w:ind w:left="0" w:leftChars="0" w:right="0" w:rightChars="0" w:firstLine="0" w:firstLineChars="0"/>
        <w:jc w:val="center"/>
        <w:textAlignment w:val="auto"/>
        <w:rPr>
          <w:rFonts w:ascii="宋体" w:hAnsi="宋体" w:eastAsia="宋体" w:cstheme="minorBidi"/>
          <w:kern w:val="2"/>
          <w:sz w:val="21"/>
          <w:szCs w:val="22"/>
          <w:lang w:val="en-US" w:eastAsia="zh-CN" w:bidi="ar-SA"/>
        </w:rPr>
      </w:pPr>
      <w:bookmarkStart w:id="0" w:name="_Toc22410"/>
    </w:p>
    <w:p>
      <w:pPr>
        <w:keepNext w:val="0"/>
        <w:keepLines w:val="0"/>
        <w:pageBreakBefore w:val="0"/>
        <w:widowControl w:val="0"/>
        <w:kinsoku/>
        <w:wordWrap/>
        <w:overflowPunct/>
        <w:topLinePunct w:val="0"/>
        <w:autoSpaceDE/>
        <w:autoSpaceDN/>
        <w:bidi w:val="0"/>
        <w:adjustRightInd w:val="0"/>
        <w:snapToGrid w:val="0"/>
        <w:spacing w:before="0" w:line="576" w:lineRule="exact"/>
        <w:ind w:left="0" w:leftChars="0" w:right="0" w:rightChars="0" w:firstLine="0" w:firstLineChars="0"/>
        <w:jc w:val="center"/>
        <w:textAlignment w:val="auto"/>
        <w:rPr>
          <w:rFonts w:ascii="宋体" w:hAnsi="宋体" w:eastAsia="宋体"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before="0" w:line="576" w:lineRule="exact"/>
        <w:ind w:left="0" w:leftChars="0" w:right="0" w:rightChars="0" w:firstLine="0" w:firstLineChars="0"/>
        <w:jc w:val="center"/>
        <w:textAlignment w:val="auto"/>
        <w:rPr>
          <w:rFonts w:ascii="宋体" w:hAnsi="宋体" w:eastAsia="宋体"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before="0" w:line="576" w:lineRule="exact"/>
        <w:ind w:left="0" w:leftChars="0" w:right="0" w:rightChars="0" w:firstLine="0" w:firstLineChars="0"/>
        <w:jc w:val="center"/>
        <w:textAlignment w:val="auto"/>
        <w:rPr>
          <w:rFonts w:ascii="宋体" w:hAnsi="宋体" w:eastAsia="宋体" w:cstheme="minorBidi"/>
          <w:kern w:val="2"/>
          <w:sz w:val="21"/>
          <w:szCs w:val="22"/>
          <w:lang w:val="en-US" w:eastAsia="zh-CN" w:bidi="ar-SA"/>
        </w:rPr>
      </w:pPr>
    </w:p>
    <w:p>
      <w:pPr>
        <w:keepNext w:val="0"/>
        <w:keepLines w:val="0"/>
        <w:pageBreakBefore w:val="0"/>
        <w:widowControl w:val="0"/>
        <w:kinsoku/>
        <w:wordWrap/>
        <w:overflowPunct/>
        <w:topLinePunct w:val="0"/>
        <w:autoSpaceDE/>
        <w:autoSpaceDN/>
        <w:bidi w:val="0"/>
        <w:adjustRightInd w:val="0"/>
        <w:snapToGrid w:val="0"/>
        <w:spacing w:before="0" w:line="576" w:lineRule="exact"/>
        <w:ind w:left="0" w:leftChars="0" w:right="0" w:rightChars="0" w:firstLine="0" w:firstLineChars="0"/>
        <w:jc w:val="center"/>
        <w:textAlignment w:val="auto"/>
        <w:rPr>
          <w:rFonts w:ascii="宋体" w:hAnsi="宋体" w:eastAsia="宋体" w:cstheme="minorBidi"/>
          <w:kern w:val="2"/>
          <w:sz w:val="21"/>
          <w:szCs w:val="22"/>
          <w:lang w:val="en-US" w:eastAsia="zh-CN" w:bidi="ar-SA"/>
        </w:rPr>
      </w:pPr>
    </w:p>
    <w:p>
      <w:pPr>
        <w:pageBreakBefore w:val="0"/>
        <w:overflowPunct/>
        <w:topLinePunct w:val="0"/>
        <w:bidi w:val="0"/>
        <w:spacing w:line="576" w:lineRule="exact"/>
        <w:ind w:left="0" w:leftChars="0"/>
        <w:rPr>
          <w:lang w:val="en-US" w:eastAsia="zh-CN"/>
        </w:rPr>
      </w:pPr>
    </w:p>
    <w:p>
      <w:pPr>
        <w:pageBreakBefore w:val="0"/>
        <w:overflowPunct/>
        <w:topLinePunct w:val="0"/>
        <w:bidi w:val="0"/>
        <w:spacing w:line="576" w:lineRule="exact"/>
        <w:ind w:left="0" w:leftChars="0"/>
        <w:rPr>
          <w:lang w:val="en-US" w:eastAsia="zh-CN"/>
        </w:rPr>
      </w:pPr>
    </w:p>
    <w:p>
      <w:pPr>
        <w:pageBreakBefore w:val="0"/>
        <w:overflowPunct/>
        <w:topLinePunct w:val="0"/>
        <w:bidi w:val="0"/>
        <w:spacing w:line="576" w:lineRule="exact"/>
        <w:ind w:left="0" w:leftChars="0"/>
        <w:rPr>
          <w:lang w:val="en-US" w:eastAsia="zh-CN"/>
        </w:rPr>
      </w:pPr>
    </w:p>
    <w:p>
      <w:pPr>
        <w:pageBreakBefore w:val="0"/>
        <w:overflowPunct/>
        <w:topLinePunct w:val="0"/>
        <w:bidi w:val="0"/>
        <w:spacing w:line="576" w:lineRule="exact"/>
        <w:ind w:left="0" w:leftChars="0"/>
        <w:rPr>
          <w:lang w:val="en-US" w:eastAsia="zh-CN"/>
        </w:rPr>
      </w:pPr>
    </w:p>
    <w:p>
      <w:pPr>
        <w:pageBreakBefore w:val="0"/>
        <w:overflowPunct/>
        <w:topLinePunct w:val="0"/>
        <w:bidi w:val="0"/>
        <w:spacing w:line="576" w:lineRule="exact"/>
        <w:ind w:left="0" w:leftChars="0"/>
        <w:rPr>
          <w:lang w:val="en-US" w:eastAsia="zh-CN"/>
        </w:rPr>
      </w:pPr>
    </w:p>
    <w:p>
      <w:pPr>
        <w:pageBreakBefore w:val="0"/>
        <w:overflowPunct/>
        <w:topLinePunct w:val="0"/>
        <w:bidi w:val="0"/>
        <w:spacing w:line="576" w:lineRule="exact"/>
        <w:ind w:left="0" w:leftChars="0"/>
        <w:rPr>
          <w:rFonts w:hint="eastAsia" w:cs="仿宋_GB2312"/>
          <w:b/>
          <w:bCs/>
          <w:szCs w:val="32"/>
          <w:highlight w:val="none"/>
          <w:lang w:eastAsia="zh-CN"/>
        </w:rPr>
      </w:pPr>
      <w:r>
        <w:rPr>
          <w:rFonts w:hint="eastAsia" w:cs="仿宋_GB2312"/>
          <w:b/>
          <w:bCs/>
          <w:szCs w:val="32"/>
          <w:highlight w:val="none"/>
          <w:lang w:eastAsia="zh-CN"/>
        </w:rPr>
        <w:br w:type="page"/>
      </w:r>
    </w:p>
    <w:p>
      <w:pPr>
        <w:pageBreakBefore w:val="0"/>
        <w:overflowPunct/>
        <w:topLinePunct w:val="0"/>
        <w:bidi w:val="0"/>
        <w:spacing w:line="576" w:lineRule="exact"/>
        <w:ind w:left="0" w:leftChars="0"/>
        <w:rPr>
          <w:rFonts w:ascii="宋体" w:hAnsi="宋体" w:eastAsia="宋体" w:cstheme="minorBidi"/>
          <w:kern w:val="2"/>
          <w:sz w:val="21"/>
          <w:szCs w:val="22"/>
          <w:lang w:val="en-US" w:eastAsia="zh-CN" w:bidi="ar-SA"/>
        </w:rPr>
      </w:pPr>
      <w:r>
        <w:rPr>
          <w:rFonts w:ascii="宋体" w:hAnsi="宋体" w:eastAsia="宋体" w:cstheme="minorBidi"/>
          <w:kern w:val="2"/>
          <w:sz w:val="21"/>
          <w:szCs w:val="22"/>
          <w:lang w:val="en-US" w:eastAsia="zh-CN" w:bidi="ar-SA"/>
        </w:rPr>
        <w:br w:type="page"/>
      </w:r>
    </w:p>
    <w:p>
      <w:pPr>
        <w:keepNext w:val="0"/>
        <w:keepLines w:val="0"/>
        <w:pageBreakBefore w:val="0"/>
        <w:widowControl w:val="0"/>
        <w:kinsoku/>
        <w:wordWrap/>
        <w:overflowPunct/>
        <w:topLinePunct w:val="0"/>
        <w:autoSpaceDE/>
        <w:autoSpaceDN/>
        <w:bidi w:val="0"/>
        <w:adjustRightInd/>
        <w:snapToGrid/>
        <w:spacing w:line="576" w:lineRule="exact"/>
        <w:ind w:left="0" w:leftChars="0"/>
        <w:textAlignment w:val="auto"/>
        <w:rPr>
          <w:lang w:val="en-US" w:eastAsia="zh-CN"/>
        </w:rPr>
      </w:pP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黑体" w:hAnsi="黑体" w:eastAsia="黑体" w:cs="黑体"/>
          <w:b/>
          <w:bCs/>
          <w:color w:val="auto"/>
          <w:sz w:val="44"/>
          <w:szCs w:val="44"/>
          <w:highlight w:val="none"/>
        </w:rPr>
      </w:pPr>
      <w:r>
        <w:rPr>
          <w:rFonts w:hint="eastAsia" w:ascii="黑体" w:hAnsi="黑体" w:eastAsia="黑体" w:cs="黑体"/>
          <w:b/>
          <w:bCs/>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576" w:lineRule="exact"/>
        <w:ind w:left="0" w:leftChars="0"/>
        <w:textAlignment w:val="auto"/>
        <w:rPr>
          <w:rFonts w:hint="eastAsia"/>
        </w:rPr>
      </w:pPr>
    </w:p>
    <w:p>
      <w:pPr>
        <w:pStyle w:val="10"/>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TOC \o "1-3" \h \u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_Toc14764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rPr>
        <w:t>一、</w:t>
      </w:r>
      <w:r>
        <w:rPr>
          <w:rFonts w:hint="default" w:ascii="Times New Roman" w:hAnsi="Times New Roman" w:eastAsia="黑体" w:cs="Times New Roman"/>
          <w:b/>
          <w:bCs/>
          <w:sz w:val="28"/>
          <w:szCs w:val="28"/>
        </w:rPr>
        <w:t>202</w:t>
      </w:r>
      <w:r>
        <w:rPr>
          <w:rFonts w:hint="default" w:ascii="Times New Roman" w:hAnsi="Times New Roman" w:eastAsia="黑体" w:cs="Times New Roman"/>
          <w:b/>
          <w:bCs/>
          <w:sz w:val="28"/>
          <w:szCs w:val="28"/>
          <w:lang w:val="en-US" w:eastAsia="zh-CN"/>
        </w:rPr>
        <w:t>2</w:t>
      </w:r>
      <w:r>
        <w:rPr>
          <w:rFonts w:hint="eastAsia" w:ascii="黑体" w:hAnsi="黑体" w:eastAsia="黑体" w:cs="黑体"/>
          <w:b/>
          <w:bCs/>
          <w:sz w:val="28"/>
          <w:szCs w:val="28"/>
        </w:rPr>
        <w:t>年财政重点支出项目绩效</w:t>
      </w:r>
      <w:r>
        <w:rPr>
          <w:rFonts w:hint="eastAsia" w:ascii="黑体" w:hAnsi="黑体" w:eastAsia="黑体" w:cs="黑体"/>
          <w:b/>
          <w:bCs/>
          <w:sz w:val="28"/>
          <w:szCs w:val="28"/>
          <w:lang w:val="en-US" w:eastAsia="zh-CN"/>
        </w:rPr>
        <w:t>评价</w:t>
      </w:r>
      <w:r>
        <w:rPr>
          <w:rFonts w:hint="eastAsia" w:ascii="黑体" w:hAnsi="黑体" w:eastAsia="黑体" w:cs="黑体"/>
          <w:b/>
          <w:bCs/>
          <w:sz w:val="28"/>
          <w:szCs w:val="28"/>
        </w:rPr>
        <w:t>实施情况</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_Toc14764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1</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_Toc18433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（一）项目选取</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_Toc18433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1</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_Toc32617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（二）绩效评价结论及得分</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_Toc32617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1</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0"/>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_Toc32360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二、项目实施取得的成效</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_Toc32360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4</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_Toc27767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（一）西宁市城中区前营街幼儿园建设项目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_Toc27767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4</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_Toc4374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1.项目实施精准，效益发挥显著</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_Toc4374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4</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_Toc1791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2.严格执行档案管理制度，档案管理规范</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_Toc1791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5</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_Toc10596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（二）西宁市城中区</w:t>
      </w:r>
      <w:r>
        <w:rPr>
          <w:rFonts w:hint="eastAsia" w:ascii="Times New Roman" w:hAnsi="Times New Roman" w:eastAsia="黑体" w:cs="Times New Roman"/>
          <w:b/>
          <w:bCs/>
          <w:kern w:val="2"/>
          <w:sz w:val="28"/>
          <w:szCs w:val="28"/>
          <w:lang w:val="en-US" w:eastAsia="zh-CN" w:bidi="ar-SA"/>
        </w:rPr>
        <w:t>2021</w:t>
      </w:r>
      <w:r>
        <w:rPr>
          <w:rFonts w:hint="eastAsia" w:ascii="黑体" w:hAnsi="黑体" w:eastAsia="黑体" w:cs="黑体"/>
          <w:b/>
          <w:bCs/>
          <w:sz w:val="28"/>
          <w:szCs w:val="28"/>
          <w:lang w:val="en-US" w:eastAsia="zh-CN"/>
        </w:rPr>
        <w:t>年校园保安专项资金项目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_Toc10596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5</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_Toc26500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1.监管有力，政府购买服务效益显著</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_Toc26500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5</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_Toc26666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2.思想教育有效落实，保安人员工作态度端正</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_Toc26666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5</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_Toc29782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（三）西宁市城中区总寨塬智能温室园区道路工程和排水工程项目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_Toc29782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6</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_Toc10216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1.聘请第三方提供全过程质量检验服务</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_Toc10216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6</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lang w:eastAsia="zh-CN"/>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_Toc15776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（四）西宁市城中区福禄巷南社区老年日间照料中心装修及设备购置项目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_Toc15776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6</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_Toc288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1.积极推进社区养老服务设施标准化建设</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_Toc288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7</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_Toc9939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2.丰富社区养老服务内容，提升老人幸福感</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_Toc9939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7</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0"/>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_Toc10898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三、存在的问题</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_Toc10898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7</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_Toc12413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（一）西宁市城中区前营街幼儿园建设项目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_Toc12413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7</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_Toc23605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1.绩效指标编制水平不足</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_Toc23605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7</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_Toc3536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2.存在“边施工边补手续”的现象</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_Toc3536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8</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_Toc21286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3.项目资产交付使用手续尚未办理</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_Toc21286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8</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_Toc19298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4.项目完工、竣工结算审核不及时</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_Toc19298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9</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_Toc17892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5.项目实际投资超项目批复资金8.84%，成本控制较差。</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_Toc17892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10</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_Toc14575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（二）西宁市城中区</w:t>
      </w:r>
      <w:r>
        <w:rPr>
          <w:rFonts w:hint="eastAsia" w:ascii="Times New Roman" w:hAnsi="Times New Roman" w:eastAsia="黑体" w:cs="Times New Roman"/>
          <w:b/>
          <w:bCs/>
          <w:kern w:val="2"/>
          <w:sz w:val="28"/>
          <w:szCs w:val="28"/>
          <w:lang w:val="en-US" w:eastAsia="zh-CN" w:bidi="ar-SA"/>
        </w:rPr>
        <w:t>2021</w:t>
      </w:r>
      <w:r>
        <w:rPr>
          <w:rFonts w:hint="eastAsia" w:ascii="黑体" w:hAnsi="黑体" w:eastAsia="黑体" w:cs="黑体"/>
          <w:b/>
          <w:bCs/>
          <w:sz w:val="28"/>
          <w:szCs w:val="28"/>
          <w:lang w:val="en-US" w:eastAsia="zh-CN"/>
        </w:rPr>
        <w:t>年校园保安专项资金项目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_Toc14575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10</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_Toc21390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1.财政预算测算依据不充分</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_Toc21390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10</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_Toc5664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2.资金支出不合规</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_Toc5664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10</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_Toc3591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3.未制定实施细则、专项资金管理办法</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_Toc3591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11</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_Toc17069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4.保安工资未按预算批复标准足额发放</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_Toc17069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11</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_Toc32287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（三）西宁市城中区总寨塬智能温室园区道路工程和排水工程项目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_Toc32287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11</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_Toc29768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1.项目工程款未按合同约定比例和进度支出，排水工程工程款资金支付方式不明确</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_Toc29768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11</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_Toc14910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2.项目移交管护不及时</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_Toc14910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12</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_Toc18746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3.财务管理和档案管理工作有待加强</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_Toc18746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13</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_Toc11038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4.绩效指标设置不够细化明确</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_Toc11038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13</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_Toc1179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（四）西宁市城中区福禄巷南社区老年日间照料中心装修及设备购置项目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_Toc1179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14</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_Toc14228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1.项目绩效指标设定不够合理准确，不够细化量化</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_Toc14228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14</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_Toc27016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2.室内装修工程完工不及时</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_Toc27016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15</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_Toc6019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3.部分设备采购验收不及时</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_Toc6019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15</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0"/>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_Toc5314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四、相关建议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_Toc5314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16</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_Toc20320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（一）西宁市城中区前营街幼儿园建设项目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_Toc20320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16</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_Toc28833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1.优化预算绩效管理，提高指标编制水平</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_Toc28833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16</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_Toc8444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2.严格建设手续，规范项目建设流程</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_Toc8444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16</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_Toc32064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3.尽早办理项目资产交付使用手续</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_Toc32064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17</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_Toc25450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4.加快项目实施进度，及时进行竣工决算审核</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_Toc25450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17</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_Toc14143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5.严格执行批复的建设规模与资金额度，有效控制项目成本</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_Toc14143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17</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_Toc821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（二）西宁市城中区</w:t>
      </w:r>
      <w:r>
        <w:rPr>
          <w:rFonts w:hint="eastAsia" w:ascii="Times New Roman" w:hAnsi="Times New Roman" w:eastAsia="黑体" w:cs="Times New Roman"/>
          <w:b/>
          <w:bCs/>
          <w:kern w:val="2"/>
          <w:sz w:val="28"/>
          <w:szCs w:val="28"/>
          <w:lang w:val="en-US" w:eastAsia="zh-CN" w:bidi="ar-SA"/>
        </w:rPr>
        <w:t>2021</w:t>
      </w:r>
      <w:r>
        <w:rPr>
          <w:rFonts w:hint="eastAsia" w:ascii="黑体" w:hAnsi="黑体" w:eastAsia="黑体" w:cs="黑体"/>
          <w:b/>
          <w:bCs/>
          <w:sz w:val="28"/>
          <w:szCs w:val="28"/>
          <w:lang w:val="en-US" w:eastAsia="zh-CN"/>
        </w:rPr>
        <w:t>年校园保安专项资金项目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_Toc821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18</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_Toc31140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highlight w:val="none"/>
          <w:lang w:val="en-US" w:eastAsia="zh-CN" w:bidi="ar-SA"/>
        </w:rPr>
        <w:t>1.明确预算申请测算依据，提高资金使用效率</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_Toc31140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18</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_Toc13647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lang w:val="en-US" w:eastAsia="zh-CN" w:bidi="ar-SA"/>
        </w:rPr>
        <w:t>2.合理使用资金，确保资金支出规范</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_Toc13647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18</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_Toc23446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highlight w:val="none"/>
          <w:lang w:val="en-US" w:eastAsia="zh-CN" w:bidi="ar-SA"/>
        </w:rPr>
        <w:t>3.制定专项资金使用办法及实施细则，提高财政资金使用效益</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_Toc23446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19</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_Toc31319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highlight w:val="none"/>
          <w:lang w:val="en-US" w:eastAsia="zh-CN" w:bidi="ar-SA"/>
        </w:rPr>
        <w:t>4.按照预算标准发放工资，资金支出符合既定用途</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_Toc31319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19</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_Toc20739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（三）西宁市城中区总寨塬智能温室园区道路工程和排水工程项目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_Toc20739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20</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_Toc15655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highlight w:val="none"/>
          <w:lang w:val="en-US" w:eastAsia="zh-CN" w:bidi="ar-SA"/>
        </w:rPr>
        <w:t>1.明确工程款支付方式，严格执行合同约定的资金支付进度</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_Toc15655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20</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_Toc19829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sz w:val="28"/>
          <w:szCs w:val="28"/>
          <w:highlight w:val="none"/>
          <w:lang w:val="en-US" w:eastAsia="zh-CN"/>
        </w:rPr>
        <w:t>2.及时交接，明确管护主体责任</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_Toc19829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20</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_Toc28367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sz w:val="28"/>
          <w:szCs w:val="28"/>
          <w:highlight w:val="none"/>
          <w:lang w:val="en-US" w:eastAsia="zh-CN"/>
        </w:rPr>
        <w:t>3.</w:t>
      </w:r>
      <w:r>
        <w:rPr>
          <w:rFonts w:hint="eastAsia" w:ascii="黑体" w:hAnsi="黑体" w:eastAsia="黑体" w:cs="黑体"/>
          <w:b w:val="0"/>
          <w:bCs w:val="0"/>
          <w:sz w:val="28"/>
          <w:szCs w:val="28"/>
          <w:lang w:val="en-US" w:eastAsia="zh-CN"/>
        </w:rPr>
        <w:t>提升财务管理水平，加强档案管理规范性</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_Toc28367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20</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_Toc25253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highlight w:val="none"/>
          <w:lang w:val="en-US" w:eastAsia="zh-CN"/>
        </w:rPr>
        <w:t>4.加强预算绩效管理</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_Toc25253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21</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_Toc21348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（四）西宁市城中区福禄巷南社区老年日间照料中心装修及设备购置项目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_Toc21348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21</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_Toc24717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sz w:val="28"/>
          <w:szCs w:val="28"/>
          <w:highlight w:val="none"/>
          <w:lang w:val="en-US" w:eastAsia="zh-CN"/>
        </w:rPr>
        <w:t>1.加强预算绩效目标管理，提高绩效指标编制水平</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_Toc24717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21</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_Toc3664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kern w:val="2"/>
          <w:sz w:val="28"/>
          <w:szCs w:val="28"/>
          <w:highlight w:val="none"/>
          <w:lang w:val="en-US" w:eastAsia="zh-CN" w:bidi="ar-SA"/>
        </w:rPr>
        <w:t>2.加强项目监管，确保施工进度，及时完成工程施工</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_Toc3664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22</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lang w:eastAsia="zh-CN"/>
        </w:rPr>
        <w:fldChar w:fldCharType="begin"/>
      </w:r>
      <w:r>
        <w:rPr>
          <w:rFonts w:hint="eastAsia" w:ascii="黑体" w:hAnsi="黑体" w:eastAsia="黑体" w:cs="黑体"/>
          <w:b w:val="0"/>
          <w:bCs w:val="0"/>
          <w:sz w:val="28"/>
          <w:szCs w:val="28"/>
          <w:lang w:eastAsia="zh-CN"/>
        </w:rPr>
        <w:instrText xml:space="preserve"> HYPERLINK \l _Toc27391 </w:instrText>
      </w:r>
      <w:r>
        <w:rPr>
          <w:rFonts w:hint="eastAsia" w:ascii="黑体" w:hAnsi="黑体" w:eastAsia="黑体" w:cs="黑体"/>
          <w:b w:val="0"/>
          <w:bCs w:val="0"/>
          <w:sz w:val="28"/>
          <w:szCs w:val="28"/>
          <w:lang w:eastAsia="zh-CN"/>
        </w:rPr>
        <w:fldChar w:fldCharType="separate"/>
      </w:r>
      <w:r>
        <w:rPr>
          <w:rFonts w:hint="eastAsia" w:ascii="黑体" w:hAnsi="黑体" w:eastAsia="黑体" w:cs="黑体"/>
          <w:b w:val="0"/>
          <w:bCs w:val="0"/>
          <w:sz w:val="28"/>
          <w:szCs w:val="28"/>
          <w:highlight w:val="none"/>
          <w:lang w:val="en-US" w:eastAsia="zh-CN"/>
        </w:rPr>
        <w:t>3.严控交货时间，及时开展设备验收</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_Toc27391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22</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_Toc12797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附件一 西宁市城中区</w:t>
      </w:r>
      <w:r>
        <w:rPr>
          <w:rFonts w:hint="eastAsia" w:ascii="Times New Roman" w:hAnsi="Times New Roman" w:eastAsia="黑体" w:cs="Times New Roman"/>
          <w:b/>
          <w:bCs/>
          <w:kern w:val="2"/>
          <w:sz w:val="28"/>
          <w:szCs w:val="28"/>
          <w:lang w:val="en-US" w:eastAsia="zh-CN" w:bidi="ar-SA"/>
        </w:rPr>
        <w:t>2021</w:t>
      </w:r>
      <w:r>
        <w:rPr>
          <w:rFonts w:hint="eastAsia" w:ascii="黑体" w:hAnsi="黑体" w:eastAsia="黑体" w:cs="黑体"/>
          <w:b/>
          <w:bCs/>
          <w:sz w:val="28"/>
          <w:szCs w:val="28"/>
          <w:lang w:val="en-US" w:eastAsia="zh-CN"/>
        </w:rPr>
        <w:t>年校园保安专项资金绩效评价报告</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_Toc12797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23</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_Toc15680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附件二 西宁市城中区福禄巷南社区老年日间照料中心装修及设备购置项目绩效评价报告</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_Toc15680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74</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rPr>
          <w:rFonts w:hint="eastAsia" w:ascii="黑体" w:hAnsi="黑体" w:eastAsia="黑体" w:cs="黑体"/>
          <w:b/>
          <w:bCs/>
          <w:sz w:val="28"/>
          <w:szCs w:val="28"/>
        </w:rPr>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_Toc16108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附件三 西宁市城中区总寨塬智能温室园区道路工程和排水工程绩效评价报告</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_Toc16108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150</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Style w:val="11"/>
        <w:keepNext w:val="0"/>
        <w:keepLines w:val="0"/>
        <w:pageBreakBefore w:val="0"/>
        <w:widowControl w:val="0"/>
        <w:tabs>
          <w:tab w:val="right" w:leader="dot" w:pos="8336"/>
        </w:tabs>
        <w:kinsoku/>
        <w:wordWrap/>
        <w:overflowPunct/>
        <w:topLinePunct w:val="0"/>
        <w:autoSpaceDE/>
        <w:autoSpaceDN/>
        <w:bidi w:val="0"/>
        <w:adjustRightInd w:val="0"/>
        <w:snapToGrid w:val="0"/>
        <w:spacing w:line="576" w:lineRule="exact"/>
        <w:ind w:left="0" w:leftChars="0" w:firstLine="843" w:firstLineChars="300"/>
        <w:textAlignment w:val="auto"/>
      </w:pPr>
      <w:r>
        <w:rPr>
          <w:rFonts w:hint="eastAsia" w:ascii="黑体" w:hAnsi="黑体" w:eastAsia="黑体" w:cs="黑体"/>
          <w:b/>
          <w:bCs/>
          <w:sz w:val="28"/>
          <w:szCs w:val="28"/>
          <w:lang w:eastAsia="zh-CN"/>
        </w:rPr>
        <w:fldChar w:fldCharType="begin"/>
      </w:r>
      <w:r>
        <w:rPr>
          <w:rFonts w:hint="eastAsia" w:ascii="黑体" w:hAnsi="黑体" w:eastAsia="黑体" w:cs="黑体"/>
          <w:b/>
          <w:bCs/>
          <w:sz w:val="28"/>
          <w:szCs w:val="28"/>
          <w:lang w:eastAsia="zh-CN"/>
        </w:rPr>
        <w:instrText xml:space="preserve"> HYPERLINK \l _Toc10565 </w:instrText>
      </w:r>
      <w:r>
        <w:rPr>
          <w:rFonts w:hint="eastAsia" w:ascii="黑体" w:hAnsi="黑体" w:eastAsia="黑体" w:cs="黑体"/>
          <w:b/>
          <w:bCs/>
          <w:sz w:val="28"/>
          <w:szCs w:val="28"/>
          <w:lang w:eastAsia="zh-CN"/>
        </w:rPr>
        <w:fldChar w:fldCharType="separate"/>
      </w:r>
      <w:r>
        <w:rPr>
          <w:rFonts w:hint="eastAsia" w:ascii="黑体" w:hAnsi="黑体" w:eastAsia="黑体" w:cs="黑体"/>
          <w:b/>
          <w:bCs/>
          <w:sz w:val="28"/>
          <w:szCs w:val="28"/>
          <w:lang w:val="en-US" w:eastAsia="zh-CN"/>
        </w:rPr>
        <w:t>附件四 西宁市城中区前营街幼儿园建设项目绩效评价报告</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_Toc10565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241</w:t>
      </w:r>
      <w:r>
        <w:rPr>
          <w:rFonts w:hint="eastAsia" w:ascii="黑体" w:hAnsi="黑体" w:eastAsia="黑体" w:cs="黑体"/>
          <w:b/>
          <w:bCs/>
          <w:sz w:val="28"/>
          <w:szCs w:val="28"/>
        </w:rPr>
        <w:fldChar w:fldCharType="end"/>
      </w:r>
      <w:r>
        <w:rPr>
          <w:rFonts w:hint="eastAsia" w:ascii="黑体" w:hAnsi="黑体" w:eastAsia="黑体" w:cs="黑体"/>
          <w:b/>
          <w:bCs/>
          <w:sz w:val="28"/>
          <w:szCs w:val="28"/>
          <w:lang w:eastAsia="zh-CN"/>
        </w:rPr>
        <w:fldChar w:fldCharType="end"/>
      </w:r>
    </w:p>
    <w:p>
      <w:pPr>
        <w:pageBreakBefore w:val="0"/>
        <w:overflowPunct/>
        <w:topLinePunct w:val="0"/>
        <w:bidi w:val="0"/>
        <w:spacing w:line="576" w:lineRule="exact"/>
        <w:ind w:left="0" w:leftChars="0"/>
        <w:rPr>
          <w:rFonts w:hint="eastAsia" w:ascii="黑体" w:hAnsi="黑体" w:eastAsia="黑体" w:cs="黑体"/>
          <w:b/>
          <w:bCs/>
          <w:sz w:val="28"/>
          <w:szCs w:val="28"/>
          <w:lang w:eastAsia="zh-CN"/>
        </w:rPr>
      </w:pPr>
      <w:r>
        <w:rPr>
          <w:rFonts w:hint="eastAsia" w:ascii="黑体" w:hAnsi="黑体" w:eastAsia="黑体" w:cs="黑体"/>
          <w:bCs/>
          <w:szCs w:val="28"/>
          <w:lang w:eastAsia="zh-CN"/>
        </w:rPr>
        <w:fldChar w:fldCharType="end"/>
      </w:r>
    </w:p>
    <w:p>
      <w:pPr>
        <w:pageBreakBefore w:val="0"/>
        <w:overflowPunct/>
        <w:topLinePunct w:val="0"/>
        <w:bidi w:val="0"/>
        <w:spacing w:line="576" w:lineRule="exact"/>
        <w:ind w:left="0" w:leftChars="0"/>
        <w:rPr>
          <w:rFonts w:hint="eastAsia"/>
          <w:lang w:eastAsia="zh-CN"/>
        </w:rPr>
      </w:pPr>
    </w:p>
    <w:p>
      <w:pPr>
        <w:pageBreakBefore w:val="0"/>
        <w:overflowPunct/>
        <w:topLinePunct w:val="0"/>
        <w:bidi w:val="0"/>
        <w:spacing w:line="576" w:lineRule="exact"/>
        <w:ind w:left="0" w:leftChars="0"/>
        <w:rPr>
          <w:rFonts w:hint="eastAsia" w:ascii="仿宋_GB2312" w:hAnsi="仿宋_GB2312" w:eastAsia="仿宋_GB2312" w:cs="Times New Roman"/>
          <w:kern w:val="2"/>
          <w:sz w:val="32"/>
          <w:szCs w:val="24"/>
          <w:lang w:val="en-US" w:eastAsia="zh-CN" w:bidi="ar-SA"/>
        </w:rPr>
      </w:pPr>
    </w:p>
    <w:p>
      <w:pPr>
        <w:pageBreakBefore w:val="0"/>
        <w:overflowPunct/>
        <w:topLinePunct w:val="0"/>
        <w:bidi w:val="0"/>
        <w:spacing w:line="576" w:lineRule="exact"/>
        <w:ind w:left="0" w:leftChars="0"/>
        <w:rPr>
          <w:rFonts w:hint="eastAsia"/>
          <w:lang w:val="en-US" w:eastAsia="zh-CN"/>
        </w:rPr>
      </w:pPr>
    </w:p>
    <w:p>
      <w:pPr>
        <w:pageBreakBefore w:val="0"/>
        <w:overflowPunct/>
        <w:topLinePunct w:val="0"/>
        <w:bidi w:val="0"/>
        <w:spacing w:line="576" w:lineRule="exact"/>
        <w:ind w:left="0" w:leftChars="0"/>
        <w:rPr>
          <w:rFonts w:hint="eastAsia"/>
          <w:lang w:val="en-US" w:eastAsia="zh-CN"/>
        </w:rPr>
      </w:pPr>
    </w:p>
    <w:p>
      <w:pPr>
        <w:pageBreakBefore w:val="0"/>
        <w:tabs>
          <w:tab w:val="left" w:pos="1629"/>
        </w:tabs>
        <w:overflowPunct/>
        <w:topLinePunct w:val="0"/>
        <w:bidi w:val="0"/>
        <w:spacing w:line="576" w:lineRule="exact"/>
        <w:ind w:left="0" w:leftChars="0"/>
        <w:jc w:val="left"/>
        <w:rPr>
          <w:rFonts w:hint="eastAsia"/>
          <w:lang w:val="en-US" w:eastAsia="zh-CN"/>
        </w:rPr>
        <w:sectPr>
          <w:headerReference r:id="rId5" w:type="default"/>
          <w:footerReference r:id="rId6" w:type="default"/>
          <w:pgSz w:w="11906" w:h="16839"/>
          <w:pgMar w:top="2098" w:right="1474" w:bottom="1984" w:left="1587" w:header="850" w:footer="992" w:gutter="0"/>
          <w:pgNumType w:fmt="numberInDash" w:start="1"/>
          <w:cols w:space="720" w:num="1"/>
        </w:sectPr>
      </w:pPr>
      <w:r>
        <w:rPr>
          <w:rFonts w:hint="eastAsia"/>
          <w:lang w:val="en-US" w:eastAsia="zh-CN"/>
        </w:rPr>
        <w:tab/>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outlineLvl w:val="0"/>
        <w:rPr>
          <w:rFonts w:hint="eastAsia" w:ascii="方正小标宋简体" w:hAnsi="方正小标宋简体" w:eastAsia="方正小标宋简体" w:cs="方正小标宋简体"/>
          <w:b w:val="0"/>
          <w:bCs/>
          <w:sz w:val="44"/>
          <w:szCs w:val="44"/>
          <w:lang w:eastAsia="zh-CN"/>
        </w:rPr>
      </w:pPr>
      <w:bookmarkStart w:id="1" w:name="_Toc25614"/>
      <w:bookmarkStart w:id="2" w:name="_Toc5717"/>
      <w:bookmarkStart w:id="3" w:name="_Toc10142"/>
      <w:r>
        <w:rPr>
          <w:rFonts w:hint="default" w:ascii="Times New Roman" w:hAnsi="Times New Roman" w:eastAsia="方正小标宋简体" w:cs="Times New Roman"/>
          <w:b w:val="0"/>
          <w:bCs/>
          <w:sz w:val="44"/>
          <w:szCs w:val="44"/>
        </w:rPr>
        <w:t>202</w:t>
      </w:r>
      <w:r>
        <w:rPr>
          <w:rFonts w:hint="default" w:ascii="Times New Roman" w:hAnsi="Times New Roman" w:eastAsia="方正小标宋简体" w:cs="Times New Roman"/>
          <w:b w:val="0"/>
          <w:bCs/>
          <w:sz w:val="44"/>
          <w:szCs w:val="44"/>
          <w:lang w:val="en-US" w:eastAsia="zh-CN"/>
        </w:rPr>
        <w:t>2</w:t>
      </w:r>
      <w:r>
        <w:rPr>
          <w:rFonts w:hint="eastAsia" w:ascii="方正小标宋简体" w:hAnsi="方正小标宋简体" w:eastAsia="方正小标宋简体" w:cs="方正小标宋简体"/>
          <w:b w:val="0"/>
          <w:bCs/>
          <w:sz w:val="44"/>
          <w:szCs w:val="44"/>
        </w:rPr>
        <w:t>年</w:t>
      </w:r>
      <w:r>
        <w:rPr>
          <w:rFonts w:hint="eastAsia" w:ascii="方正小标宋简体" w:hAnsi="方正小标宋简体" w:eastAsia="方正小标宋简体" w:cs="方正小标宋简体"/>
          <w:b w:val="0"/>
          <w:bCs/>
          <w:sz w:val="44"/>
          <w:szCs w:val="44"/>
          <w:lang w:val="en-US" w:eastAsia="zh-CN"/>
        </w:rPr>
        <w:t>城中区</w:t>
      </w:r>
      <w:r>
        <w:rPr>
          <w:rFonts w:hint="eastAsia" w:ascii="方正小标宋简体" w:hAnsi="方正小标宋简体" w:eastAsia="方正小标宋简体" w:cs="方正小标宋简体"/>
          <w:b w:val="0"/>
          <w:bCs/>
          <w:sz w:val="44"/>
          <w:szCs w:val="44"/>
        </w:rPr>
        <w:t>财政重点支出</w:t>
      </w:r>
      <w:r>
        <w:rPr>
          <w:rFonts w:hint="eastAsia" w:ascii="方正小标宋简体" w:hAnsi="方正小标宋简体" w:eastAsia="方正小标宋简体" w:cs="方正小标宋简体"/>
          <w:b w:val="0"/>
          <w:bCs/>
          <w:sz w:val="44"/>
          <w:szCs w:val="44"/>
          <w:lang w:eastAsia="zh-CN"/>
        </w:rPr>
        <w:t>项目</w:t>
      </w:r>
      <w:bookmarkEnd w:id="1"/>
      <w:bookmarkEnd w:id="2"/>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outlineLvl w:val="0"/>
        <w:rPr>
          <w:rFonts w:hint="eastAsia" w:ascii="方正小标宋简体" w:hAnsi="方正小标宋简体" w:eastAsia="方正小标宋简体" w:cs="方正小标宋简体"/>
          <w:b w:val="0"/>
          <w:bCs/>
          <w:sz w:val="44"/>
          <w:szCs w:val="44"/>
        </w:rPr>
      </w:pPr>
      <w:bookmarkStart w:id="4" w:name="_Toc27888"/>
      <w:bookmarkStart w:id="5" w:name="_Toc5554"/>
      <w:r>
        <w:rPr>
          <w:rFonts w:hint="eastAsia" w:ascii="方正小标宋简体" w:hAnsi="方正小标宋简体" w:eastAsia="方正小标宋简体" w:cs="方正小标宋简体"/>
          <w:b w:val="0"/>
          <w:bCs/>
          <w:sz w:val="44"/>
          <w:szCs w:val="44"/>
        </w:rPr>
        <w:t>绩效评价</w:t>
      </w:r>
      <w:r>
        <w:rPr>
          <w:rFonts w:hint="eastAsia" w:ascii="方正小标宋简体" w:hAnsi="方正小标宋简体" w:eastAsia="方正小标宋简体" w:cs="方正小标宋简体"/>
          <w:b w:val="0"/>
          <w:bCs/>
          <w:sz w:val="44"/>
          <w:szCs w:val="44"/>
          <w:lang w:val="en-US" w:eastAsia="zh-CN"/>
        </w:rPr>
        <w:t>总</w:t>
      </w:r>
      <w:r>
        <w:rPr>
          <w:rFonts w:hint="eastAsia" w:ascii="方正小标宋简体" w:hAnsi="方正小标宋简体" w:eastAsia="方正小标宋简体" w:cs="方正小标宋简体"/>
          <w:b w:val="0"/>
          <w:bCs/>
          <w:sz w:val="44"/>
          <w:szCs w:val="44"/>
        </w:rPr>
        <w:t>报告</w:t>
      </w:r>
      <w:bookmarkEnd w:id="0"/>
      <w:bookmarkEnd w:id="3"/>
      <w:bookmarkEnd w:id="4"/>
      <w:bookmarkEnd w:id="5"/>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rPr>
      </w:pPr>
    </w:p>
    <w:p>
      <w:pPr>
        <w:keepNext w:val="0"/>
        <w:keepLines w:val="0"/>
        <w:pageBreakBefore w:val="0"/>
        <w:widowControl w:val="0"/>
        <w:kinsoku/>
        <w:wordWrap/>
        <w:overflowPunct/>
        <w:topLinePunct w:val="0"/>
        <w:autoSpaceDE/>
        <w:autoSpaceDN/>
        <w:bidi w:val="0"/>
        <w:spacing w:line="576" w:lineRule="exact"/>
        <w:ind w:left="0" w:leftChars="0"/>
        <w:textAlignment w:val="auto"/>
        <w:rPr>
          <w:rFonts w:hint="eastAsia"/>
          <w:lang w:val="en-US" w:eastAsia="zh-CN"/>
        </w:rPr>
      </w:pPr>
      <w:bookmarkStart w:id="6" w:name="_Toc7385"/>
      <w:r>
        <w:rPr>
          <w:rFonts w:hint="eastAsia"/>
          <w:lang w:val="en-US" w:eastAsia="zh-CN"/>
        </w:rPr>
        <w:t>为加强重点专项资金管理，提高财政资金使用效益，城中区财政局依据《中共中央国务院关于全面实施 预算绩效管理的意见》（中发</w:t>
      </w:r>
      <w:r>
        <w:rPr>
          <w:rFonts w:hint="default" w:ascii="Times New Roman" w:hAnsi="Times New Roman" w:cs="Times New Roman"/>
          <w:lang w:val="en-US" w:eastAsia="zh-CN"/>
        </w:rPr>
        <w:t>〔2018〕34</w:t>
      </w:r>
      <w:r>
        <w:rPr>
          <w:rFonts w:hint="eastAsia"/>
          <w:lang w:val="en-US" w:eastAsia="zh-CN"/>
        </w:rPr>
        <w:t>号）和《中共青海省委青海省人民政府关于全面实施预算绩效管理的实施意见》（青发</w:t>
      </w:r>
      <w:r>
        <w:rPr>
          <w:rFonts w:hint="eastAsia" w:ascii="Times New Roman" w:hAnsi="Times New Roman" w:cs="Times New Roman"/>
          <w:lang w:val="en-US" w:eastAsia="zh-CN"/>
        </w:rPr>
        <w:t>〔2019〕11</w:t>
      </w:r>
      <w:r>
        <w:rPr>
          <w:rFonts w:hint="eastAsia"/>
          <w:lang w:val="en-US" w:eastAsia="zh-CN"/>
        </w:rPr>
        <w:t>号）文件精神，选取城中区本级财政</w:t>
      </w:r>
      <w:r>
        <w:rPr>
          <w:rFonts w:hint="eastAsia" w:ascii="Times New Roman" w:hAnsi="Times New Roman" w:cs="Times New Roman"/>
          <w:lang w:val="en-US" w:eastAsia="zh-CN"/>
        </w:rPr>
        <w:t>4</w:t>
      </w:r>
      <w:r>
        <w:rPr>
          <w:rFonts w:hint="eastAsia"/>
          <w:lang w:val="en-US" w:eastAsia="zh-CN"/>
        </w:rPr>
        <w:t>个重点支出项目开展了绩效评价。绩效评价具体情况汇报如下。</w:t>
      </w:r>
      <w:bookmarkEnd w:id="6"/>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left"/>
        <w:textAlignment w:val="auto"/>
        <w:outlineLvl w:val="0"/>
        <w:rPr>
          <w:rFonts w:hint="eastAsia" w:ascii="黑体" w:hAnsi="黑体" w:eastAsia="黑体" w:cs="黑体"/>
          <w:b/>
          <w:sz w:val="32"/>
          <w:szCs w:val="32"/>
        </w:rPr>
      </w:pPr>
      <w:bookmarkStart w:id="7" w:name="_Toc19037"/>
      <w:bookmarkStart w:id="8" w:name="_Toc29823"/>
      <w:bookmarkStart w:id="9" w:name="_Toc20086"/>
      <w:bookmarkStart w:id="10" w:name="_Toc14764"/>
      <w:bookmarkStart w:id="11" w:name="_Toc8653"/>
      <w:r>
        <w:rPr>
          <w:rFonts w:hint="eastAsia" w:ascii="黑体" w:hAnsi="黑体" w:eastAsia="黑体" w:cs="黑体"/>
          <w:b/>
          <w:sz w:val="32"/>
          <w:szCs w:val="32"/>
        </w:rPr>
        <w:t>一、202</w:t>
      </w:r>
      <w:r>
        <w:rPr>
          <w:rFonts w:hint="eastAsia" w:ascii="黑体" w:hAnsi="黑体" w:eastAsia="黑体" w:cs="黑体"/>
          <w:b/>
          <w:sz w:val="32"/>
          <w:szCs w:val="32"/>
          <w:lang w:val="en-US" w:eastAsia="zh-CN"/>
        </w:rPr>
        <w:t>2</w:t>
      </w:r>
      <w:r>
        <w:rPr>
          <w:rFonts w:hint="eastAsia" w:ascii="黑体" w:hAnsi="黑体" w:eastAsia="黑体" w:cs="黑体"/>
          <w:b/>
          <w:sz w:val="32"/>
          <w:szCs w:val="32"/>
        </w:rPr>
        <w:t>年财政重点支出项目绩效</w:t>
      </w:r>
      <w:r>
        <w:rPr>
          <w:rFonts w:hint="eastAsia" w:ascii="黑体" w:hAnsi="黑体" w:eastAsia="黑体" w:cs="黑体"/>
          <w:b/>
          <w:sz w:val="32"/>
          <w:szCs w:val="32"/>
          <w:lang w:val="en-US" w:eastAsia="zh-CN"/>
        </w:rPr>
        <w:t>评价</w:t>
      </w:r>
      <w:r>
        <w:rPr>
          <w:rFonts w:hint="eastAsia" w:ascii="黑体" w:hAnsi="黑体" w:eastAsia="黑体" w:cs="黑体"/>
          <w:b/>
          <w:sz w:val="32"/>
          <w:szCs w:val="32"/>
        </w:rPr>
        <w:t>实施情况</w:t>
      </w:r>
      <w:bookmarkEnd w:id="7"/>
      <w:bookmarkEnd w:id="8"/>
      <w:bookmarkEnd w:id="9"/>
      <w:bookmarkEnd w:id="10"/>
      <w:bookmarkEnd w:id="11"/>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eastAsia" w:ascii="楷体" w:hAnsi="楷体" w:eastAsia="楷体" w:cs="楷体"/>
          <w:b/>
          <w:bCs/>
          <w:color w:val="000000" w:themeColor="text1"/>
          <w:sz w:val="32"/>
          <w:szCs w:val="24"/>
          <w:lang w:val="en-US" w:eastAsia="zh-CN"/>
          <w14:textFill>
            <w14:solidFill>
              <w14:schemeClr w14:val="tx1"/>
            </w14:solidFill>
          </w14:textFill>
        </w:rPr>
      </w:pPr>
      <w:bookmarkStart w:id="12" w:name="_Toc18379"/>
      <w:bookmarkStart w:id="13" w:name="_Toc9134"/>
      <w:bookmarkStart w:id="14" w:name="_Toc16582"/>
      <w:bookmarkStart w:id="15" w:name="_Toc18433"/>
      <w:bookmarkStart w:id="16" w:name="_Toc13134"/>
      <w:r>
        <w:rPr>
          <w:rFonts w:hint="eastAsia" w:ascii="楷体" w:hAnsi="楷体" w:eastAsia="楷体" w:cs="楷体"/>
          <w:b/>
          <w:bCs/>
          <w:color w:val="000000" w:themeColor="text1"/>
          <w:sz w:val="32"/>
          <w:szCs w:val="24"/>
          <w:lang w:val="en-US" w:eastAsia="zh-CN"/>
          <w14:textFill>
            <w14:solidFill>
              <w14:schemeClr w14:val="tx1"/>
            </w14:solidFill>
          </w14:textFill>
        </w:rPr>
        <w:t>（一）项目选取</w:t>
      </w:r>
      <w:bookmarkEnd w:id="12"/>
      <w:bookmarkEnd w:id="13"/>
      <w:bookmarkEnd w:id="14"/>
      <w:bookmarkEnd w:id="15"/>
      <w:bookmarkEnd w:id="16"/>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Times New Roman"/>
          <w:color w:val="000000" w:themeColor="text1"/>
          <w:sz w:val="32"/>
          <w:szCs w:val="24"/>
          <w:lang w:val="en-US" w:eastAsia="zh-CN"/>
          <w14:textFill>
            <w14:solidFill>
              <w14:schemeClr w14:val="tx1"/>
            </w14:solidFill>
          </w14:textFill>
        </w:rPr>
      </w:pPr>
      <w:r>
        <w:rPr>
          <w:rFonts w:hint="eastAsia" w:ascii="仿宋_GB2312" w:hAnsi="仿宋_GB2312" w:cs="Times New Roman"/>
          <w:color w:val="000000" w:themeColor="text1"/>
          <w:sz w:val="32"/>
          <w:szCs w:val="24"/>
          <w:lang w:val="en-US" w:eastAsia="zh-CN"/>
          <w14:textFill>
            <w14:solidFill>
              <w14:schemeClr w14:val="tx1"/>
            </w14:solidFill>
          </w14:textFill>
        </w:rPr>
        <w:t>本次</w:t>
      </w:r>
      <w:r>
        <w:rPr>
          <w:rFonts w:hint="eastAsia" w:ascii="Times New Roman" w:hAnsi="Times New Roman" w:cs="Times New Roman"/>
          <w:lang w:val="en-US" w:eastAsia="zh-CN"/>
        </w:rPr>
        <w:t>2022</w:t>
      </w: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年财政重点支出项目绩效评价</w:t>
      </w:r>
      <w:r>
        <w:rPr>
          <w:rFonts w:hint="eastAsia" w:ascii="仿宋_GB2312" w:hAnsi="仿宋_GB2312" w:cs="Times New Roman"/>
          <w:color w:val="000000" w:themeColor="text1"/>
          <w:sz w:val="32"/>
          <w:szCs w:val="24"/>
          <w:lang w:val="en-US" w:eastAsia="zh-CN"/>
          <w14:textFill>
            <w14:solidFill>
              <w14:schemeClr w14:val="tx1"/>
            </w14:solidFill>
          </w14:textFill>
        </w:rPr>
        <w:t>选取</w:t>
      </w: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西宁市城中区前营街幼儿园建设项目、西宁市城中</w:t>
      </w:r>
      <w:r>
        <w:rPr>
          <w:rFonts w:hint="eastAsia" w:ascii="Times New Roman" w:hAnsi="Times New Roman" w:cs="Times New Roman"/>
          <w:lang w:val="en-US" w:eastAsia="zh-CN"/>
        </w:rPr>
        <w:t>区2021年</w:t>
      </w: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校园保安专项资金项目、西宁市城中区总寨塬智能温室园区道路工程和排水工程项目、西宁市城中区福禄巷南社区老年日间照料中心装修及设备购置项目</w:t>
      </w:r>
      <w:r>
        <w:rPr>
          <w:rFonts w:hint="eastAsia" w:ascii="Times New Roman" w:hAnsi="Times New Roman" w:cs="Times New Roman"/>
          <w:lang w:val="en-US" w:eastAsia="zh-CN"/>
        </w:rPr>
        <w:t>4个</w:t>
      </w:r>
      <w:r>
        <w:rPr>
          <w:rFonts w:hint="eastAsia" w:ascii="仿宋_GB2312" w:hAnsi="仿宋_GB2312" w:cs="Times New Roman"/>
          <w:color w:val="000000" w:themeColor="text1"/>
          <w:sz w:val="32"/>
          <w:szCs w:val="24"/>
          <w:lang w:val="en-US" w:eastAsia="zh-CN"/>
          <w14:textFill>
            <w14:solidFill>
              <w14:schemeClr w14:val="tx1"/>
            </w14:solidFill>
          </w14:textFill>
        </w:rPr>
        <w:t>项目，涉及主管单位分别为教育局、民政局、西宁市城中区农业农村和乡村振兴局。</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eastAsia" w:ascii="楷体" w:hAnsi="楷体" w:eastAsia="楷体" w:cs="楷体"/>
          <w:b/>
          <w:bCs/>
          <w:color w:val="000000" w:themeColor="text1"/>
          <w:sz w:val="32"/>
          <w:szCs w:val="24"/>
          <w:lang w:val="en-US" w:eastAsia="zh-CN"/>
          <w14:textFill>
            <w14:solidFill>
              <w14:schemeClr w14:val="tx1"/>
            </w14:solidFill>
          </w14:textFill>
        </w:rPr>
      </w:pPr>
      <w:bookmarkStart w:id="17" w:name="_Toc5025"/>
      <w:bookmarkStart w:id="18" w:name="_Toc1334"/>
      <w:bookmarkStart w:id="19" w:name="_Toc31897"/>
      <w:bookmarkStart w:id="20" w:name="_Toc32617"/>
      <w:bookmarkStart w:id="21" w:name="_Toc11297"/>
      <w:r>
        <w:rPr>
          <w:rFonts w:hint="eastAsia" w:ascii="楷体" w:hAnsi="楷体" w:eastAsia="楷体" w:cs="楷体"/>
          <w:b/>
          <w:bCs/>
          <w:color w:val="000000" w:themeColor="text1"/>
          <w:sz w:val="32"/>
          <w:szCs w:val="24"/>
          <w:lang w:val="en-US" w:eastAsia="zh-CN"/>
          <w14:textFill>
            <w14:solidFill>
              <w14:schemeClr w14:val="tx1"/>
            </w14:solidFill>
          </w14:textFill>
        </w:rPr>
        <w:t>（二）绩效评价结论及得分</w:t>
      </w:r>
      <w:bookmarkEnd w:id="17"/>
      <w:bookmarkEnd w:id="18"/>
      <w:bookmarkEnd w:id="19"/>
      <w:bookmarkEnd w:id="20"/>
      <w:bookmarkEnd w:id="21"/>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Times New Roman"/>
          <w:color w:val="000000" w:themeColor="text1"/>
          <w:sz w:val="32"/>
          <w:szCs w:val="24"/>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本次评价结果等级为“优”的项目</w:t>
      </w:r>
      <w:r>
        <w:rPr>
          <w:rFonts w:hint="eastAsia" w:ascii="Times New Roman" w:hAnsi="Times New Roman" w:cs="Times New Roman"/>
          <w:lang w:val="en-US" w:eastAsia="zh-CN"/>
        </w:rPr>
        <w:t>1个，评价结果等级为“良”的项目3个。其中：西宁市城中区前营街幼儿园建设项目综合评价得分86.85分，评价等级为良；西宁市城中区2021年校园保安专项资金项目综合评价得分为86.50分，绩</w:t>
      </w: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效评价结果等级为良；西宁市城中区总寨塬智能温室园区道路工程和排水工程项目项目综合评价得分为</w:t>
      </w:r>
      <w:r>
        <w:rPr>
          <w:rFonts w:hint="eastAsia" w:ascii="Times New Roman" w:hAnsi="Times New Roman" w:cs="Times New Roman"/>
          <w:lang w:val="en-US" w:eastAsia="zh-CN"/>
        </w:rPr>
        <w:t>84分，评价等级良；西宁市城中区福禄巷南社区老年日间照料中心装修及设备购置项目综合评价得分为94.33分，评级等级为优。城中区本级财政4个</w:t>
      </w: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重点支出项目绩效评价情况分别如下：</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default" w:ascii="仿宋_GB2312" w:hAnsi="仿宋_GB2312" w:eastAsia="仿宋_GB2312" w:cs="Times New Roman"/>
          <w:color w:val="000000" w:themeColor="text1"/>
          <w:sz w:val="32"/>
          <w:szCs w:val="24"/>
          <w:lang w:val="en-US" w:eastAsia="zh-CN"/>
          <w14:textFill>
            <w14:solidFill>
              <w14:schemeClr w14:val="tx1"/>
            </w14:solidFill>
          </w14:textFill>
        </w:rPr>
      </w:pPr>
      <w:r>
        <w:rPr>
          <w:rFonts w:hint="eastAsia" w:ascii="仿宋_GB2312" w:hAnsi="仿宋_GB2312" w:cs="Times New Roman"/>
          <w:b/>
          <w:bCs/>
          <w:color w:val="000000" w:themeColor="text1"/>
          <w:sz w:val="32"/>
          <w:szCs w:val="24"/>
          <w:lang w:val="en-US" w:eastAsia="zh-CN"/>
          <w14:textFill>
            <w14:solidFill>
              <w14:schemeClr w14:val="tx1"/>
            </w14:solidFill>
          </w14:textFill>
        </w:rPr>
        <w:t>1.</w:t>
      </w:r>
      <w:r>
        <w:rPr>
          <w:rFonts w:hint="eastAsia" w:ascii="仿宋_GB2312" w:hAnsi="仿宋_GB2312" w:eastAsia="仿宋_GB2312" w:cs="Times New Roman"/>
          <w:b/>
          <w:bCs/>
          <w:color w:val="000000" w:themeColor="text1"/>
          <w:sz w:val="32"/>
          <w:szCs w:val="24"/>
          <w:lang w:val="en-US" w:eastAsia="zh-CN"/>
          <w14:textFill>
            <w14:solidFill>
              <w14:schemeClr w14:val="tx1"/>
            </w14:solidFill>
          </w14:textFill>
        </w:rPr>
        <w:t>西宁市城中区前营街幼儿园建设项目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仿宋_GB2312" w:hAnsi="仿宋_GB2312" w:eastAsia="仿宋_GB2312" w:cs="仿宋_GB2312"/>
          <w:b w:val="0"/>
          <w:bCs w:val="0"/>
          <w:color w:val="auto"/>
          <w:highlight w:val="none"/>
          <w:lang w:val="en-US" w:eastAsia="zh-CN"/>
        </w:rPr>
      </w:pPr>
      <w:r>
        <w:rPr>
          <w:rFonts w:hint="eastAsia" w:ascii="仿宋_GB2312" w:hAnsi="仿宋_GB2312" w:eastAsia="仿宋_GB2312" w:cs="仿宋_GB2312"/>
          <w:b w:val="0"/>
          <w:bCs w:val="0"/>
          <w:color w:val="auto"/>
          <w:highlight w:val="none"/>
          <w:lang w:val="en-US" w:eastAsia="zh-CN"/>
        </w:rPr>
        <w:t>西宁市城中区前营街幼儿园建设项目立项依据充分、程序规范，项目相关制度健全，项目招投标、合同、管理规范，项目工程计划建设内容按照预期目标已全部完成，资金使用效益显著。西宁市城中区前营街幼儿园的投入运营切实改善了西宁市城中区学前教育整体规模不足、幼儿园布局不合理的现状，保障了儿童均能就近接受高质量的学前教育，提高了学前教育质量和水平，在校教师及家长对项目实施效果的满意度和认可度较高。但仍存在以下问题：一是绩效指标编制水平不足；二是存在“边施工边补手续”的现象；三是项目资产交付使用手续尚未办理；四是项目完工、竣工结算审核不及时；五是项目实际投资超项目批复资</w:t>
      </w:r>
      <w:r>
        <w:rPr>
          <w:rFonts w:hint="eastAsia" w:ascii="Times New Roman" w:hAnsi="Times New Roman" w:cs="Times New Roman"/>
          <w:lang w:val="en-US" w:eastAsia="zh-CN"/>
        </w:rPr>
        <w:t>金8.84%，</w:t>
      </w:r>
      <w:r>
        <w:rPr>
          <w:rFonts w:hint="eastAsia" w:ascii="仿宋_GB2312" w:hAnsi="仿宋_GB2312" w:eastAsia="仿宋_GB2312" w:cs="仿宋_GB2312"/>
          <w:b w:val="0"/>
          <w:bCs w:val="0"/>
          <w:color w:val="auto"/>
          <w:highlight w:val="none"/>
          <w:lang w:val="en-US" w:eastAsia="zh-CN"/>
        </w:rPr>
        <w:t>成本控制较差。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sz w:val="32"/>
          <w:szCs w:val="24"/>
          <w:lang w:val="en-US" w:eastAsia="zh-CN"/>
          <w14:textFill>
            <w14:solidFill>
              <w14:schemeClr w14:val="tx1"/>
            </w14:solidFill>
          </w14:textFill>
        </w:rPr>
      </w:pPr>
      <w:r>
        <w:rPr>
          <w:rFonts w:hint="eastAsia" w:ascii="仿宋_GB2312" w:hAnsi="仿宋_GB2312" w:eastAsia="仿宋_GB2312" w:cs="Times New Roman"/>
          <w:b/>
          <w:bCs/>
          <w:color w:val="000000" w:themeColor="text1"/>
          <w:sz w:val="32"/>
          <w:szCs w:val="24"/>
          <w:lang w:val="en-US" w:eastAsia="zh-CN"/>
          <w14:textFill>
            <w14:solidFill>
              <w14:schemeClr w14:val="tx1"/>
            </w14:solidFill>
          </w14:textFill>
        </w:rPr>
        <w:t>2.西宁市城中区2021年校园保安专项资金项目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Times New Roman"/>
          <w:color w:val="000000" w:themeColor="text1"/>
          <w:sz w:val="32"/>
          <w:szCs w:val="24"/>
          <w:lang w:val="en-US" w:eastAsia="zh-CN"/>
          <w14:textFill>
            <w14:solidFill>
              <w14:schemeClr w14:val="tx1"/>
            </w14:solidFill>
          </w14:textFill>
        </w:rPr>
      </w:pPr>
      <w:r>
        <w:rPr>
          <w:rFonts w:hint="eastAsia" w:ascii="Times New Roman" w:hAnsi="Times New Roman" w:cs="Times New Roman"/>
          <w:lang w:val="en-US" w:eastAsia="zh-CN"/>
        </w:rPr>
        <w:t>2021年</w:t>
      </w: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校园保安专项资金申请、设立程序合规，项目绩效目标与实际工作内容具有相关性，绩效指标与目标任务相对应，项目实施管理制度健全，项目的实施有效保障了城中区校园安全，减轻了学校资金压力，维持了学校学习秩序、保障了学校正常工作，提升了校园安全水平；但仍存在预算测算依据不充分、部分资金使用不合规、主管单位未制定保安服务实施细则等问题。</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sz w:val="32"/>
          <w:szCs w:val="24"/>
          <w:lang w:val="en-US" w:eastAsia="zh-CN"/>
          <w14:textFill>
            <w14:solidFill>
              <w14:schemeClr w14:val="tx1"/>
            </w14:solidFill>
          </w14:textFill>
        </w:rPr>
      </w:pPr>
      <w:r>
        <w:rPr>
          <w:rFonts w:hint="eastAsia" w:ascii="仿宋_GB2312" w:hAnsi="仿宋_GB2312" w:eastAsia="仿宋_GB2312" w:cs="Times New Roman"/>
          <w:b/>
          <w:bCs/>
          <w:color w:val="000000" w:themeColor="text1"/>
          <w:sz w:val="32"/>
          <w:szCs w:val="24"/>
          <w:lang w:val="en-US" w:eastAsia="zh-CN"/>
          <w14:textFill>
            <w14:solidFill>
              <w14:schemeClr w14:val="tx1"/>
            </w14:solidFill>
          </w14:textFill>
        </w:rPr>
        <w:t>3.西宁市城中区总寨塬智能温室园区道路工程和排水工程项目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cs="Times New Roman"/>
          <w:b w:val="0"/>
          <w:bCs w:val="0"/>
          <w:color w:val="auto"/>
          <w:lang w:val="en-US" w:eastAsia="zh-CN"/>
        </w:rPr>
      </w:pPr>
      <w:r>
        <w:rPr>
          <w:rFonts w:hint="eastAsia" w:cs="仿宋_GB2312"/>
          <w:b w:val="0"/>
          <w:bCs w:val="0"/>
          <w:color w:val="auto"/>
          <w:sz w:val="32"/>
          <w:szCs w:val="32"/>
          <w:highlight w:val="none"/>
          <w:lang w:val="en-US" w:eastAsia="zh-CN"/>
        </w:rPr>
        <w:t>城中区总寨塬智能温室园区道路工程和排水工程项目</w:t>
      </w:r>
      <w:r>
        <w:rPr>
          <w:rFonts w:hint="eastAsia"/>
          <w:b w:val="0"/>
          <w:bCs w:val="0"/>
          <w:color w:val="auto"/>
          <w:highlight w:val="none"/>
          <w:lang w:val="en-US" w:eastAsia="zh-CN"/>
        </w:rPr>
        <w:t>立项依据充分、程序规范，项目相关制度健全，项目招投标、管理规范，项目工程计划建设内容按照预期目标已全部完成，资金使用效益显著。</w:t>
      </w:r>
      <w:r>
        <w:rPr>
          <w:rFonts w:hint="eastAsia" w:cs="仿宋_GB2312"/>
          <w:b w:val="0"/>
          <w:bCs w:val="0"/>
          <w:color w:val="auto"/>
          <w:sz w:val="32"/>
          <w:szCs w:val="32"/>
          <w:highlight w:val="none"/>
          <w:lang w:val="en-US" w:eastAsia="zh-CN"/>
        </w:rPr>
        <w:t>城中区总寨塬智能温室园区道路工程和排水工程项目</w:t>
      </w:r>
      <w:r>
        <w:rPr>
          <w:rFonts w:hint="eastAsia" w:ascii="仿宋_GB2312" w:hAnsi="仿宋_GB2312" w:eastAsia="仿宋_GB2312" w:cs="仿宋_GB2312"/>
          <w:b w:val="0"/>
          <w:bCs w:val="0"/>
          <w:color w:val="auto"/>
          <w:sz w:val="32"/>
          <w:szCs w:val="32"/>
          <w:highlight w:val="none"/>
          <w:lang w:val="en-US" w:eastAsia="zh-CN"/>
        </w:rPr>
        <w:t>实施</w:t>
      </w:r>
      <w:r>
        <w:rPr>
          <w:rFonts w:hint="eastAsia" w:cs="仿宋_GB2312"/>
          <w:b w:val="0"/>
          <w:bCs w:val="0"/>
          <w:color w:val="auto"/>
          <w:sz w:val="32"/>
          <w:szCs w:val="32"/>
          <w:highlight w:val="none"/>
          <w:lang w:val="en-US" w:eastAsia="zh-CN"/>
        </w:rPr>
        <w:t>后，改善了总寨塬温室园区道路出行条件，提高了园区道路运输能力，</w:t>
      </w:r>
      <w:r>
        <w:rPr>
          <w:rFonts w:hint="eastAsia" w:cs="Times New Roman"/>
          <w:b w:val="0"/>
          <w:bCs w:val="0"/>
          <w:color w:val="auto"/>
          <w:lang w:val="en-US" w:eastAsia="zh-CN"/>
        </w:rPr>
        <w:t>解决了园区排水问题，完善了园区配套设施建设，减少了园区因强降雨等天气对蔬菜生产的影响，提高了农民经济收入，保障了城区“菜篮子”供给，推动了绿色生态农业发展。但在项目实施过程中仍存在一些问题，一是项目工程款未按合同约定比例和进度支出，排水工程工程款资金支付方式不明确；二是项目管护交接不及时；三是财务管理和档案管理工作有待加强；四是绩效指标设置不够细化明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sz w:val="32"/>
          <w:szCs w:val="24"/>
          <w:lang w:val="en-US" w:eastAsia="zh-CN"/>
          <w14:textFill>
            <w14:solidFill>
              <w14:schemeClr w14:val="tx1"/>
            </w14:solidFill>
          </w14:textFill>
        </w:rPr>
      </w:pPr>
      <w:r>
        <w:rPr>
          <w:rFonts w:hint="eastAsia" w:ascii="仿宋_GB2312" w:hAnsi="仿宋_GB2312" w:eastAsia="仿宋_GB2312" w:cs="Times New Roman"/>
          <w:b/>
          <w:bCs/>
          <w:color w:val="000000" w:themeColor="text1"/>
          <w:sz w:val="32"/>
          <w:szCs w:val="24"/>
          <w:lang w:val="en-US" w:eastAsia="zh-CN"/>
          <w14:textFill>
            <w14:solidFill>
              <w14:schemeClr w14:val="tx1"/>
            </w14:solidFill>
          </w14:textFill>
        </w:rPr>
        <w:t>4.西宁市城中区福禄巷南社区老年日间照料中心装修及设备购置项目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Times New Roman"/>
          <w:color w:val="000000" w:themeColor="text1"/>
          <w:sz w:val="32"/>
          <w:szCs w:val="24"/>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西宁市城中区福禄巷南社区老年日间照料中心装修及设备购置项目立项依据充分，立项程序规范，绩效目标合理；项目预算编制科学，预算执行率为</w:t>
      </w:r>
      <w:r>
        <w:rPr>
          <w:rFonts w:hint="eastAsia" w:ascii="Times New Roman" w:hAnsi="Times New Roman" w:cs="Times New Roman"/>
          <w:lang w:val="en-US" w:eastAsia="zh-CN"/>
        </w:rPr>
        <w:t>100%，</w:t>
      </w: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资金使用基本合规，不存在截留、挤占、挪用、虚列支出等情况；项目和财务管理制度健全，施工管理、合同管理、项目验收规范，政府采购申请、审批程序合规；项目基本按计划实施内容完成改造，工程完工质量与设备采购质量合格，项目成本节约率高；项目的实施在完善社区养老服务基础设施建设，改善社区养老服务条件与环境，提高社区养老服务能力等方面产生的社会效益显著，对完善养老服务体系、推动养老事业发展产生的可持续影响作用持久，社区群众和工作人员满意度较高。但同时存在绩效目标中绩效指标设定不够准确合理、不够细化量化，部分资金支出不符合项目预算批复的用途，项目实施组织管理有待进一步加强等问题。</w:t>
      </w:r>
    </w:p>
    <w:p>
      <w:pPr>
        <w:keepNext w:val="0"/>
        <w:keepLines w:val="0"/>
        <w:pageBreakBefore w:val="0"/>
        <w:widowControl w:val="0"/>
        <w:numPr>
          <w:ilvl w:val="0"/>
          <w:numId w:val="1"/>
        </w:numPr>
        <w:kinsoku/>
        <w:wordWrap/>
        <w:overflowPunct/>
        <w:topLinePunct w:val="0"/>
        <w:autoSpaceDE/>
        <w:autoSpaceDN/>
        <w:bidi w:val="0"/>
        <w:adjustRightInd w:val="0"/>
        <w:snapToGrid w:val="0"/>
        <w:spacing w:line="576" w:lineRule="exact"/>
        <w:ind w:left="0" w:leftChars="0" w:firstLine="643" w:firstLineChars="200"/>
        <w:textAlignment w:val="auto"/>
        <w:outlineLvl w:val="0"/>
        <w:rPr>
          <w:rFonts w:hint="eastAsia" w:ascii="黑体" w:hAnsi="黑体" w:eastAsia="黑体" w:cs="黑体"/>
          <w:b/>
          <w:bCs/>
          <w:color w:val="000000" w:themeColor="text1"/>
          <w:sz w:val="32"/>
          <w:szCs w:val="24"/>
          <w:lang w:val="en-US" w:eastAsia="zh-CN"/>
          <w14:textFill>
            <w14:solidFill>
              <w14:schemeClr w14:val="tx1"/>
            </w14:solidFill>
          </w14:textFill>
        </w:rPr>
      </w:pPr>
      <w:bookmarkStart w:id="22" w:name="_Toc22569"/>
      <w:bookmarkStart w:id="23" w:name="_Toc6179"/>
      <w:bookmarkStart w:id="24" w:name="_Toc32360"/>
      <w:r>
        <w:rPr>
          <w:rFonts w:hint="eastAsia" w:ascii="黑体" w:hAnsi="黑体" w:eastAsia="黑体" w:cs="黑体"/>
          <w:b/>
          <w:bCs/>
          <w:color w:val="000000" w:themeColor="text1"/>
          <w:sz w:val="32"/>
          <w:szCs w:val="24"/>
          <w:lang w:val="en-US" w:eastAsia="zh-CN"/>
          <w14:textFill>
            <w14:solidFill>
              <w14:schemeClr w14:val="tx1"/>
            </w14:solidFill>
          </w14:textFill>
        </w:rPr>
        <w:t>项目实施取得的成效</w:t>
      </w:r>
      <w:bookmarkEnd w:id="22"/>
      <w:bookmarkEnd w:id="23"/>
      <w:bookmarkEnd w:id="24"/>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default" w:ascii="楷体" w:hAnsi="楷体" w:eastAsia="楷体" w:cs="楷体"/>
          <w:b/>
          <w:bCs/>
          <w:color w:val="000000" w:themeColor="text1"/>
          <w:sz w:val="32"/>
          <w:szCs w:val="24"/>
          <w:lang w:val="en-US" w:eastAsia="zh-CN"/>
          <w14:textFill>
            <w14:solidFill>
              <w14:schemeClr w14:val="tx1"/>
            </w14:solidFill>
          </w14:textFill>
        </w:rPr>
      </w:pPr>
      <w:bookmarkStart w:id="25" w:name="_Toc5072"/>
      <w:bookmarkStart w:id="26" w:name="_Toc27767"/>
      <w:r>
        <w:rPr>
          <w:rFonts w:hint="eastAsia" w:ascii="楷体" w:hAnsi="楷体" w:eastAsia="楷体" w:cs="楷体"/>
          <w:b/>
          <w:bCs/>
          <w:color w:val="000000" w:themeColor="text1"/>
          <w:sz w:val="32"/>
          <w:szCs w:val="24"/>
          <w:lang w:val="en-US" w:eastAsia="zh-CN"/>
          <w14:textFill>
            <w14:solidFill>
              <w14:schemeClr w14:val="tx1"/>
            </w14:solidFill>
          </w14:textFill>
        </w:rPr>
        <w:t>（一）西宁市城中区前营街幼儿园建设项目</w:t>
      </w:r>
      <w:bookmarkEnd w:id="25"/>
      <w:bookmarkEnd w:id="26"/>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27" w:name="_Toc17286"/>
      <w:bookmarkStart w:id="28" w:name="_Toc4374"/>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1.项目实施精准，效益发挥显著</w:t>
      </w:r>
      <w:bookmarkEnd w:id="27"/>
      <w:bookmarkEnd w:id="28"/>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Times New Roman"/>
          <w:color w:val="000000" w:themeColor="text1"/>
          <w:sz w:val="32"/>
          <w:szCs w:val="24"/>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前营街地区作为西宁市城中区居住人口相对较多的老城区，区域内现有学前教育资源不能满足适龄儿童入园的问题日益凸显，西宁市教育局、城中区教育局根据《教育部办公厅国家发展改革委办公厅&lt;关于实施中西部农村学前教育推进工程试点项目&gt;的指导意见》《青海省中长期教育改革和发展规划纲要</w:t>
      </w:r>
      <w:r>
        <w:rPr>
          <w:rFonts w:hint="eastAsia" w:ascii="Times New Roman" w:hAnsi="Times New Roman" w:cs="Times New Roman"/>
          <w:lang w:val="en-US" w:eastAsia="zh-CN"/>
        </w:rPr>
        <w:t>（2010—2020年）》《青海省人民政府办公厅转发&lt;青海省教育厅</w:t>
      </w: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关于进一步促进学前教育发展意见&gt;的通知》和《青海省中小学布局调整规划目标和中小学校安工程实施计划》等相关政策精神，决定建设西宁市城中区前营街幼儿园。事实证明，城中区前营街幼儿园（城中区第一幼儿园）的投入运营切实改善了西宁市城中区学前教育整体规模不足、幼儿园布局不合理的现状，保障了儿童均能就近接受高质量的学前教育，提高了学前教育质量和水平。</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29" w:name="_Toc25432"/>
      <w:bookmarkStart w:id="30" w:name="_Toc1791"/>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2.严格执行档案管理制度，档案管理规范</w:t>
      </w:r>
      <w:bookmarkEnd w:id="29"/>
      <w:bookmarkEnd w:id="30"/>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default" w:ascii="仿宋_GB2312" w:hAnsi="仿宋_GB2312" w:eastAsia="仿宋_GB2312" w:cs="Times New Roman"/>
          <w:color w:val="000000" w:themeColor="text1"/>
          <w:sz w:val="32"/>
          <w:szCs w:val="24"/>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经实地调研和查阅资料，城中区教育局项目负责人严格按照《城中区教育局基建项目管理办法》中档案管理规定，对项目资料进行编号，档案盒统一收纳、档案柜统一放置，确保了项目各类资料的完整性。</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eastAsia" w:ascii="楷体" w:hAnsi="楷体" w:eastAsia="楷体" w:cs="楷体"/>
          <w:b/>
          <w:bCs/>
          <w:color w:val="000000" w:themeColor="text1"/>
          <w:sz w:val="32"/>
          <w:szCs w:val="24"/>
          <w:lang w:val="en-US" w:eastAsia="zh-CN"/>
          <w14:textFill>
            <w14:solidFill>
              <w14:schemeClr w14:val="tx1"/>
            </w14:solidFill>
          </w14:textFill>
        </w:rPr>
      </w:pPr>
      <w:bookmarkStart w:id="31" w:name="_Toc12850"/>
      <w:bookmarkStart w:id="32" w:name="_Toc10596"/>
      <w:r>
        <w:rPr>
          <w:rFonts w:hint="eastAsia" w:ascii="楷体" w:hAnsi="楷体" w:eastAsia="楷体" w:cs="楷体"/>
          <w:b/>
          <w:bCs/>
          <w:color w:val="000000" w:themeColor="text1"/>
          <w:sz w:val="32"/>
          <w:szCs w:val="24"/>
          <w:lang w:val="en-US" w:eastAsia="zh-CN"/>
          <w14:textFill>
            <w14:solidFill>
              <w14:schemeClr w14:val="tx1"/>
            </w14:solidFill>
          </w14:textFill>
        </w:rPr>
        <w:t>（二）西宁市城中区2021年校园保安专项资金项目</w:t>
      </w:r>
      <w:bookmarkEnd w:id="31"/>
      <w:bookmarkEnd w:id="32"/>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val="0"/>
          <w:color w:val="000000" w:themeColor="text1"/>
          <w:kern w:val="2"/>
          <w:sz w:val="32"/>
          <w:szCs w:val="24"/>
          <w:lang w:val="en-US" w:eastAsia="zh-CN" w:bidi="ar-SA"/>
          <w14:textFill>
            <w14:solidFill>
              <w14:schemeClr w14:val="tx1"/>
            </w14:solidFill>
          </w14:textFill>
        </w:rPr>
      </w:pPr>
      <w:bookmarkStart w:id="33" w:name="_Toc18721"/>
      <w:bookmarkStart w:id="34" w:name="_Toc26500"/>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1.监管有力，政府购买服务效益显著</w:t>
      </w:r>
      <w:bookmarkEnd w:id="33"/>
      <w:bookmarkEnd w:id="34"/>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576" w:lineRule="exact"/>
        <w:ind w:left="0" w:leftChars="0" w:right="0" w:firstLine="619"/>
        <w:jc w:val="both"/>
        <w:textAlignment w:val="auto"/>
        <w:rPr>
          <w:rFonts w:hint="default" w:ascii="仿宋_GB2312" w:hAnsi="仿宋_GB2312" w:eastAsia="仿宋_GB2312" w:cs="Times New Roman"/>
          <w:b w:val="0"/>
          <w:color w:val="000000" w:themeColor="text1"/>
          <w:kern w:val="2"/>
          <w:sz w:val="32"/>
          <w:szCs w:val="24"/>
          <w:lang w:val="en-US" w:eastAsia="zh-CN" w:bidi="ar-SA"/>
          <w14:textFill>
            <w14:solidFill>
              <w14:schemeClr w14:val="tx1"/>
            </w14:solidFill>
          </w14:textFill>
        </w:rPr>
      </w:pPr>
      <w:r>
        <w:rPr>
          <w:rFonts w:hint="default" w:ascii="仿宋_GB2312" w:hAnsi="仿宋_GB2312" w:eastAsia="仿宋_GB2312" w:cs="Times New Roman"/>
          <w:b w:val="0"/>
          <w:color w:val="000000" w:themeColor="text1"/>
          <w:kern w:val="2"/>
          <w:sz w:val="32"/>
          <w:szCs w:val="24"/>
          <w:lang w:val="en-US" w:eastAsia="zh-CN" w:bidi="ar-SA"/>
          <w14:textFill>
            <w14:solidFill>
              <w14:schemeClr w14:val="tx1"/>
            </w14:solidFill>
          </w14:textFill>
        </w:rPr>
        <w:t>城中区教育局作为项目实施单位，联合城中区委政法委、城中区检察院、城中区公安分局等有关部门对校园周边治安秩序进行定期检查整治，有效提高了校园保安服务质量；城中区教育局购买校园</w:t>
      </w:r>
      <w:r>
        <w:rPr>
          <w:rFonts w:hint="eastAsia" w:ascii="仿宋_GB2312" w:hAnsi="仿宋_GB2312" w:eastAsia="仿宋_GB2312" w:cs="Times New Roman"/>
          <w:b w:val="0"/>
          <w:color w:val="000000" w:themeColor="text1"/>
          <w:kern w:val="2"/>
          <w:sz w:val="32"/>
          <w:szCs w:val="24"/>
          <w:lang w:val="en-US" w:eastAsia="zh-CN" w:bidi="ar-SA"/>
          <w14:textFill>
            <w14:solidFill>
              <w14:schemeClr w14:val="tx1"/>
            </w14:solidFill>
          </w14:textFill>
        </w:rPr>
        <w:t>保安</w:t>
      </w:r>
      <w:r>
        <w:rPr>
          <w:rFonts w:hint="default" w:ascii="仿宋_GB2312" w:hAnsi="仿宋_GB2312" w:eastAsia="仿宋_GB2312" w:cs="Times New Roman"/>
          <w:b w:val="0"/>
          <w:color w:val="000000" w:themeColor="text1"/>
          <w:kern w:val="2"/>
          <w:sz w:val="32"/>
          <w:szCs w:val="24"/>
          <w:lang w:val="en-US" w:eastAsia="zh-CN" w:bidi="ar-SA"/>
          <w14:textFill>
            <w14:solidFill>
              <w14:schemeClr w14:val="tx1"/>
            </w14:solidFill>
          </w14:textFill>
        </w:rPr>
        <w:t>服务合法合规，采购过程公开透明，在一定程度上提高政府购买服务效益。</w:t>
      </w:r>
    </w:p>
    <w:p>
      <w:pPr>
        <w:pStyle w:val="4"/>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35" w:name="_Toc3723"/>
      <w:bookmarkStart w:id="36" w:name="_Toc26666"/>
      <w:r>
        <w:rPr>
          <w:rFonts w:hint="eastAsia" w:ascii="仿宋_GB2312" w:hAnsi="仿宋_GB2312" w:cs="Times New Roman"/>
          <w:b/>
          <w:bCs/>
          <w:color w:val="000000" w:themeColor="text1"/>
          <w:kern w:val="2"/>
          <w:sz w:val="32"/>
          <w:szCs w:val="24"/>
          <w:lang w:val="en-US" w:eastAsia="zh-CN" w:bidi="ar-SA"/>
          <w14:textFill>
            <w14:solidFill>
              <w14:schemeClr w14:val="tx1"/>
            </w14:solidFill>
          </w14:textFill>
        </w:rPr>
        <w:t>2.</w:t>
      </w:r>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思想教育有效落实，保安人员工作态度端正</w:t>
      </w:r>
      <w:bookmarkEnd w:id="35"/>
      <w:bookmarkEnd w:id="36"/>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eastAsia" w:ascii="仿宋_GB2312" w:hAnsi="仿宋_GB2312" w:eastAsia="仿宋_GB2312" w:cs="Times New Roman"/>
          <w:b w:val="0"/>
          <w:color w:val="000000" w:themeColor="text1"/>
          <w:kern w:val="2"/>
          <w:sz w:val="32"/>
          <w:szCs w:val="24"/>
          <w:lang w:val="en-US" w:eastAsia="zh-CN" w:bidi="ar-SA"/>
          <w14:textFill>
            <w14:solidFill>
              <w14:schemeClr w14:val="tx1"/>
            </w14:solidFill>
          </w14:textFill>
        </w:rPr>
      </w:pPr>
      <w:r>
        <w:rPr>
          <w:rFonts w:hint="default" w:ascii="仿宋_GB2312" w:hAnsi="仿宋_GB2312" w:eastAsia="仿宋_GB2312" w:cs="Times New Roman"/>
          <w:b w:val="0"/>
          <w:color w:val="000000" w:themeColor="text1"/>
          <w:kern w:val="2"/>
          <w:sz w:val="32"/>
          <w:szCs w:val="24"/>
          <w:lang w:val="en-US" w:eastAsia="zh-CN" w:bidi="ar-SA"/>
          <w14:textFill>
            <w14:solidFill>
              <w14:schemeClr w14:val="tx1"/>
            </w14:solidFill>
          </w14:textFill>
        </w:rPr>
        <w:t>青海宏创保安服务有限责任公司</w:t>
      </w:r>
      <w:r>
        <w:rPr>
          <w:rFonts w:hint="eastAsia" w:ascii="仿宋_GB2312" w:hAnsi="仿宋_GB2312" w:eastAsia="仿宋_GB2312" w:cs="Times New Roman"/>
          <w:b w:val="0"/>
          <w:color w:val="000000" w:themeColor="text1"/>
          <w:kern w:val="2"/>
          <w:sz w:val="32"/>
          <w:szCs w:val="24"/>
          <w:lang w:val="en-US" w:eastAsia="zh-CN" w:bidi="ar-SA"/>
          <w14:textFill>
            <w14:solidFill>
              <w14:schemeClr w14:val="tx1"/>
            </w14:solidFill>
          </w14:textFill>
        </w:rPr>
        <w:t>派驻学校的保安人员，牢固树立起为校园安全服务意识，完成保安工作中的具体要求任务，努力做到教育局领导放心，学校满意，校园秩序稳定；认真完成安保任务，落实具体工作，自觉遵守保安管理条例，做到不迟到，不脱岗，上岗时着装严整，举止文明，自觉树立保安人员的形象。</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eastAsia" w:ascii="楷体" w:hAnsi="楷体" w:eastAsia="楷体" w:cs="楷体"/>
          <w:b/>
          <w:bCs/>
          <w:color w:val="000000" w:themeColor="text1"/>
          <w:sz w:val="32"/>
          <w:szCs w:val="24"/>
          <w:lang w:val="en-US" w:eastAsia="zh-CN"/>
          <w14:textFill>
            <w14:solidFill>
              <w14:schemeClr w14:val="tx1"/>
            </w14:solidFill>
          </w14:textFill>
        </w:rPr>
      </w:pPr>
      <w:bookmarkStart w:id="37" w:name="_Toc8599"/>
      <w:bookmarkStart w:id="38" w:name="_Toc29782"/>
      <w:r>
        <w:rPr>
          <w:rFonts w:hint="eastAsia" w:ascii="楷体" w:hAnsi="楷体" w:eastAsia="楷体" w:cs="楷体"/>
          <w:b/>
          <w:bCs/>
          <w:color w:val="000000" w:themeColor="text1"/>
          <w:sz w:val="32"/>
          <w:szCs w:val="24"/>
          <w:lang w:val="en-US" w:eastAsia="zh-CN"/>
          <w14:textFill>
            <w14:solidFill>
              <w14:schemeClr w14:val="tx1"/>
            </w14:solidFill>
          </w14:textFill>
        </w:rPr>
        <w:t>（三）西宁市城中区总寨塬智能温室园区道路工程和排水工程项目</w:t>
      </w:r>
      <w:bookmarkEnd w:id="37"/>
      <w:bookmarkEnd w:id="38"/>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39" w:name="_Toc30922"/>
      <w:bookmarkStart w:id="40" w:name="_Toc10216"/>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1.聘请第三方提供全过程质量检验服务</w:t>
      </w:r>
      <w:bookmarkEnd w:id="39"/>
      <w:bookmarkEnd w:id="40"/>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Times New Roman"/>
          <w:color w:val="000000" w:themeColor="text1"/>
          <w:sz w:val="32"/>
          <w:szCs w:val="24"/>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城中区总寨塬智能温室园区排水工程项目聘请第三方质检单位为排水工程建设提供项目建设全过程质量检验服务。第三方质检单位依据质检技术服务合同要求、《水工混凝土施工规范》</w:t>
      </w:r>
      <w:r>
        <w:rPr>
          <w:rFonts w:hint="eastAsia" w:ascii="Times New Roman" w:hAnsi="Times New Roman" w:cs="Times New Roman"/>
          <w:lang w:val="en-US" w:eastAsia="zh-CN"/>
        </w:rPr>
        <w:t>SL677-2014、《水工混凝土试验规范》SL352-2006、《水利水电施工质量检验与评定规程》SL176-2007等</w:t>
      </w: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行业质量检测规范、规程，对原材料、水泥、钢筋进场后进行抽样检测，对混凝土拌和物、砂石骨料等在施工单位自检的基础上抽取样品检测，对混凝土抗压试件在出机口随机取样成型检测，并参与工程竣工验收检验。第三方质检单位专业性更强，检测设备齐全，能够严格、公正、客观的反映工程质量，有效保障了工程质量安全，杜绝了质量弄虚作假。</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eastAsia" w:ascii="楷体" w:hAnsi="楷体" w:eastAsia="楷体" w:cs="楷体"/>
          <w:b/>
          <w:bCs/>
          <w:color w:val="000000" w:themeColor="text1"/>
          <w:sz w:val="32"/>
          <w:szCs w:val="24"/>
          <w:lang w:val="en-US" w:eastAsia="zh-CN"/>
          <w14:textFill>
            <w14:solidFill>
              <w14:schemeClr w14:val="tx1"/>
            </w14:solidFill>
          </w14:textFill>
        </w:rPr>
      </w:pPr>
      <w:bookmarkStart w:id="41" w:name="_Toc21408"/>
      <w:bookmarkStart w:id="42" w:name="_Toc15776"/>
      <w:r>
        <w:rPr>
          <w:rFonts w:hint="eastAsia" w:ascii="楷体" w:hAnsi="楷体" w:eastAsia="楷体" w:cs="楷体"/>
          <w:b/>
          <w:bCs/>
          <w:color w:val="000000" w:themeColor="text1"/>
          <w:sz w:val="32"/>
          <w:szCs w:val="24"/>
          <w:lang w:val="en-US" w:eastAsia="zh-CN"/>
          <w14:textFill>
            <w14:solidFill>
              <w14:schemeClr w14:val="tx1"/>
            </w14:solidFill>
          </w14:textFill>
        </w:rPr>
        <w:t>（四）西宁市城中区福禄巷南社区老年日间照料中心装修及设备购置项目</w:t>
      </w:r>
      <w:bookmarkEnd w:id="41"/>
      <w:bookmarkEnd w:id="42"/>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43" w:name="_Toc11649"/>
      <w:bookmarkStart w:id="44" w:name="_Toc288"/>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1.积极推进社区养老服务设施标准化建设</w:t>
      </w:r>
      <w:bookmarkEnd w:id="43"/>
      <w:bookmarkEnd w:id="44"/>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Times New Roman"/>
          <w:color w:val="000000" w:themeColor="text1"/>
          <w:sz w:val="32"/>
          <w:szCs w:val="24"/>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城中区民政局注重养老服务设施薄弱社区的改造力度，积极争取财政投入、福彩公益金资助等社区养老服务设施建设资金，购置养老服务业务用房，落实社区养老服务场地，改造装修老年日间照料中心，采购配备电脑设备、办公家具、厨具及康复仪器等设备，大力推进社区养老服务基础设施规范化、标准化建设，增强和完善社区养老服务功能。</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45" w:name="_Toc32166"/>
      <w:bookmarkStart w:id="46" w:name="_Toc9939"/>
      <w:r>
        <w:rPr>
          <w:rFonts w:hint="eastAsia" w:ascii="仿宋_GB2312" w:hAnsi="仿宋_GB2312" w:cs="Times New Roman"/>
          <w:b/>
          <w:bCs/>
          <w:color w:val="000000" w:themeColor="text1"/>
          <w:kern w:val="2"/>
          <w:sz w:val="32"/>
          <w:szCs w:val="24"/>
          <w:lang w:val="en-US" w:eastAsia="zh-CN" w:bidi="ar-SA"/>
          <w14:textFill>
            <w14:solidFill>
              <w14:schemeClr w14:val="tx1"/>
            </w14:solidFill>
          </w14:textFill>
        </w:rPr>
        <w:t>2.</w:t>
      </w:r>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丰富社区养老服务内容，提升老人幸福感</w:t>
      </w:r>
      <w:bookmarkEnd w:id="45"/>
      <w:bookmarkEnd w:id="46"/>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Times New Roman"/>
          <w:color w:val="000000" w:themeColor="text1"/>
          <w:sz w:val="32"/>
          <w:szCs w:val="24"/>
          <w:lang w:val="en-US" w:eastAsia="zh-CN"/>
          <w14:textFill>
            <w14:solidFill>
              <w14:schemeClr w14:val="tx1"/>
            </w14:solidFill>
          </w14:textFill>
        </w:rPr>
      </w:pPr>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改造装修后的老年日间照料中心功能分区规划科学，布局合理简洁，具备阅览室、书画室、康复室、理疗室、休息</w:t>
      </w:r>
      <w:bookmarkStart w:id="47" w:name="_bookmark26"/>
      <w:bookmarkEnd w:id="47"/>
      <w:r>
        <w:rPr>
          <w:rFonts w:hint="eastAsia" w:ascii="仿宋_GB2312" w:hAnsi="仿宋_GB2312" w:eastAsia="仿宋_GB2312" w:cs="Times New Roman"/>
          <w:color w:val="000000" w:themeColor="text1"/>
          <w:sz w:val="32"/>
          <w:szCs w:val="24"/>
          <w:lang w:val="en-US" w:eastAsia="zh-CN"/>
          <w14:textFill>
            <w14:solidFill>
              <w14:schemeClr w14:val="tx1"/>
            </w14:solidFill>
          </w14:textFill>
        </w:rPr>
        <w:t>室、办公室、监控室、心理咨询室、健身房、餐厅等老人活动场所，室内服务环境和设施干净、整洁、舒适、温馨，能够为老人提供医疗保健、文化娱乐、学习培训等方面的需求，切实做到老有所养、老有所学、老有所为、老有所乐，提升老人养老幸福感和获得感。</w:t>
      </w:r>
    </w:p>
    <w:p>
      <w:pPr>
        <w:keepNext w:val="0"/>
        <w:keepLines w:val="0"/>
        <w:pageBreakBefore w:val="0"/>
        <w:widowControl w:val="0"/>
        <w:numPr>
          <w:ilvl w:val="0"/>
          <w:numId w:val="1"/>
        </w:numPr>
        <w:kinsoku/>
        <w:wordWrap/>
        <w:overflowPunct/>
        <w:topLinePunct w:val="0"/>
        <w:autoSpaceDE/>
        <w:autoSpaceDN/>
        <w:bidi w:val="0"/>
        <w:adjustRightInd w:val="0"/>
        <w:snapToGrid w:val="0"/>
        <w:spacing w:line="576" w:lineRule="exact"/>
        <w:ind w:left="0" w:leftChars="0" w:firstLine="643" w:firstLineChars="200"/>
        <w:textAlignment w:val="auto"/>
        <w:outlineLvl w:val="0"/>
        <w:rPr>
          <w:rFonts w:hint="eastAsia" w:ascii="黑体" w:hAnsi="黑体" w:eastAsia="黑体" w:cs="黑体"/>
          <w:b/>
          <w:bCs/>
          <w:color w:val="000000" w:themeColor="text1"/>
          <w:sz w:val="32"/>
          <w:szCs w:val="24"/>
          <w:lang w:val="en-US" w:eastAsia="zh-CN"/>
          <w14:textFill>
            <w14:solidFill>
              <w14:schemeClr w14:val="tx1"/>
            </w14:solidFill>
          </w14:textFill>
        </w:rPr>
      </w:pPr>
      <w:bookmarkStart w:id="48" w:name="_Toc5193"/>
      <w:bookmarkStart w:id="49" w:name="_Toc23819"/>
      <w:bookmarkStart w:id="50" w:name="_Toc10898"/>
      <w:r>
        <w:rPr>
          <w:rFonts w:hint="eastAsia" w:ascii="黑体" w:hAnsi="黑体" w:eastAsia="黑体" w:cs="黑体"/>
          <w:b/>
          <w:bCs/>
          <w:color w:val="000000" w:themeColor="text1"/>
          <w:sz w:val="32"/>
          <w:szCs w:val="24"/>
          <w:lang w:val="en-US" w:eastAsia="zh-CN"/>
          <w14:textFill>
            <w14:solidFill>
              <w14:schemeClr w14:val="tx1"/>
            </w14:solidFill>
          </w14:textFill>
        </w:rPr>
        <w:t>存在的问题</w:t>
      </w:r>
      <w:bookmarkEnd w:id="48"/>
      <w:bookmarkEnd w:id="49"/>
      <w:bookmarkEnd w:id="50"/>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default" w:ascii="楷体" w:hAnsi="楷体" w:eastAsia="楷体" w:cs="楷体"/>
          <w:b/>
          <w:bCs/>
          <w:color w:val="000000" w:themeColor="text1"/>
          <w:sz w:val="32"/>
          <w:szCs w:val="24"/>
          <w:lang w:val="en-US" w:eastAsia="zh-CN"/>
          <w14:textFill>
            <w14:solidFill>
              <w14:schemeClr w14:val="tx1"/>
            </w14:solidFill>
          </w14:textFill>
        </w:rPr>
      </w:pPr>
      <w:bookmarkStart w:id="51" w:name="_Toc21450"/>
      <w:bookmarkStart w:id="52" w:name="_Toc12413"/>
      <w:r>
        <w:rPr>
          <w:rFonts w:hint="eastAsia" w:ascii="楷体" w:hAnsi="楷体" w:eastAsia="楷体" w:cs="楷体"/>
          <w:b/>
          <w:bCs/>
          <w:color w:val="000000" w:themeColor="text1"/>
          <w:sz w:val="32"/>
          <w:szCs w:val="24"/>
          <w:lang w:val="en-US" w:eastAsia="zh-CN"/>
          <w14:textFill>
            <w14:solidFill>
              <w14:schemeClr w14:val="tx1"/>
            </w14:solidFill>
          </w14:textFill>
        </w:rPr>
        <w:t>（一）西宁市城中区前营街幼儿园建设项目</w:t>
      </w:r>
      <w:bookmarkEnd w:id="51"/>
      <w:bookmarkEnd w:id="52"/>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default"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53" w:name="_Toc25462"/>
      <w:bookmarkStart w:id="54" w:name="_Toc23605"/>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1.绩效指标编制水平不足</w:t>
      </w:r>
      <w:bookmarkEnd w:id="53"/>
      <w:bookmarkEnd w:id="54"/>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cs="仿宋_GB2312"/>
          <w:b w:val="0"/>
          <w:bCs w:val="0"/>
          <w:color w:val="auto"/>
          <w:sz w:val="32"/>
          <w:szCs w:val="32"/>
          <w:highlight w:val="none"/>
          <w:lang w:val="en-US" w:eastAsia="zh-CN"/>
        </w:rPr>
      </w:pPr>
      <w:r>
        <w:rPr>
          <w:rFonts w:hint="eastAsia" w:ascii="仿宋_GB2312" w:hAnsi="仿宋_GB2312" w:cs="仿宋_GB2312"/>
          <w:b w:val="0"/>
          <w:bCs w:val="0"/>
          <w:color w:val="auto"/>
          <w:sz w:val="32"/>
          <w:szCs w:val="32"/>
          <w:highlight w:val="none"/>
          <w:lang w:val="en-US" w:eastAsia="zh-CN"/>
        </w:rPr>
        <w:t>经查阅</w:t>
      </w:r>
      <w:r>
        <w:rPr>
          <w:rFonts w:hint="eastAsia" w:ascii="仿宋_GB2312" w:hAnsi="仿宋_GB2312" w:cs="仿宋_GB2312"/>
          <w:color w:val="auto"/>
          <w:szCs w:val="24"/>
          <w:highlight w:val="none"/>
          <w:lang w:val="en-US" w:eastAsia="zh-CN"/>
        </w:rPr>
        <w:t>城中区教育局填报的《县(区)级项目支出绩效目标申报表》</w:t>
      </w:r>
      <w:r>
        <w:rPr>
          <w:rFonts w:hint="eastAsia" w:ascii="仿宋_GB2312" w:hAnsi="仿宋_GB2312" w:cs="仿宋_GB2312"/>
          <w:b w:val="0"/>
          <w:bCs w:val="0"/>
          <w:color w:val="auto"/>
          <w:sz w:val="32"/>
          <w:szCs w:val="32"/>
          <w:highlight w:val="none"/>
          <w:lang w:val="en-US" w:eastAsia="zh-CN"/>
        </w:rPr>
        <w:t>，申报表中设置的绩效指标能够与项目目标任务数相对应，但存在二级绩效指标设置不全、未填写指标值的问题，具体表现如下：1.二级社会效益指标设置为“</w:t>
      </w:r>
      <w:r>
        <w:rPr>
          <w:rFonts w:hint="eastAsia" w:ascii="宋体" w:hAnsi="宋体" w:cs="宋体"/>
          <w:kern w:val="0"/>
          <w:szCs w:val="21"/>
          <w:lang w:eastAsia="zh-CN"/>
        </w:rPr>
        <w:t>解决玉井巷片区</w:t>
      </w:r>
      <w:r>
        <w:rPr>
          <w:rFonts w:hint="eastAsia" w:ascii="Times New Roman" w:hAnsi="Times New Roman" w:cs="Times New Roman"/>
          <w:lang w:val="en-US" w:eastAsia="zh-CN"/>
        </w:rPr>
        <w:t>360余名幼儿接受学前教育的问题，缓解周边公办幼儿园压力，提供优质学前教育资源”，指标设置为一段话不合理；2.未设置可持续影响指标、满意度指标；3.所有指标指标值空白，无法判断绩效指标完成的预期程度，不符合《中共中央 国务院关于全面实施预算绩效管理的意见》（中发〔2018〕34号）“</w:t>
      </w:r>
      <w:r>
        <w:rPr>
          <w:rFonts w:hint="eastAsia" w:ascii="仿宋_GB2312" w:hAnsi="仿宋_GB2312" w:eastAsia="仿宋_GB2312" w:cs="Times New Roman"/>
          <w:sz w:val="32"/>
          <w:szCs w:val="32"/>
          <w:lang w:val="en-US" w:eastAsia="zh-CN"/>
        </w:rPr>
        <w:t xml:space="preserve">第七条 </w:t>
      </w:r>
      <w:r>
        <w:rPr>
          <w:rFonts w:hint="eastAsia" w:ascii="仿宋_GB2312" w:hAnsi="仿宋_GB2312" w:eastAsia="仿宋_GB2312" w:cs="Times New Roman"/>
          <w:sz w:val="32"/>
          <w:szCs w:val="32"/>
        </w:rPr>
        <w:t>强化绩效目标管理</w:t>
      </w:r>
      <w:r>
        <w:rPr>
          <w:rFonts w:hint="eastAsia" w:ascii="仿宋_GB2312" w:hAnsi="仿宋_GB2312" w:cs="Times New Roman"/>
          <w:sz w:val="32"/>
          <w:szCs w:val="32"/>
          <w:lang w:val="en-US" w:eastAsia="zh-CN"/>
        </w:rPr>
        <w:t xml:space="preserve"> </w:t>
      </w:r>
      <w:r>
        <w:rPr>
          <w:rFonts w:hint="eastAsia" w:ascii="仿宋_GB2312" w:hAnsi="仿宋_GB2312" w:eastAsia="仿宋_GB2312" w:cs="Times New Roman"/>
          <w:sz w:val="32"/>
          <w:szCs w:val="32"/>
        </w:rPr>
        <w:t>各地区各部门编制预算时要贯彻落实党中央</w:t>
      </w:r>
      <w:r>
        <w:rPr>
          <w:rFonts w:hint="eastAsia" w:ascii="仿宋_GB2312" w:hAnsi="仿宋_GB2312" w:cs="Times New Roman"/>
          <w:sz w:val="32"/>
          <w:szCs w:val="32"/>
          <w:lang w:eastAsia="zh-CN"/>
        </w:rPr>
        <w:t>、</w:t>
      </w:r>
      <w:r>
        <w:rPr>
          <w:rFonts w:hint="eastAsia" w:ascii="仿宋_GB2312" w:hAnsi="仿宋_GB2312" w:eastAsia="仿宋_GB2312" w:cs="Times New Roman"/>
          <w:sz w:val="32"/>
          <w:szCs w:val="32"/>
        </w:rPr>
        <w:t>国务院各项决策部署，分解细化各项工作要求，结合本地区本部门实际情况，全面设置部门和单位整体绩效目标、政策及项目绩效目标。绩效目标不仅要包括产出、成本，还要包括经济效益、社会效益、生态效益、可持续影响和服务对象满意度等绩效指标。</w:t>
      </w:r>
      <w:r>
        <w:rPr>
          <w:rFonts w:hint="eastAsia" w:ascii="仿宋_GB2312" w:hAnsi="仿宋_GB2312" w:cs="Times New Roman"/>
          <w:bCs/>
          <w:color w:val="auto"/>
          <w:sz w:val="32"/>
          <w:szCs w:val="32"/>
          <w:highlight w:val="none"/>
          <w:lang w:val="en-US" w:eastAsia="zh-CN"/>
        </w:rPr>
        <w:t>”中关于</w:t>
      </w:r>
      <w:r>
        <w:rPr>
          <w:rFonts w:hint="eastAsia" w:ascii="仿宋_GB2312" w:hAnsi="仿宋_GB2312" w:cs="仿宋_GB2312"/>
          <w:b w:val="0"/>
          <w:bCs w:val="0"/>
          <w:color w:val="auto"/>
          <w:sz w:val="32"/>
          <w:szCs w:val="32"/>
          <w:highlight w:val="none"/>
          <w:lang w:val="en-US" w:eastAsia="zh-CN"/>
        </w:rPr>
        <w:t>预算资金绩效目标管理的相关要求。</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default"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55" w:name="_Toc166"/>
      <w:bookmarkStart w:id="56" w:name="_Toc3536"/>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2.存在“边施工边补手续”的现象</w:t>
      </w:r>
      <w:bookmarkEnd w:id="55"/>
      <w:bookmarkEnd w:id="56"/>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default" w:ascii="仿宋_GB2312" w:hAnsi="仿宋_GB2312" w:cs="仿宋_GB2312"/>
          <w:color w:val="auto"/>
          <w:sz w:val="32"/>
          <w:szCs w:val="24"/>
          <w:highlight w:val="none"/>
          <w:lang w:val="en-US" w:eastAsia="zh-CN"/>
        </w:rPr>
      </w:pPr>
      <w:r>
        <w:rPr>
          <w:rFonts w:hint="eastAsia" w:ascii="仿宋_GB2312" w:hAnsi="仿宋_GB2312" w:cs="仿宋_GB2312"/>
          <w:color w:val="auto"/>
          <w:sz w:val="32"/>
          <w:szCs w:val="24"/>
          <w:highlight w:val="none"/>
          <w:lang w:val="en-US" w:eastAsia="zh-CN"/>
        </w:rPr>
        <w:t>绩效评价工作组在查阅资料过程中发现，</w:t>
      </w:r>
      <w:r>
        <w:rPr>
          <w:rFonts w:hint="eastAsia" w:ascii="Times New Roman" w:hAnsi="Times New Roman" w:cs="Times New Roman"/>
          <w:sz w:val="32"/>
          <w:lang w:val="en-US" w:eastAsia="zh-CN"/>
        </w:rPr>
        <w:t>项目于2018年3</w:t>
      </w:r>
      <w:r>
        <w:rPr>
          <w:rFonts w:hint="eastAsia" w:ascii="Times New Roman" w:hAnsi="Times New Roman" w:cs="Times New Roman"/>
          <w:spacing w:val="0"/>
          <w:sz w:val="32"/>
          <w:lang w:val="en-US" w:eastAsia="zh-CN"/>
        </w:rPr>
        <w:t>月15日开工，</w:t>
      </w:r>
      <w:r>
        <w:rPr>
          <w:rFonts w:hint="eastAsia" w:ascii="Times New Roman" w:hAnsi="Times New Roman" w:cs="Times New Roman"/>
          <w:sz w:val="32"/>
          <w:lang w:val="en-US" w:eastAsia="zh-CN"/>
        </w:rPr>
        <w:t>《建筑工程施工许可证》【宁建管630103201804090201】于2018年4月9日取得，不符合《中华人民共和国建筑法》第七条“建筑工程开工前，建设</w:t>
      </w:r>
      <w:r>
        <w:rPr>
          <w:rFonts w:hint="eastAsia" w:ascii="仿宋_GB2312" w:hAnsi="Times New Roman" w:eastAsia="仿宋_GB2312" w:cs="Times New Roman"/>
          <w:b w:val="0"/>
          <w:bCs w:val="0"/>
          <w:color w:val="000000"/>
          <w:sz w:val="32"/>
          <w:szCs w:val="32"/>
          <w:highlight w:val="none"/>
          <w:lang w:val="en-US" w:eastAsia="zh-CN"/>
        </w:rPr>
        <w:t>单位应按照国家有关规定向工程所在地</w:t>
      </w:r>
      <w:r>
        <w:rPr>
          <w:rFonts w:hint="eastAsia" w:ascii="仿宋_GB2312" w:hAnsi="Times New Roman" w:cs="Times New Roman"/>
          <w:b w:val="0"/>
          <w:bCs w:val="0"/>
          <w:color w:val="000000"/>
          <w:sz w:val="32"/>
          <w:szCs w:val="32"/>
          <w:highlight w:val="none"/>
          <w:lang w:val="en-US" w:eastAsia="zh-CN"/>
        </w:rPr>
        <w:t>县级以上人民政府建设行政主管部门</w:t>
      </w:r>
      <w:r>
        <w:rPr>
          <w:rFonts w:hint="eastAsia" w:ascii="仿宋_GB2312" w:hAnsi="Times New Roman" w:eastAsia="仿宋_GB2312" w:cs="Times New Roman"/>
          <w:b w:val="0"/>
          <w:bCs w:val="0"/>
          <w:color w:val="000000"/>
          <w:sz w:val="32"/>
          <w:szCs w:val="32"/>
          <w:highlight w:val="none"/>
          <w:lang w:val="en-US" w:eastAsia="zh-CN"/>
        </w:rPr>
        <w:t>申请领取施工许可证</w:t>
      </w:r>
      <w:r>
        <w:rPr>
          <w:rFonts w:hint="eastAsia" w:ascii="仿宋_GB2312" w:hAnsi="Times New Roman" w:cs="Times New Roman"/>
          <w:b w:val="0"/>
          <w:bCs w:val="0"/>
          <w:color w:val="000000"/>
          <w:sz w:val="32"/>
          <w:szCs w:val="32"/>
          <w:highlight w:val="none"/>
          <w:lang w:val="en-US" w:eastAsia="zh-CN"/>
        </w:rPr>
        <w:t>”的要求。</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default"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57" w:name="_Toc3241"/>
      <w:bookmarkStart w:id="58" w:name="_Toc21286"/>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3.项目资产交付使用手续尚未办理</w:t>
      </w:r>
      <w:bookmarkEnd w:id="57"/>
      <w:bookmarkEnd w:id="58"/>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cs="Times New Roman"/>
          <w:color w:val="auto"/>
          <w:szCs w:val="24"/>
          <w:lang w:val="en-US" w:eastAsia="zh-CN"/>
        </w:rPr>
      </w:pPr>
      <w:r>
        <w:rPr>
          <w:rFonts w:hint="eastAsia" w:ascii="仿宋_GB2312" w:hAnsi="仿宋_GB2312" w:cs="Times New Roman"/>
          <w:color w:val="auto"/>
          <w:szCs w:val="24"/>
          <w:lang w:val="en-US" w:eastAsia="zh-CN"/>
        </w:rPr>
        <w:t>经查阅项目佐证资料及现场问询，《西宁市城中区审计局关于&lt;前营街幼儿园建设项目&gt;的审计报告》（城中审项报〔</w:t>
      </w:r>
      <w:r>
        <w:rPr>
          <w:rFonts w:hint="eastAsia" w:ascii="Times New Roman" w:hAnsi="Times New Roman" w:cs="Times New Roman"/>
          <w:sz w:val="32"/>
          <w:lang w:val="en-US" w:eastAsia="zh-CN"/>
        </w:rPr>
        <w:t>2021〕第3号）中关于“未办理项目资产交付使用的问题”仍未解决，不符合《基本建设财务规定》第四十二条“项目竣工验收合格后应当及时办理资产交付使用手续，并依据批复的项目竣工财务决算进行账务调整。”的规定。根据城中区教育局《关于调拨前营街幼儿园固定资产的申请》（城中政教字〔2021〕236号）</w:t>
      </w:r>
      <w:r>
        <w:rPr>
          <w:rFonts w:hint="eastAsia" w:ascii="仿宋_GB2312" w:hAnsi="仿宋_GB2312" w:cs="Times New Roman"/>
          <w:color w:val="auto"/>
          <w:szCs w:val="24"/>
          <w:lang w:val="en-US" w:eastAsia="zh-CN"/>
        </w:rPr>
        <w:t>，项目资产调拨申请现已提交区财政局。</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59" w:name="_Toc9560"/>
      <w:bookmarkStart w:id="60" w:name="_Toc19298"/>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4.项目完工、竣工结算审核不及时</w:t>
      </w:r>
      <w:bookmarkEnd w:id="59"/>
      <w:bookmarkEnd w:id="60"/>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cs="Times New Roman"/>
          <w:sz w:val="32"/>
          <w:lang w:val="en-US" w:eastAsia="zh-CN"/>
        </w:rPr>
      </w:pPr>
      <w:r>
        <w:rPr>
          <w:rFonts w:hint="eastAsia" w:ascii="仿宋_GB2312" w:hAnsi="仿宋_GB2312" w:cs="仿宋_GB2312"/>
          <w:color w:val="auto"/>
          <w:kern w:val="2"/>
          <w:sz w:val="32"/>
          <w:szCs w:val="32"/>
          <w:highlight w:val="none"/>
          <w:lang w:val="en-US" w:eastAsia="zh-CN" w:bidi="ar-SA"/>
        </w:rPr>
        <w:t>根据城中区教育局与</w:t>
      </w:r>
      <w:r>
        <w:rPr>
          <w:rFonts w:hint="eastAsia" w:ascii="仿宋_GB2312" w:hAnsi="仿宋_GB2312" w:cs="Times New Roman"/>
          <w:color w:val="auto"/>
          <w:szCs w:val="24"/>
          <w:lang w:val="en-US" w:eastAsia="zh-CN"/>
        </w:rPr>
        <w:t>陕西盛鑫建筑安装工程有限公司签订的《施工合同协议书》，合同约定项目施工期为：</w:t>
      </w:r>
      <w:r>
        <w:rPr>
          <w:rFonts w:hint="eastAsia" w:ascii="Times New Roman" w:hAnsi="Times New Roman" w:cs="Times New Roman"/>
          <w:sz w:val="32"/>
          <w:lang w:val="en-US" w:eastAsia="zh-CN"/>
        </w:rPr>
        <w:t>2018年3月15日至2019年3月15日，工期总日历天数365天。</w:t>
      </w:r>
      <w:r>
        <w:rPr>
          <w:rFonts w:hint="eastAsia" w:ascii="仿宋_GB2312" w:hAnsi="仿宋_GB2312" w:cs="Times New Roman"/>
          <w:szCs w:val="24"/>
          <w:lang w:val="en-US" w:eastAsia="zh-CN"/>
        </w:rPr>
        <w:t>城中区教育局关于上报西宁市建设工程质量监督站的</w:t>
      </w:r>
      <w:r>
        <w:rPr>
          <w:rFonts w:hint="eastAsia" w:ascii="仿宋_GB2312" w:hAnsi="仿宋_GB2312" w:cs="仿宋_GB2312"/>
          <w:color w:val="auto"/>
          <w:kern w:val="2"/>
          <w:sz w:val="32"/>
          <w:szCs w:val="32"/>
          <w:highlight w:val="none"/>
          <w:lang w:val="en-US" w:eastAsia="zh-CN" w:bidi="ar-SA"/>
        </w:rPr>
        <w:t>《竣工预验收申请报告》中明确</w:t>
      </w:r>
      <w:r>
        <w:rPr>
          <w:rFonts w:hint="eastAsia" w:ascii="仿宋_GB2312" w:hAnsi="仿宋_GB2312" w:cs="Times New Roman"/>
          <w:color w:val="auto"/>
          <w:szCs w:val="24"/>
          <w:lang w:val="en-US" w:eastAsia="zh-CN"/>
        </w:rPr>
        <w:t>该项目于</w:t>
      </w:r>
      <w:r>
        <w:rPr>
          <w:rFonts w:hint="eastAsia" w:ascii="Times New Roman" w:hAnsi="Times New Roman" w:cs="Times New Roman"/>
          <w:sz w:val="32"/>
          <w:lang w:val="en-US" w:eastAsia="zh-CN"/>
        </w:rPr>
        <w:t>2018年3月15日开始施工，于2020年6月23日进行了预验收，项目已全部完工，实际完工时间较合同约定完工时间2019年3月15日延迟一年有余，工程完工不及时。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default" w:ascii="仿宋_GB2312" w:hAnsi="仿宋_GB2312" w:cs="Times New Roman"/>
          <w:szCs w:val="24"/>
          <w:lang w:val="en-US" w:eastAsia="zh-CN"/>
        </w:rPr>
      </w:pPr>
      <w:r>
        <w:rPr>
          <w:rFonts w:hint="eastAsia" w:ascii="Times New Roman" w:hAnsi="Times New Roman" w:cs="Times New Roman"/>
          <w:sz w:val="32"/>
          <w:lang w:val="en-US" w:eastAsia="zh-CN"/>
        </w:rPr>
        <w:t>2020年7月27日，城中区教育局组织城中区发展改革和工业信息化局、项目设计、勘察、监理、施工单位对项目进行了竣工验收，并出具《城中区教育局基建项目验收单》，项目质量合格，通过验收。城中区教育局委托青海华翼会计师事务所有限公司对该项目进行了工程决算审核，并于2020年12月21</w:t>
      </w:r>
      <w:r>
        <w:rPr>
          <w:rFonts w:hint="eastAsia" w:ascii="仿宋_GB2312" w:hAnsi="仿宋_GB2312" w:cs="Times New Roman"/>
          <w:szCs w:val="24"/>
          <w:lang w:val="en-US" w:eastAsia="zh-CN"/>
        </w:rPr>
        <w:t>日出具《基本建设工程结算审核定案单》，项目竣工决算审核时间较竣工验收时间间隔将</w:t>
      </w:r>
      <w:r>
        <w:rPr>
          <w:rFonts w:hint="eastAsia" w:ascii="Times New Roman" w:hAnsi="Times New Roman" w:cs="Times New Roman"/>
          <w:sz w:val="32"/>
          <w:lang w:val="en-US" w:eastAsia="zh-CN"/>
        </w:rPr>
        <w:t>近5月。</w:t>
      </w:r>
      <w:r>
        <w:rPr>
          <w:rFonts w:hint="eastAsia" w:ascii="仿宋_GB2312" w:hAnsi="仿宋_GB2312" w:cs="Times New Roman"/>
          <w:szCs w:val="24"/>
          <w:lang w:val="en-US" w:eastAsia="zh-CN"/>
        </w:rPr>
        <w:t>不符合《城中区教育局基建项目管理办法》中“施工单位在工程验收结束后，在一个月之内，提交工程竣工结算书”的规定。”项目竣工决算不及时。</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default"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61" w:name="_Toc11991"/>
      <w:bookmarkStart w:id="62" w:name="_Toc17892"/>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5.项目实际投资超项目批复资金8.84%，成本控制较差。</w:t>
      </w:r>
      <w:bookmarkEnd w:id="61"/>
      <w:bookmarkEnd w:id="62"/>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cs="Times New Roman"/>
          <w:sz w:val="32"/>
          <w:lang w:val="en-US" w:eastAsia="zh-CN"/>
        </w:rPr>
      </w:pPr>
      <w:r>
        <w:rPr>
          <w:rFonts w:hint="eastAsia" w:ascii="仿宋_GB2312" w:hAnsi="仿宋_GB2312" w:cs="Times New Roman"/>
          <w:color w:val="auto"/>
          <w:szCs w:val="24"/>
          <w:lang w:val="zh-CN" w:eastAsia="zh-CN"/>
        </w:rPr>
        <w:t>根据《西宁市城中区发展改革和经济商务局</w:t>
      </w:r>
      <w:r>
        <w:rPr>
          <w:rFonts w:hint="eastAsia" w:ascii="仿宋_GB2312" w:hAnsi="仿宋_GB2312" w:cs="Times New Roman"/>
          <w:color w:val="auto"/>
          <w:szCs w:val="24"/>
          <w:lang w:val="en-US" w:eastAsia="zh-CN"/>
        </w:rPr>
        <w:t>&lt;关于前营街幼儿园（暂定名）项目可行性研究报告&gt;的批复</w:t>
      </w:r>
      <w:r>
        <w:rPr>
          <w:rFonts w:hint="eastAsia" w:ascii="仿宋_GB2312" w:hAnsi="仿宋_GB2312" w:cs="Times New Roman"/>
          <w:color w:val="auto"/>
          <w:szCs w:val="24"/>
          <w:lang w:val="zh-CN" w:eastAsia="zh-CN"/>
        </w:rPr>
        <w:t>》（城中发经</w:t>
      </w:r>
      <w:r>
        <w:rPr>
          <w:rFonts w:hint="eastAsia" w:ascii="Times New Roman" w:hAnsi="Times New Roman" w:cs="Times New Roman"/>
          <w:sz w:val="32"/>
          <w:lang w:val="zh-CN" w:eastAsia="zh-CN"/>
        </w:rPr>
        <w:t>字</w:t>
      </w:r>
      <w:r>
        <w:rPr>
          <w:rFonts w:hint="eastAsia" w:ascii="Times New Roman" w:hAnsi="Times New Roman" w:cs="Times New Roman"/>
          <w:sz w:val="32"/>
          <w:lang w:val="en-US" w:eastAsia="zh-CN"/>
        </w:rPr>
        <w:t>〔2017〕93号</w:t>
      </w:r>
      <w:r>
        <w:rPr>
          <w:rFonts w:hint="eastAsia" w:ascii="Times New Roman" w:hAnsi="Times New Roman" w:cs="Times New Roman"/>
          <w:sz w:val="32"/>
          <w:lang w:val="zh-CN" w:eastAsia="zh-CN"/>
        </w:rPr>
        <w:t>）和《西宁市城乡规划和建设局关于&lt;城中区前营街育儿园建设项目初步设计&gt;的批复》（</w:t>
      </w:r>
      <w:r>
        <w:rPr>
          <w:rFonts w:hint="eastAsia" w:ascii="Times New Roman" w:hAnsi="Times New Roman" w:cs="Times New Roman"/>
          <w:sz w:val="32"/>
          <w:lang w:val="en-US" w:eastAsia="zh-CN"/>
        </w:rPr>
        <w:t>宁规建〔2017〕305号</w:t>
      </w:r>
      <w:r>
        <w:rPr>
          <w:rFonts w:hint="eastAsia" w:ascii="Times New Roman" w:hAnsi="Times New Roman" w:cs="Times New Roman"/>
          <w:sz w:val="32"/>
          <w:lang w:val="zh-CN" w:eastAsia="zh-CN"/>
        </w:rPr>
        <w:t>），该项目计划总投资</w:t>
      </w:r>
      <w:r>
        <w:rPr>
          <w:rFonts w:hint="eastAsia" w:ascii="Times New Roman" w:hAnsi="Times New Roman" w:cs="Times New Roman"/>
          <w:sz w:val="32"/>
          <w:lang w:val="en-US" w:eastAsia="zh-CN"/>
        </w:rPr>
        <w:t>17870000.00元。根据《西宁市城中区审计局关于&lt;前营街幼儿园建设项目&gt;的审计报告》（城中审项报〔2021〕第3号），该项目实际完成投资19451645.11元（含基坑支护增项700000.00元），超项目批复资金8.84%。</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eastAsia" w:ascii="楷体" w:hAnsi="楷体" w:eastAsia="楷体" w:cs="楷体"/>
          <w:b/>
          <w:bCs/>
          <w:color w:val="000000" w:themeColor="text1"/>
          <w:sz w:val="32"/>
          <w:szCs w:val="24"/>
          <w:lang w:val="en-US" w:eastAsia="zh-CN"/>
          <w14:textFill>
            <w14:solidFill>
              <w14:schemeClr w14:val="tx1"/>
            </w14:solidFill>
          </w14:textFill>
        </w:rPr>
      </w:pPr>
      <w:bookmarkStart w:id="63" w:name="_Toc15015"/>
      <w:bookmarkStart w:id="64" w:name="_Toc14575"/>
      <w:r>
        <w:rPr>
          <w:rFonts w:hint="eastAsia" w:ascii="楷体" w:hAnsi="楷体" w:eastAsia="楷体" w:cs="楷体"/>
          <w:b/>
          <w:bCs/>
          <w:color w:val="000000" w:themeColor="text1"/>
          <w:sz w:val="32"/>
          <w:szCs w:val="24"/>
          <w:lang w:val="en-US" w:eastAsia="zh-CN"/>
          <w14:textFill>
            <w14:solidFill>
              <w14:schemeClr w14:val="tx1"/>
            </w14:solidFill>
          </w14:textFill>
        </w:rPr>
        <w:t>（二）西宁市城中区2021年校园保安专项资金项目</w:t>
      </w:r>
      <w:bookmarkEnd w:id="63"/>
      <w:bookmarkEnd w:id="64"/>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default"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65" w:name="_Toc30082"/>
      <w:bookmarkStart w:id="66" w:name="_Toc21390"/>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1.财政预算测算依据不充分</w:t>
      </w:r>
      <w:bookmarkEnd w:id="65"/>
      <w:bookmarkEnd w:id="66"/>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仿宋_GB2312" w:hAnsi="仿宋_GB2312" w:cs="Times New Roman"/>
          <w:szCs w:val="24"/>
          <w:highlight w:val="yellow"/>
          <w:lang w:val="en-US" w:eastAsia="zh-CN"/>
        </w:rPr>
      </w:pPr>
      <w:r>
        <w:rPr>
          <w:rFonts w:hint="eastAsia" w:ascii="仿宋_GB2312" w:hAnsi="仿宋_GB2312" w:cs="仿宋_GB2312"/>
          <w:b w:val="0"/>
          <w:bCs w:val="0"/>
          <w:color w:val="auto"/>
          <w:kern w:val="0"/>
          <w:sz w:val="32"/>
          <w:szCs w:val="32"/>
          <w:highlight w:val="none"/>
          <w:lang w:val="en-US" w:eastAsia="zh-CN" w:bidi="ar-SA"/>
        </w:rPr>
        <w:t>城中区教育局申请</w:t>
      </w:r>
      <w:r>
        <w:rPr>
          <w:rFonts w:hint="eastAsia" w:ascii="Times New Roman" w:hAnsi="Times New Roman" w:cs="Times New Roman"/>
          <w:sz w:val="32"/>
          <w:lang w:val="en-US" w:eastAsia="zh-CN"/>
        </w:rPr>
        <w:t>2021年购买保安服务预算资金231.84万元，用于84名保安工资支出，每名保安2300元/月。但城中区教育局申请预算2300元/月工资标准无依据，预算测算依据不充分，不能确定资金量是否与工</w:t>
      </w:r>
      <w:r>
        <w:rPr>
          <w:rFonts w:hint="eastAsia" w:ascii="仿宋_GB2312" w:hAnsi="仿宋_GB2312" w:cs="仿宋_GB2312"/>
          <w:b w:val="0"/>
          <w:bCs w:val="0"/>
          <w:color w:val="auto"/>
          <w:kern w:val="0"/>
          <w:sz w:val="32"/>
          <w:szCs w:val="32"/>
          <w:highlight w:val="none"/>
          <w:lang w:val="en-US" w:eastAsia="zh-CN" w:bidi="ar-SA"/>
        </w:rPr>
        <w:t>作任务相匹配。</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67" w:name="_Toc25724"/>
      <w:bookmarkStart w:id="68" w:name="_Toc5664"/>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2.资金支出不合规</w:t>
      </w:r>
      <w:bookmarkEnd w:id="67"/>
      <w:bookmarkEnd w:id="68"/>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仿宋_GB2312" w:hAnsi="仿宋_GB2312" w:cs="Times New Roman"/>
          <w:szCs w:val="24"/>
          <w:lang w:val="en-US" w:eastAsia="zh-CN"/>
        </w:rPr>
      </w:pPr>
      <w:r>
        <w:rPr>
          <w:rFonts w:hint="eastAsia" w:ascii="仿宋_GB2312" w:hAnsi="仿宋_GB2312" w:cs="Times New Roman"/>
          <w:szCs w:val="24"/>
          <w:lang w:val="en-US" w:eastAsia="zh-CN"/>
        </w:rPr>
        <w:t>经现场勘查及核查相关资料、会计凭证，</w:t>
      </w:r>
      <w:r>
        <w:rPr>
          <w:rFonts w:hint="eastAsia" w:ascii="仿宋_GB2312" w:hAnsi="仿宋_GB2312" w:cs="仿宋_GB2312"/>
          <w:b w:val="0"/>
          <w:bCs w:val="0"/>
          <w:color w:val="auto"/>
          <w:kern w:val="0"/>
          <w:sz w:val="32"/>
          <w:szCs w:val="32"/>
          <w:highlight w:val="none"/>
          <w:lang w:val="en-US" w:eastAsia="zh-CN" w:bidi="ar-SA"/>
        </w:rPr>
        <w:t>城中区教育局申请</w:t>
      </w:r>
      <w:r>
        <w:rPr>
          <w:rFonts w:hint="eastAsia" w:ascii="仿宋_GB2312" w:hAnsi="仿宋_GB2312" w:cs="Times New Roman"/>
          <w:szCs w:val="24"/>
          <w:lang w:val="en-US" w:eastAsia="zh-CN"/>
        </w:rPr>
        <w:t>2021年校园保安专项资金时，资金仅用于</w:t>
      </w:r>
      <w:r>
        <w:rPr>
          <w:rFonts w:hint="eastAsia" w:ascii="Times New Roman" w:hAnsi="Times New Roman" w:cs="Times New Roman"/>
          <w:sz w:val="32"/>
          <w:lang w:val="en-US" w:eastAsia="zh-CN"/>
        </w:rPr>
        <w:t>84名保安工资，每名保安2300元/月，共计231.84万元。但</w:t>
      </w:r>
      <w:r>
        <w:rPr>
          <w:rFonts w:hint="eastAsia" w:ascii="仿宋_GB2312" w:hAnsi="仿宋_GB2312" w:cs="Times New Roman"/>
          <w:szCs w:val="24"/>
          <w:lang w:val="en-US" w:eastAsia="zh-CN"/>
        </w:rPr>
        <w:t>青海宏创保安服务有限责任公司实际支出资金时部分用于支付保洁工资和保险费、培训费、行政办公费等其他费用，资金支出未全部用于保安工资，资金支出不符合预算申请及批复的用途。</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69" w:name="_Toc18843"/>
      <w:bookmarkStart w:id="70" w:name="_Toc3591"/>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3.未制定实施细则、专项资金管理办法</w:t>
      </w:r>
      <w:bookmarkEnd w:id="69"/>
      <w:bookmarkEnd w:id="70"/>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576" w:lineRule="exact"/>
        <w:ind w:left="0" w:leftChars="0" w:right="0" w:firstLine="640" w:firstLineChars="200"/>
        <w:jc w:val="both"/>
        <w:textAlignment w:val="auto"/>
        <w:rPr>
          <w:rFonts w:hint="default" w:ascii="仿宋_GB2312" w:hAnsi="仿宋_GB2312" w:eastAsia="仿宋_GB2312" w:cs="仿宋_GB2312"/>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城中区教育局作为项目实施主管单位，未制定校园保安管理细则，未明确保安公司、教育局、各学校、保安人员的主要职责，以及校园保安待遇及</w:t>
      </w:r>
      <w:r>
        <w:rPr>
          <w:rFonts w:hint="default" w:ascii="仿宋_GB2312" w:hAnsi="仿宋_GB2312" w:cs="仿宋_GB2312"/>
          <w:color w:val="auto"/>
          <w:kern w:val="2"/>
          <w:sz w:val="32"/>
          <w:szCs w:val="32"/>
          <w:highlight w:val="none"/>
          <w:lang w:val="en-US" w:eastAsia="zh-CN" w:bidi="ar-SA"/>
        </w:rPr>
        <w:t>考核</w:t>
      </w:r>
      <w:r>
        <w:rPr>
          <w:rFonts w:hint="default" w:ascii="仿宋_GB2312" w:hAnsi="仿宋_GB2312" w:eastAsia="仿宋_GB2312" w:cs="仿宋_GB2312"/>
          <w:color w:val="auto"/>
          <w:kern w:val="2"/>
          <w:sz w:val="32"/>
          <w:szCs w:val="32"/>
          <w:highlight w:val="none"/>
          <w:lang w:val="en-US" w:eastAsia="zh-CN" w:bidi="ar-SA"/>
        </w:rPr>
        <w:t>细则等；未建立专项资金管理制度，没有形成一套完整的制度体系，无法从</w:t>
      </w:r>
      <w:r>
        <w:rPr>
          <w:rFonts w:hint="eastAsia" w:ascii="仿宋_GB2312" w:hAnsi="仿宋_GB2312" w:cs="仿宋_GB2312"/>
          <w:color w:val="auto"/>
          <w:kern w:val="2"/>
          <w:sz w:val="32"/>
          <w:szCs w:val="32"/>
          <w:highlight w:val="none"/>
          <w:lang w:val="en-US" w:eastAsia="zh-CN" w:bidi="ar-SA"/>
        </w:rPr>
        <w:t>资金</w:t>
      </w:r>
      <w:r>
        <w:rPr>
          <w:rFonts w:hint="default" w:ascii="仿宋_GB2312" w:hAnsi="仿宋_GB2312" w:eastAsia="仿宋_GB2312" w:cs="仿宋_GB2312"/>
          <w:color w:val="auto"/>
          <w:kern w:val="2"/>
          <w:sz w:val="32"/>
          <w:szCs w:val="32"/>
          <w:highlight w:val="none"/>
          <w:lang w:val="en-US" w:eastAsia="zh-CN" w:bidi="ar-SA"/>
        </w:rPr>
        <w:t>申报、分类管理、项目预算、资金管理、项目实施、监督各环节监督项目实施，不利于财政资金的</w:t>
      </w:r>
      <w:r>
        <w:rPr>
          <w:rFonts w:hint="eastAsia" w:ascii="仿宋_GB2312" w:hAnsi="仿宋_GB2312" w:cs="仿宋_GB2312"/>
          <w:color w:val="auto"/>
          <w:kern w:val="2"/>
          <w:sz w:val="32"/>
          <w:szCs w:val="32"/>
          <w:highlight w:val="none"/>
          <w:lang w:val="en-US" w:eastAsia="zh-CN" w:bidi="ar-SA"/>
        </w:rPr>
        <w:t>安全高效</w:t>
      </w:r>
      <w:r>
        <w:rPr>
          <w:rFonts w:hint="default" w:ascii="仿宋_GB2312" w:hAnsi="仿宋_GB2312" w:eastAsia="仿宋_GB2312" w:cs="仿宋_GB2312"/>
          <w:color w:val="auto"/>
          <w:kern w:val="2"/>
          <w:sz w:val="32"/>
          <w:szCs w:val="32"/>
          <w:highlight w:val="none"/>
          <w:lang w:val="en-US" w:eastAsia="zh-CN" w:bidi="ar-SA"/>
        </w:rPr>
        <w:t>使用。</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71" w:name="_Toc4621"/>
      <w:bookmarkStart w:id="72" w:name="_Toc17069"/>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4.保安工资未按预算批复标准足额发放</w:t>
      </w:r>
      <w:bookmarkEnd w:id="71"/>
      <w:bookmarkEnd w:id="72"/>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eastAsia" w:ascii="Times New Roman" w:hAnsi="Times New Roman" w:cs="Times New Roman"/>
          <w:sz w:val="32"/>
          <w:lang w:val="en-US" w:eastAsia="zh-CN"/>
        </w:rPr>
      </w:pPr>
      <w:r>
        <w:rPr>
          <w:rFonts w:hint="default" w:ascii="仿宋_GB2312" w:hAnsi="仿宋_GB2312" w:eastAsia="仿宋_GB2312" w:cs="仿宋_GB2312"/>
          <w:color w:val="auto"/>
          <w:kern w:val="2"/>
          <w:sz w:val="32"/>
          <w:szCs w:val="32"/>
          <w:highlight w:val="none"/>
          <w:lang w:val="en-US" w:eastAsia="zh-CN" w:bidi="ar-SA"/>
        </w:rPr>
        <w:t>经查阅城中区教育局、青海宏创保安服务有限责任公司提供的相关资料，保安实际发放工资标准不一致，</w:t>
      </w:r>
      <w:r>
        <w:rPr>
          <w:rFonts w:hint="eastAsia" w:ascii="Times New Roman" w:hAnsi="Times New Roman" w:cs="Times New Roman"/>
          <w:sz w:val="32"/>
          <w:lang w:val="en-US" w:eastAsia="zh-CN"/>
        </w:rPr>
        <w:t>例如</w:t>
      </w:r>
      <w:r>
        <w:rPr>
          <w:rFonts w:hint="default" w:ascii="Times New Roman" w:hAnsi="Times New Roman" w:cs="Times New Roman"/>
          <w:sz w:val="32"/>
          <w:lang w:val="en-US" w:eastAsia="zh-CN"/>
        </w:rPr>
        <w:t>1926</w:t>
      </w:r>
      <w:r>
        <w:rPr>
          <w:rFonts w:hint="eastAsia" w:ascii="Times New Roman" w:hAnsi="Times New Roman" w:cs="Times New Roman"/>
          <w:sz w:val="32"/>
          <w:lang w:val="en-US" w:eastAsia="zh-CN"/>
        </w:rPr>
        <w:t>元/月、</w:t>
      </w:r>
      <w:r>
        <w:rPr>
          <w:rFonts w:hint="default" w:ascii="Times New Roman" w:hAnsi="Times New Roman" w:cs="Times New Roman"/>
          <w:sz w:val="32"/>
          <w:lang w:val="en-US" w:eastAsia="zh-CN"/>
        </w:rPr>
        <w:t>1920</w:t>
      </w:r>
      <w:r>
        <w:rPr>
          <w:rFonts w:hint="eastAsia" w:ascii="Times New Roman" w:hAnsi="Times New Roman" w:cs="Times New Roman"/>
          <w:sz w:val="32"/>
          <w:lang w:val="en-US" w:eastAsia="zh-CN"/>
        </w:rPr>
        <w:t>元/月、</w:t>
      </w:r>
      <w:r>
        <w:rPr>
          <w:rFonts w:hint="default" w:ascii="Times New Roman" w:hAnsi="Times New Roman" w:cs="Times New Roman"/>
          <w:sz w:val="32"/>
          <w:lang w:val="en-US" w:eastAsia="zh-CN"/>
        </w:rPr>
        <w:t>1900</w:t>
      </w:r>
      <w:r>
        <w:rPr>
          <w:rFonts w:hint="eastAsia" w:ascii="Times New Roman" w:hAnsi="Times New Roman" w:cs="Times New Roman"/>
          <w:sz w:val="32"/>
          <w:lang w:val="en-US" w:eastAsia="zh-CN"/>
        </w:rPr>
        <w:t>元/月、</w:t>
      </w:r>
      <w:r>
        <w:rPr>
          <w:rFonts w:hint="default" w:ascii="Times New Roman" w:hAnsi="Times New Roman" w:cs="Times New Roman"/>
          <w:sz w:val="32"/>
          <w:lang w:val="en-US" w:eastAsia="zh-CN"/>
        </w:rPr>
        <w:t>1780</w:t>
      </w:r>
      <w:r>
        <w:rPr>
          <w:rFonts w:hint="eastAsia" w:ascii="Times New Roman" w:hAnsi="Times New Roman" w:cs="Times New Roman"/>
          <w:sz w:val="32"/>
          <w:lang w:val="en-US" w:eastAsia="zh-CN"/>
        </w:rPr>
        <w:t>元/月等，</w:t>
      </w:r>
      <w:r>
        <w:rPr>
          <w:rFonts w:hint="default" w:ascii="Times New Roman" w:hAnsi="Times New Roman" w:cs="Times New Roman"/>
          <w:sz w:val="32"/>
          <w:lang w:val="en-US" w:eastAsia="zh-CN"/>
        </w:rPr>
        <w:t>均低于申请资金预算2300元/月</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eastAsia" w:ascii="楷体" w:hAnsi="楷体" w:eastAsia="楷体" w:cs="楷体"/>
          <w:b/>
          <w:bCs/>
          <w:color w:val="000000" w:themeColor="text1"/>
          <w:sz w:val="32"/>
          <w:szCs w:val="24"/>
          <w:lang w:val="en-US" w:eastAsia="zh-CN"/>
          <w14:textFill>
            <w14:solidFill>
              <w14:schemeClr w14:val="tx1"/>
            </w14:solidFill>
          </w14:textFill>
        </w:rPr>
      </w:pPr>
      <w:bookmarkStart w:id="73" w:name="_Toc26487"/>
      <w:bookmarkStart w:id="74" w:name="_Toc32287"/>
      <w:r>
        <w:rPr>
          <w:rFonts w:hint="eastAsia" w:ascii="楷体" w:hAnsi="楷体" w:eastAsia="楷体" w:cs="楷体"/>
          <w:b/>
          <w:bCs/>
          <w:color w:val="000000" w:themeColor="text1"/>
          <w:sz w:val="32"/>
          <w:szCs w:val="24"/>
          <w:lang w:val="en-US" w:eastAsia="zh-CN"/>
          <w14:textFill>
            <w14:solidFill>
              <w14:schemeClr w14:val="tx1"/>
            </w14:solidFill>
          </w14:textFill>
        </w:rPr>
        <w:t>（三）西宁市城中区总寨塬智能温室园区道路工程和排水工程项目</w:t>
      </w:r>
      <w:bookmarkEnd w:id="73"/>
      <w:bookmarkEnd w:id="74"/>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default"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75" w:name="_Toc22631"/>
      <w:bookmarkStart w:id="76" w:name="_Toc29768"/>
      <w:bookmarkStart w:id="77" w:name="_Toc2205"/>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1.项目工程款未按合同约定比例和进度支出，排水工程工程款资金支付方式不明确</w:t>
      </w:r>
      <w:bookmarkEnd w:id="75"/>
      <w:bookmarkEnd w:id="76"/>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auto"/>
        <w:outlineLvl w:val="9"/>
        <w:rPr>
          <w:rFonts w:hint="eastAsia" w:ascii="Times New Roman" w:hAnsi="Times New Roman" w:cs="Times New Roman"/>
          <w:sz w:val="32"/>
          <w:lang w:val="en-US" w:eastAsia="zh-CN"/>
        </w:rPr>
      </w:pPr>
      <w:r>
        <w:rPr>
          <w:rFonts w:hint="eastAsia" w:ascii="仿宋_GB2312" w:hAnsi="仿宋_GB2312" w:eastAsia="仿宋_GB2312" w:cs="仿宋_GB2312"/>
          <w:b w:val="0"/>
          <w:bCs w:val="0"/>
          <w:color w:val="auto"/>
          <w:kern w:val="2"/>
          <w:sz w:val="32"/>
          <w:szCs w:val="32"/>
          <w:highlight w:val="none"/>
          <w:lang w:val="en-US" w:eastAsia="zh-CN" w:bidi="ar-SA"/>
        </w:rPr>
        <w:t>项目工程款未按合同约定比例和进度支出，具体为：</w:t>
      </w:r>
      <w:r>
        <w:rPr>
          <w:rFonts w:hint="eastAsia" w:ascii="Times New Roman" w:hAnsi="Times New Roman" w:cs="Times New Roman"/>
          <w:sz w:val="32"/>
          <w:lang w:val="en-US" w:eastAsia="zh-CN"/>
        </w:rPr>
        <w:t>1.道路工程项目于2020年9月11日支付第一笔工程款57.84万元，2020年10月12日支付第二笔工程款77.12万元，2020年11月11日支付第三笔工程款28.92万元，2020年12月17日支付第四笔工程款25.83万元，依据道路工程签订的《建设工程施工合同》中关于付款周期“分3次支付，支付30%预付款，工程完工后支付60%，验收完结清。”的约定，工程施工款项未按合同约定的工程进度支出，且付款比例与合同不符；2.排水工程项目于2020年9月11日支付第一笔工程款31.28万元，2020年10月12日支付第二笔工程款41.71万元，2020年11月11日支付第三笔工程款15.64万元，2020年12月15日支付第四笔工程款17.39万元，由于排水工程施工合同中未对付款周期及付款比例进行约定，且未查阅到监理工程量签证，因此无法核实排水工程资金支付是否按工程进度支付。</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78" w:name="_Toc31166"/>
      <w:bookmarkStart w:id="79" w:name="_Toc14910"/>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2.项目移交管护不及时</w:t>
      </w:r>
      <w:bookmarkEnd w:id="78"/>
      <w:bookmarkEnd w:id="79"/>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auto"/>
        <w:outlineLvl w:val="9"/>
        <w:rPr>
          <w:rFonts w:hint="eastAsia" w:ascii="仿宋_GB2312" w:hAnsi="仿宋_GB2312" w:eastAsia="仿宋_GB2312" w:cs="仿宋_GB2312"/>
          <w:color w:val="auto"/>
          <w:kern w:val="2"/>
          <w:sz w:val="32"/>
          <w:szCs w:val="24"/>
          <w:lang w:val="en-US" w:eastAsia="zh-CN" w:bidi="ar-SA"/>
        </w:rPr>
      </w:pPr>
      <w:r>
        <w:rPr>
          <w:rFonts w:hint="eastAsia" w:ascii="仿宋_GB2312" w:hAnsi="仿宋_GB2312" w:eastAsia="仿宋_GB2312" w:cs="Times New Roman"/>
          <w:color w:val="auto"/>
          <w:kern w:val="2"/>
          <w:sz w:val="32"/>
          <w:szCs w:val="24"/>
          <w:lang w:val="en-US" w:eastAsia="zh-CN" w:bidi="ar-SA"/>
        </w:rPr>
        <w:t>城中区总寨塬智能温室园区道路工程和排水工程项目于</w:t>
      </w:r>
      <w:r>
        <w:rPr>
          <w:rFonts w:hint="eastAsia" w:ascii="Times New Roman" w:hAnsi="Times New Roman" w:cs="Times New Roman"/>
          <w:sz w:val="32"/>
          <w:lang w:val="en-US" w:eastAsia="zh-CN"/>
        </w:rPr>
        <w:t>2020年10月30日全部完工，截至2021年11月24日评价组调研期间，城中区农业农村和乡村振兴局尚未将城中区总寨塬智能温室园区道路工程和排水工程项目移交总寨塬智能温室园区管护。由于缺乏管护保障，项目存在以下问题：1.项目新建的“主线1”和“主线2”两条道路因大型车辆通行，造成部分路段受损，路面起伏不平，未得到及时、有效管护；2.</w:t>
      </w:r>
      <w:r>
        <w:rPr>
          <w:rFonts w:hint="eastAsia" w:ascii="仿宋_GB2312" w:hAnsi="仿宋_GB2312" w:eastAsia="仿宋_GB2312" w:cs="仿宋_GB2312"/>
          <w:color w:val="auto"/>
          <w:kern w:val="2"/>
          <w:sz w:val="32"/>
          <w:szCs w:val="24"/>
          <w:lang w:val="en-US" w:eastAsia="zh-CN" w:bidi="ar-SA"/>
        </w:rPr>
        <w:t>园区部分支线道路边及阳光带堆积大量农业生产产生的农业废弃物，无人清理，清理责任不明，影响园区种植环境，同时存在安全隐患。</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80" w:name="_Toc8760"/>
      <w:bookmarkStart w:id="81" w:name="_Toc18746"/>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3.财务管理和档案管理工作有待加强</w:t>
      </w:r>
      <w:bookmarkEnd w:id="80"/>
      <w:bookmarkEnd w:id="81"/>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right="0" w:rightChars="0" w:firstLine="640" w:firstLineChars="200"/>
        <w:jc w:val="both"/>
        <w:textAlignment w:val="auto"/>
        <w:outlineLvl w:val="9"/>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color w:val="auto"/>
          <w:kern w:val="2"/>
          <w:sz w:val="32"/>
          <w:szCs w:val="32"/>
          <w:lang w:val="en-US" w:eastAsia="zh-CN" w:bidi="ar-SA"/>
        </w:rPr>
        <w:t>在评价过程中发现，项目</w:t>
      </w:r>
      <w:r>
        <w:rPr>
          <w:rFonts w:hint="eastAsia" w:ascii="仿宋_GB2312" w:hAnsi="仿宋_GB2312" w:cs="仿宋_GB2312"/>
          <w:color w:val="auto"/>
          <w:kern w:val="2"/>
          <w:sz w:val="32"/>
          <w:szCs w:val="32"/>
          <w:lang w:val="en-US" w:eastAsia="zh-CN" w:bidi="ar-SA"/>
        </w:rPr>
        <w:t>资</w:t>
      </w:r>
      <w:r>
        <w:rPr>
          <w:rFonts w:hint="eastAsia" w:ascii="仿宋_GB2312" w:hAnsi="仿宋_GB2312" w:cs="仿宋_GB2312"/>
          <w:b w:val="0"/>
          <w:bCs w:val="0"/>
          <w:color w:val="auto"/>
          <w:sz w:val="32"/>
          <w:szCs w:val="32"/>
          <w:highlight w:val="none"/>
          <w:lang w:val="en-US" w:eastAsia="zh-CN"/>
        </w:rPr>
        <w:t>金支出明细账中存在记账凭证摘要错误，导致费用归类有误的情况，如：道路工程款记入排水工程明细账中，排水工程监理费、管理费、质检费记入道路工程明细账中，财务管理规范性不足；财务资料中缺少资金下达文件和绩效目标申报表，财务档案管理水平有待提升；由于评价组调研前夕，城中区农业农村和乡村振兴局办公区域整体装修，项目档案资料装箱另存，截至评价组调研期间办公区域仍未装修完毕，导致排水工程监理工程量签证、道路工程竣工验收资料、工程量变更批复项目部分资料未找到，无法核对工程变更量、道路工程完成情况和道路工程验收质量，项目档案管理仍需加强。</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82" w:name="_Toc2171"/>
      <w:bookmarkStart w:id="83" w:name="_Toc11038"/>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4.绩效指标设置不够细化明确</w:t>
      </w:r>
      <w:bookmarkEnd w:id="82"/>
      <w:bookmarkEnd w:id="83"/>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cs="Times New Roman"/>
          <w:color w:val="auto"/>
          <w:szCs w:val="24"/>
          <w:highlight w:val="none"/>
          <w:lang w:val="en-US" w:eastAsia="zh-CN"/>
        </w:rPr>
      </w:pPr>
      <w:r>
        <w:rPr>
          <w:rFonts w:hint="eastAsia" w:ascii="仿宋_GB2312" w:hAnsi="仿宋_GB2312" w:cs="Times New Roman"/>
          <w:color w:val="auto"/>
          <w:szCs w:val="24"/>
          <w:lang w:val="en-US" w:eastAsia="zh-CN"/>
        </w:rPr>
        <w:t>根据</w:t>
      </w:r>
      <w:r>
        <w:rPr>
          <w:rFonts w:hint="eastAsia" w:ascii="仿宋_GB2312" w:hAnsi="仿宋_GB2312" w:cs="Times New Roman"/>
          <w:color w:val="auto"/>
          <w:szCs w:val="24"/>
          <w:lang w:eastAsia="zh-CN"/>
        </w:rPr>
        <w:t>《</w:t>
      </w:r>
      <w:r>
        <w:rPr>
          <w:rFonts w:hint="eastAsia" w:ascii="仿宋_GB2312" w:hAnsi="仿宋_GB2312" w:cs="仿宋_GB2312"/>
          <w:b w:val="0"/>
          <w:bCs/>
          <w:color w:val="auto"/>
          <w:szCs w:val="32"/>
          <w:lang w:val="en-US" w:eastAsia="zh-CN"/>
        </w:rPr>
        <w:t>城中区总寨塬智能连栋温室园区道路工程项目</w:t>
      </w:r>
      <w:r>
        <w:rPr>
          <w:rFonts w:hint="eastAsia" w:ascii="仿宋_GB2312" w:hAnsi="仿宋_GB2312" w:cs="Times New Roman"/>
          <w:color w:val="auto"/>
          <w:szCs w:val="24"/>
          <w:lang w:val="en-US" w:eastAsia="zh-CN"/>
        </w:rPr>
        <w:t>绩效目标申报表</w:t>
      </w:r>
      <w:r>
        <w:rPr>
          <w:rFonts w:hint="eastAsia" w:ascii="仿宋_GB2312" w:hAnsi="仿宋_GB2312" w:cs="Times New Roman"/>
          <w:color w:val="auto"/>
          <w:szCs w:val="24"/>
          <w:lang w:eastAsia="zh-CN"/>
        </w:rPr>
        <w:t>》</w:t>
      </w:r>
      <w:r>
        <w:rPr>
          <w:rFonts w:hint="eastAsia" w:ascii="仿宋_GB2312" w:hAnsi="仿宋_GB2312" w:cs="Times New Roman"/>
          <w:color w:val="auto"/>
          <w:szCs w:val="24"/>
          <w:lang w:val="en-US" w:eastAsia="zh-CN"/>
        </w:rPr>
        <w:t>和</w:t>
      </w:r>
      <w:r>
        <w:rPr>
          <w:rFonts w:hint="eastAsia" w:ascii="仿宋_GB2312" w:hAnsi="仿宋_GB2312" w:cs="Times New Roman"/>
          <w:color w:val="auto"/>
          <w:szCs w:val="24"/>
          <w:lang w:eastAsia="zh-CN"/>
        </w:rPr>
        <w:t>《</w:t>
      </w:r>
      <w:r>
        <w:rPr>
          <w:rFonts w:hint="eastAsia" w:ascii="仿宋_GB2312" w:hAnsi="仿宋_GB2312" w:cs="仿宋_GB2312"/>
          <w:b w:val="0"/>
          <w:bCs/>
          <w:color w:val="auto"/>
          <w:szCs w:val="32"/>
          <w:lang w:val="en-US" w:eastAsia="zh-CN"/>
        </w:rPr>
        <w:t>城中区总寨塬智能连栋温室园区排水工程项目</w:t>
      </w:r>
      <w:r>
        <w:rPr>
          <w:rFonts w:hint="eastAsia" w:ascii="仿宋_GB2312" w:hAnsi="仿宋_GB2312" w:cs="Times New Roman"/>
          <w:color w:val="auto"/>
          <w:szCs w:val="24"/>
          <w:lang w:val="en-US" w:eastAsia="zh-CN"/>
        </w:rPr>
        <w:t>绩效目标申报表</w:t>
      </w:r>
      <w:r>
        <w:rPr>
          <w:rFonts w:hint="eastAsia" w:ascii="仿宋_GB2312" w:hAnsi="仿宋_GB2312" w:cs="Times New Roman"/>
          <w:color w:val="auto"/>
          <w:szCs w:val="24"/>
          <w:lang w:eastAsia="zh-CN"/>
        </w:rPr>
        <w:t>》，</w:t>
      </w:r>
      <w:r>
        <w:rPr>
          <w:rFonts w:hint="eastAsia" w:ascii="仿宋_GB2312" w:hAnsi="仿宋_GB2312" w:cs="Times New Roman"/>
          <w:color w:val="auto"/>
          <w:szCs w:val="24"/>
          <w:lang w:val="en-US" w:eastAsia="zh-CN"/>
        </w:rPr>
        <w:t>城中区总寨塬道路工程和排水工程项目绩效目标设定基本合理，未能将项目绩效目全部标细化分解为具体的绩效指标，例如：产出指标未分解为成本指标和时效指标两个二级指标，不能通过可衡量的指标值体现项目成</w:t>
      </w:r>
      <w:r>
        <w:rPr>
          <w:rFonts w:hint="eastAsia" w:ascii="仿宋_GB2312" w:hAnsi="仿宋_GB2312" w:cs="Times New Roman"/>
          <w:color w:val="auto"/>
          <w:szCs w:val="24"/>
          <w:highlight w:val="none"/>
          <w:lang w:val="en-US" w:eastAsia="zh-CN"/>
        </w:rPr>
        <w:t>本控制情况和完成时效情况，数量指标的三级指标未细化成具体的指标，绩效指标不够明确，不符合</w:t>
      </w:r>
      <w:r>
        <w:rPr>
          <w:rFonts w:hint="eastAsia" w:ascii="仿宋_GB2312" w:hAnsi="仿宋_GB2312" w:eastAsia="仿宋_GB2312" w:cs="Times New Roman"/>
          <w:bCs/>
          <w:color w:val="auto"/>
          <w:sz w:val="32"/>
          <w:szCs w:val="32"/>
          <w:highlight w:val="none"/>
          <w:lang w:val="en-US" w:eastAsia="zh-CN"/>
        </w:rPr>
        <w:t>《中共青海省委</w:t>
      </w:r>
      <w:r>
        <w:rPr>
          <w:rFonts w:hint="eastAsia" w:ascii="仿宋_GB2312" w:hAnsi="仿宋_GB2312" w:cs="Times New Roman"/>
          <w:bCs/>
          <w:color w:val="auto"/>
          <w:sz w:val="32"/>
          <w:szCs w:val="32"/>
          <w:highlight w:val="none"/>
          <w:lang w:val="en-US" w:eastAsia="zh-CN"/>
        </w:rPr>
        <w:t xml:space="preserve"> </w:t>
      </w:r>
      <w:r>
        <w:rPr>
          <w:rFonts w:hint="eastAsia" w:ascii="仿宋_GB2312" w:hAnsi="仿宋_GB2312" w:eastAsia="仿宋_GB2312" w:cs="Times New Roman"/>
          <w:bCs/>
          <w:color w:val="auto"/>
          <w:sz w:val="32"/>
          <w:szCs w:val="32"/>
          <w:highlight w:val="none"/>
          <w:lang w:val="en-US" w:eastAsia="zh-CN"/>
        </w:rPr>
        <w:t>青海省人民政府关于全面实施预算绩效管理的实施意见》（青发</w:t>
      </w:r>
      <w:r>
        <w:rPr>
          <w:rFonts w:hint="eastAsia" w:ascii="Times New Roman" w:hAnsi="Times New Roman" w:cs="Times New Roman"/>
          <w:sz w:val="32"/>
          <w:lang w:val="en-US" w:eastAsia="zh-CN"/>
        </w:rPr>
        <w:t>〔2019〕11号</w:t>
      </w:r>
      <w:r>
        <w:rPr>
          <w:rFonts w:hint="eastAsia" w:ascii="仿宋_GB2312" w:hAnsi="仿宋_GB2312" w:eastAsia="仿宋_GB2312" w:cs="Times New Roman"/>
          <w:bCs/>
          <w:color w:val="auto"/>
          <w:sz w:val="32"/>
          <w:szCs w:val="32"/>
          <w:highlight w:val="none"/>
          <w:lang w:val="en-US" w:eastAsia="zh-CN"/>
        </w:rPr>
        <w:t>）</w:t>
      </w:r>
      <w:r>
        <w:rPr>
          <w:rFonts w:hint="eastAsia" w:ascii="仿宋_GB2312" w:hAnsi="仿宋_GB2312" w:cs="Times New Roman"/>
          <w:bCs/>
          <w:color w:val="auto"/>
          <w:sz w:val="32"/>
          <w:szCs w:val="32"/>
          <w:highlight w:val="none"/>
          <w:lang w:val="en-US" w:eastAsia="zh-CN"/>
        </w:rPr>
        <w:t>“第七条 优化绩效目标管理 各地区各部门在建立项目储备和预算编制时，要科学设定部门和单位整体绩效目标、政策和项目绩效目标。绩效目标要包括产出、成本、经济效益、社会效益、生态效益、可持续影响和服务对象满意度等绩效指标，要与政策目的、财政投入规模、部门职能职责、项目实施计划、社会公众需求等相匹配”的要求</w:t>
      </w:r>
      <w:r>
        <w:rPr>
          <w:rFonts w:hint="eastAsia" w:ascii="仿宋_GB2312" w:hAnsi="仿宋_GB2312" w:cs="Times New Roman"/>
          <w:color w:val="auto"/>
          <w:szCs w:val="24"/>
          <w:highlight w:val="none"/>
          <w:lang w:val="en-US" w:eastAsia="zh-CN"/>
        </w:rPr>
        <w:t>。</w:t>
      </w:r>
    </w:p>
    <w:p>
      <w:pPr>
        <w:keepNext w:val="0"/>
        <w:keepLines w:val="0"/>
        <w:pageBreakBefore w:val="0"/>
        <w:widowControl w:val="0"/>
        <w:numPr>
          <w:ilvl w:val="0"/>
          <w:numId w:val="2"/>
        </w:numPr>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eastAsia" w:ascii="楷体" w:hAnsi="楷体" w:eastAsia="楷体" w:cs="楷体"/>
          <w:b/>
          <w:bCs/>
          <w:color w:val="000000" w:themeColor="text1"/>
          <w:sz w:val="32"/>
          <w:szCs w:val="24"/>
          <w:lang w:val="en-US" w:eastAsia="zh-CN"/>
          <w14:textFill>
            <w14:solidFill>
              <w14:schemeClr w14:val="tx1"/>
            </w14:solidFill>
          </w14:textFill>
        </w:rPr>
      </w:pPr>
      <w:bookmarkStart w:id="84" w:name="_Toc26382"/>
      <w:bookmarkStart w:id="85" w:name="_Toc1179"/>
      <w:r>
        <w:rPr>
          <w:rFonts w:hint="eastAsia" w:ascii="楷体" w:hAnsi="楷体" w:eastAsia="楷体" w:cs="楷体"/>
          <w:b/>
          <w:bCs/>
          <w:color w:val="000000" w:themeColor="text1"/>
          <w:sz w:val="32"/>
          <w:szCs w:val="24"/>
          <w:lang w:val="en-US" w:eastAsia="zh-CN"/>
          <w14:textFill>
            <w14:solidFill>
              <w14:schemeClr w14:val="tx1"/>
            </w14:solidFill>
          </w14:textFill>
        </w:rPr>
        <w:t>西宁市城中区福禄巷南社区老年日间照料中心装修及设备购置项目</w:t>
      </w:r>
      <w:bookmarkEnd w:id="84"/>
      <w:bookmarkEnd w:id="85"/>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86" w:name="_Toc17905"/>
      <w:bookmarkStart w:id="87" w:name="_Toc14228"/>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1.项目绩效指标设定不够合理准确，不够细化量化</w:t>
      </w:r>
      <w:bookmarkEnd w:id="86"/>
      <w:bookmarkEnd w:id="87"/>
    </w:p>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640" w:firstLineChars="200"/>
        <w:textAlignment w:val="auto"/>
        <w:rPr>
          <w:rFonts w:hint="default" w:ascii="仿宋_GB2312" w:hAnsi="仿宋_GB2312" w:eastAsia="仿宋_GB2312" w:cs="Times New Roman"/>
          <w:b w:val="0"/>
          <w:bCs w:val="0"/>
          <w:color w:val="auto"/>
          <w:szCs w:val="24"/>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根据查阅该项目填报的《县级项目支出绩效目标申报表》，表中</w:t>
      </w:r>
      <w:r>
        <w:rPr>
          <w:rFonts w:hint="eastAsia" w:ascii="仿宋_GB2312" w:hAnsi="仿宋_GB2312" w:eastAsia="仿宋_GB2312" w:cs="仿宋_GB2312"/>
          <w:color w:val="auto"/>
          <w:kern w:val="2"/>
          <w:sz w:val="32"/>
          <w:szCs w:val="24"/>
          <w:highlight w:val="none"/>
          <w:lang w:val="en-US" w:eastAsia="zh-CN" w:bidi="ar-SA"/>
        </w:rPr>
        <w:t>绩效指标设</w:t>
      </w:r>
      <w:r>
        <w:rPr>
          <w:rFonts w:hint="eastAsia" w:ascii="仿宋_GB2312" w:hAnsi="仿宋_GB2312" w:cs="仿宋_GB2312"/>
          <w:color w:val="auto"/>
          <w:kern w:val="2"/>
          <w:sz w:val="32"/>
          <w:szCs w:val="24"/>
          <w:highlight w:val="none"/>
          <w:lang w:val="en-US" w:eastAsia="zh-CN" w:bidi="ar-SA"/>
        </w:rPr>
        <w:t>定不够合理准确，</w:t>
      </w:r>
      <w:r>
        <w:rPr>
          <w:rFonts w:hint="eastAsia" w:ascii="仿宋_GB2312" w:hAnsi="仿宋_GB2312" w:eastAsia="仿宋_GB2312" w:cs="仿宋_GB2312"/>
          <w:color w:val="auto"/>
          <w:kern w:val="2"/>
          <w:sz w:val="32"/>
          <w:szCs w:val="24"/>
          <w:highlight w:val="none"/>
          <w:lang w:val="en-US" w:eastAsia="zh-CN" w:bidi="ar-SA"/>
        </w:rPr>
        <w:t>不够细化量化</w:t>
      </w:r>
      <w:r>
        <w:rPr>
          <w:rFonts w:hint="eastAsia" w:ascii="仿宋_GB2312" w:hAnsi="仿宋_GB2312" w:cs="仿宋_GB2312"/>
          <w:color w:val="auto"/>
          <w:kern w:val="2"/>
          <w:sz w:val="32"/>
          <w:szCs w:val="24"/>
          <w:highlight w:val="none"/>
          <w:lang w:val="en-US" w:eastAsia="zh-CN" w:bidi="ar-SA"/>
        </w:rPr>
        <w:t>，</w:t>
      </w:r>
      <w:r>
        <w:rPr>
          <w:rFonts w:hint="eastAsia" w:ascii="仿宋_GB2312" w:hAnsi="仿宋_GB2312" w:eastAsia="仿宋_GB2312" w:cs="仿宋_GB2312"/>
          <w:color w:val="auto"/>
          <w:kern w:val="2"/>
          <w:sz w:val="32"/>
          <w:szCs w:val="24"/>
          <w:highlight w:val="none"/>
          <w:lang w:val="en-US" w:eastAsia="zh-CN" w:bidi="ar-SA"/>
        </w:rPr>
        <w:t>指标值设定不够清晰、可衡量，部分指标内容填写不准确</w:t>
      </w:r>
      <w:r>
        <w:rPr>
          <w:rFonts w:hint="eastAsia" w:ascii="仿宋_GB2312" w:hAnsi="仿宋_GB2312" w:cs="仿宋_GB2312"/>
          <w:color w:val="auto"/>
          <w:kern w:val="2"/>
          <w:sz w:val="32"/>
          <w:szCs w:val="24"/>
          <w:highlight w:val="none"/>
          <w:lang w:val="en-US" w:eastAsia="zh-CN" w:bidi="ar-SA"/>
        </w:rPr>
        <w:t>。</w:t>
      </w:r>
      <w:r>
        <w:rPr>
          <w:rFonts w:hint="eastAsia" w:ascii="仿宋_GB2312" w:hAnsi="仿宋_GB2312" w:cs="仿宋_GB2312"/>
          <w:b w:val="0"/>
          <w:bCs w:val="0"/>
          <w:color w:val="auto"/>
          <w:sz w:val="32"/>
          <w:szCs w:val="32"/>
          <w:highlight w:val="none"/>
          <w:lang w:val="en-US" w:eastAsia="zh-CN"/>
        </w:rPr>
        <w:t>具体为：</w:t>
      </w:r>
      <w:r>
        <w:rPr>
          <w:rFonts w:hint="eastAsia" w:ascii="仿宋_GB2312" w:hAnsi="仿宋_GB2312" w:eastAsia="仿宋_GB2312" w:cs="仿宋_GB2312"/>
          <w:b w:val="0"/>
          <w:bCs w:val="0"/>
          <w:color w:val="auto"/>
          <w:sz w:val="32"/>
          <w:szCs w:val="32"/>
          <w:highlight w:val="none"/>
          <w:lang w:val="en-US" w:eastAsia="zh-CN"/>
        </w:rPr>
        <w:t>一级指标“服务对象满意度指标”未细化设定对应的二级指标</w:t>
      </w:r>
      <w:r>
        <w:rPr>
          <w:rFonts w:hint="eastAsia" w:ascii="仿宋_GB2312" w:hAnsi="仿宋_GB2312"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二级指标“成本指标”、“经济效益指标”未填写指标内容；“质量指标”和“时效指标”指标</w:t>
      </w:r>
      <w:r>
        <w:rPr>
          <w:rFonts w:hint="eastAsia" w:ascii="仿宋_GB2312" w:hAnsi="仿宋_GB2312" w:eastAsia="仿宋_GB2312" w:cs="仿宋_GB2312"/>
          <w:color w:val="auto"/>
          <w:kern w:val="2"/>
          <w:sz w:val="32"/>
          <w:szCs w:val="24"/>
          <w:highlight w:val="none"/>
          <w:lang w:val="en-US" w:eastAsia="zh-CN" w:bidi="ar-SA"/>
        </w:rPr>
        <w:t>内容填写不准确，如将“质量指标”的指标内容填写为“项目按计划开工率”，“时效指标”的指标内容填写为“项目完成率”，而“项目按计划开工率”、“项目完成率”应属于“数量指标”的指标内容</w:t>
      </w:r>
      <w:r>
        <w:rPr>
          <w:rFonts w:hint="eastAsia" w:ascii="仿宋_GB2312" w:hAnsi="仿宋_GB2312" w:cs="仿宋_GB2312"/>
          <w:color w:val="auto"/>
          <w:kern w:val="2"/>
          <w:sz w:val="32"/>
          <w:szCs w:val="24"/>
          <w:highlight w:val="none"/>
          <w:lang w:val="en-US" w:eastAsia="zh-CN" w:bidi="ar-SA"/>
        </w:rPr>
        <w:t>。</w:t>
      </w:r>
      <w:r>
        <w:rPr>
          <w:rFonts w:hint="eastAsia" w:ascii="仿宋_GB2312" w:hAnsi="仿宋_GB2312" w:cs="Times New Roman"/>
          <w:color w:val="auto"/>
          <w:szCs w:val="24"/>
          <w:highlight w:val="none"/>
          <w:lang w:val="en-US" w:eastAsia="zh-CN"/>
        </w:rPr>
        <w:t>绩效指标设定不符合</w:t>
      </w:r>
      <w:r>
        <w:rPr>
          <w:rFonts w:hint="eastAsia" w:ascii="仿宋_GB2312" w:hAnsi="仿宋_GB2312" w:eastAsia="仿宋_GB2312" w:cs="Times New Roman"/>
          <w:bCs/>
          <w:color w:val="auto"/>
          <w:sz w:val="32"/>
          <w:szCs w:val="32"/>
          <w:highlight w:val="none"/>
          <w:lang w:val="en-US" w:eastAsia="zh-CN"/>
        </w:rPr>
        <w:t>《中共青海省委</w:t>
      </w:r>
      <w:r>
        <w:rPr>
          <w:rFonts w:hint="eastAsia" w:ascii="仿宋_GB2312" w:hAnsi="仿宋_GB2312" w:cs="Times New Roman"/>
          <w:bCs/>
          <w:color w:val="auto"/>
          <w:sz w:val="32"/>
          <w:szCs w:val="32"/>
          <w:highlight w:val="none"/>
          <w:lang w:val="en-US" w:eastAsia="zh-CN"/>
        </w:rPr>
        <w:t xml:space="preserve"> </w:t>
      </w:r>
      <w:r>
        <w:rPr>
          <w:rFonts w:hint="eastAsia" w:ascii="仿宋_GB2312" w:hAnsi="仿宋_GB2312" w:eastAsia="仿宋_GB2312" w:cs="Times New Roman"/>
          <w:bCs/>
          <w:color w:val="auto"/>
          <w:sz w:val="32"/>
          <w:szCs w:val="32"/>
          <w:highlight w:val="none"/>
          <w:lang w:val="en-US" w:eastAsia="zh-CN"/>
        </w:rPr>
        <w:t>青海省人民政府关于全面实施预算绩效管理的实施意见》</w:t>
      </w:r>
      <w:r>
        <w:rPr>
          <w:rFonts w:hint="eastAsia" w:ascii="Times New Roman" w:hAnsi="Times New Roman" w:cs="Times New Roman"/>
          <w:sz w:val="32"/>
          <w:lang w:val="en-US" w:eastAsia="zh-CN"/>
        </w:rPr>
        <w:t>（青发〔2019〕11号）“第七</w:t>
      </w:r>
      <w:r>
        <w:rPr>
          <w:rFonts w:hint="eastAsia" w:ascii="仿宋_GB2312" w:hAnsi="仿宋_GB2312" w:cs="Times New Roman"/>
          <w:bCs/>
          <w:color w:val="auto"/>
          <w:sz w:val="32"/>
          <w:szCs w:val="32"/>
          <w:highlight w:val="none"/>
          <w:lang w:val="en-US" w:eastAsia="zh-CN"/>
        </w:rPr>
        <w:t>条 优化绩效目标管理 各地区各部门在建立项目储备和预算编制时，要科学设定部门和单位整体绩效目标、政策和项目绩效目标。绩效目标要包括产出、成本、经济效益、社会效益、生态效益、可持续影响和服务对象满意度等绩效指标，要与政策目的、财政投入规模、部门职能职责、项目实施计划、社会公众需求等相匹配”中关于预算资金绩效目标管理的相关要求</w:t>
      </w:r>
      <w:r>
        <w:rPr>
          <w:rFonts w:hint="eastAsia" w:ascii="仿宋_GB2312" w:hAnsi="仿宋_GB2312" w:cs="Times New Roman"/>
          <w:color w:val="auto"/>
          <w:szCs w:val="24"/>
          <w:highlight w:val="none"/>
          <w:lang w:val="en-US" w:eastAsia="zh-CN"/>
        </w:rPr>
        <w:t>。</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88" w:name="_Toc28004"/>
      <w:bookmarkStart w:id="89" w:name="_Toc27016"/>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2.室内装修工程完工不及时</w:t>
      </w:r>
      <w:bookmarkEnd w:id="88"/>
      <w:bookmarkEnd w:id="89"/>
    </w:p>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城中区福禄巷南社区老年日间照料中心</w:t>
      </w:r>
      <w:r>
        <w:rPr>
          <w:rFonts w:hint="eastAsia" w:ascii="仿宋_GB2312" w:hAnsi="仿宋_GB2312" w:cs="仿宋_GB2312"/>
          <w:b w:val="0"/>
          <w:bCs w:val="0"/>
          <w:color w:val="auto"/>
          <w:sz w:val="32"/>
          <w:szCs w:val="32"/>
          <w:highlight w:val="none"/>
          <w:lang w:val="en-US" w:eastAsia="zh-CN"/>
        </w:rPr>
        <w:t>室内</w:t>
      </w:r>
      <w:r>
        <w:rPr>
          <w:rFonts w:hint="eastAsia" w:ascii="仿宋_GB2312" w:hAnsi="仿宋_GB2312" w:eastAsia="仿宋_GB2312" w:cs="仿宋_GB2312"/>
          <w:b w:val="0"/>
          <w:bCs w:val="0"/>
          <w:color w:val="auto"/>
          <w:sz w:val="32"/>
          <w:szCs w:val="32"/>
          <w:highlight w:val="none"/>
          <w:lang w:val="en-US" w:eastAsia="zh-CN"/>
        </w:rPr>
        <w:t>装修工程招标工期</w:t>
      </w:r>
      <w:r>
        <w:rPr>
          <w:rFonts w:hint="eastAsia" w:ascii="Times New Roman" w:hAnsi="Times New Roman" w:cs="Times New Roman"/>
          <w:sz w:val="32"/>
          <w:lang w:val="en-US" w:eastAsia="zh-CN"/>
        </w:rPr>
        <w:t>60天，计划于2020年10月30日开工，2020年12月31日完工，但实际于2020年11月初进场施工，11月下旬因未供暖影响施工而停工，次年3月下旬重新开工，6</w:t>
      </w:r>
      <w:r>
        <w:rPr>
          <w:rFonts w:hint="eastAsia" w:ascii="仿宋_GB2312" w:hAnsi="仿宋_GB2312" w:eastAsia="仿宋_GB2312" w:cs="仿宋_GB2312"/>
          <w:b w:val="0"/>
          <w:bCs w:val="0"/>
          <w:color w:val="auto"/>
          <w:sz w:val="32"/>
          <w:szCs w:val="32"/>
          <w:highlight w:val="none"/>
          <w:lang w:val="en-US" w:eastAsia="zh-CN"/>
        </w:rPr>
        <w:t>月底基本完工，工程施工进度较计划时间有延迟。</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90" w:name="_Toc20201"/>
      <w:bookmarkStart w:id="91" w:name="_Toc6019"/>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3.部分设备采购验收不及时</w:t>
      </w:r>
      <w:bookmarkEnd w:id="90"/>
      <w:bookmarkEnd w:id="91"/>
    </w:p>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经查阅采购合同与采购验收报告单等资料，电脑设备、办公家具采购合同签订时间为</w:t>
      </w:r>
      <w:r>
        <w:rPr>
          <w:rFonts w:hint="eastAsia" w:ascii="Times New Roman" w:hAnsi="Times New Roman" w:cs="Times New Roman"/>
          <w:sz w:val="32"/>
          <w:lang w:val="en-US" w:eastAsia="zh-CN"/>
        </w:rPr>
        <w:t>2021年5月18日，合同签订后20个工作日交付使用，即2021年6月7日交付，预验收时间为2021年7月8日，</w:t>
      </w:r>
      <w:r>
        <w:rPr>
          <w:rFonts w:hint="eastAsia" w:ascii="仿宋_GB2312" w:hAnsi="仿宋_GB2312" w:eastAsia="仿宋_GB2312" w:cs="仿宋_GB2312"/>
          <w:b w:val="0"/>
          <w:bCs w:val="0"/>
          <w:color w:val="auto"/>
          <w:sz w:val="32"/>
          <w:szCs w:val="32"/>
          <w:highlight w:val="none"/>
          <w:lang w:val="en-US" w:eastAsia="zh-CN"/>
        </w:rPr>
        <w:t>验收时间有延迟，验收不及时。</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0"/>
        <w:rPr>
          <w:rFonts w:hint="eastAsia" w:ascii="黑体" w:hAnsi="黑体" w:eastAsia="黑体" w:cs="黑体"/>
          <w:b/>
          <w:bCs/>
          <w:color w:val="000000" w:themeColor="text1"/>
          <w:sz w:val="32"/>
          <w:szCs w:val="24"/>
          <w:lang w:val="en-US" w:eastAsia="zh-CN"/>
          <w14:textFill>
            <w14:solidFill>
              <w14:schemeClr w14:val="tx1"/>
            </w14:solidFill>
          </w14:textFill>
        </w:rPr>
      </w:pPr>
      <w:bookmarkStart w:id="92" w:name="_Toc30254"/>
      <w:bookmarkStart w:id="93" w:name="_Toc5314"/>
      <w:r>
        <w:rPr>
          <w:rFonts w:hint="eastAsia" w:ascii="黑体" w:hAnsi="黑体" w:eastAsia="黑体" w:cs="黑体"/>
          <w:b/>
          <w:bCs/>
          <w:color w:val="000000" w:themeColor="text1"/>
          <w:sz w:val="32"/>
          <w:szCs w:val="24"/>
          <w:lang w:val="en-US" w:eastAsia="zh-CN"/>
          <w14:textFill>
            <w14:solidFill>
              <w14:schemeClr w14:val="tx1"/>
            </w14:solidFill>
          </w14:textFill>
        </w:rPr>
        <w:t>四、相关建议</w:t>
      </w:r>
      <w:bookmarkEnd w:id="77"/>
      <w:bookmarkEnd w:id="92"/>
      <w:bookmarkEnd w:id="93"/>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default" w:ascii="楷体" w:hAnsi="楷体" w:eastAsia="楷体" w:cs="楷体"/>
          <w:b/>
          <w:bCs/>
          <w:color w:val="000000" w:themeColor="text1"/>
          <w:sz w:val="32"/>
          <w:szCs w:val="24"/>
          <w:lang w:val="en-US" w:eastAsia="zh-CN"/>
          <w14:textFill>
            <w14:solidFill>
              <w14:schemeClr w14:val="tx1"/>
            </w14:solidFill>
          </w14:textFill>
        </w:rPr>
      </w:pPr>
      <w:bookmarkStart w:id="94" w:name="_Toc25232"/>
      <w:bookmarkStart w:id="95" w:name="_Toc20320"/>
      <w:r>
        <w:rPr>
          <w:rFonts w:hint="eastAsia" w:ascii="楷体" w:hAnsi="楷体" w:eastAsia="楷体" w:cs="楷体"/>
          <w:b/>
          <w:bCs/>
          <w:color w:val="000000" w:themeColor="text1"/>
          <w:sz w:val="32"/>
          <w:szCs w:val="24"/>
          <w:lang w:val="en-US" w:eastAsia="zh-CN"/>
          <w14:textFill>
            <w14:solidFill>
              <w14:schemeClr w14:val="tx1"/>
            </w14:solidFill>
          </w14:textFill>
        </w:rPr>
        <w:t>（一）西宁市城中区前营街幼儿园建设项目</w:t>
      </w:r>
      <w:bookmarkEnd w:id="94"/>
      <w:bookmarkEnd w:id="95"/>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pPr>
      <w:bookmarkStart w:id="96" w:name="_Toc26061"/>
      <w:bookmarkStart w:id="97" w:name="_Toc28833"/>
      <w:r>
        <w:rPr>
          <w:rFonts w:hint="eastAsia" w:ascii="仿宋_GB2312" w:hAnsi="仿宋_GB2312" w:cs="Times New Roman"/>
          <w:b/>
          <w:bCs/>
          <w:color w:val="000000" w:themeColor="text1"/>
          <w:kern w:val="2"/>
          <w:sz w:val="32"/>
          <w:szCs w:val="24"/>
          <w:lang w:val="en-US" w:eastAsia="zh-CN" w:bidi="ar-SA"/>
          <w14:textFill>
            <w14:solidFill>
              <w14:schemeClr w14:val="tx1"/>
            </w14:solidFill>
          </w14:textFill>
        </w:rPr>
        <w:t>1.</w:t>
      </w:r>
      <w:r>
        <w:rPr>
          <w:rFonts w:hint="eastAsia" w:ascii="仿宋_GB2312" w:hAnsi="仿宋_GB2312" w:eastAsia="仿宋_GB2312" w:cs="Times New Roman"/>
          <w:b/>
          <w:bCs/>
          <w:color w:val="000000" w:themeColor="text1"/>
          <w:kern w:val="2"/>
          <w:sz w:val="32"/>
          <w:szCs w:val="24"/>
          <w:lang w:val="en-US" w:eastAsia="zh-CN" w:bidi="ar-SA"/>
          <w14:textFill>
            <w14:solidFill>
              <w14:schemeClr w14:val="tx1"/>
            </w14:solidFill>
          </w14:textFill>
        </w:rPr>
        <w:t>优化预算绩效管理，提高指标编制水平</w:t>
      </w:r>
      <w:bookmarkEnd w:id="96"/>
      <w:bookmarkEnd w:id="97"/>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auto"/>
        <w:rPr>
          <w:rFonts w:hint="default" w:ascii="仿宋_GB2312" w:hAnsi="仿宋_GB2312" w:cs="仿宋_GB2312"/>
          <w:color w:val="auto"/>
          <w:szCs w:val="24"/>
          <w:lang w:val="en-US" w:eastAsia="zh-CN"/>
        </w:rPr>
      </w:pPr>
      <w:r>
        <w:rPr>
          <w:rFonts w:hint="eastAsia" w:ascii="仿宋_GB2312" w:hAnsi="仿宋_GB2312" w:cs="仿宋_GB2312"/>
          <w:color w:val="auto"/>
          <w:szCs w:val="32"/>
        </w:rPr>
        <w:t>建议</w:t>
      </w:r>
      <w:r>
        <w:rPr>
          <w:rFonts w:hint="eastAsia" w:ascii="仿宋_GB2312" w:hAnsi="仿宋_GB2312" w:cs="仿宋_GB2312"/>
          <w:color w:val="auto"/>
          <w:szCs w:val="32"/>
          <w:lang w:eastAsia="zh-CN"/>
        </w:rPr>
        <w:t>城中区教育局</w:t>
      </w:r>
      <w:r>
        <w:rPr>
          <w:rFonts w:hint="eastAsia" w:ascii="仿宋_GB2312" w:hAnsi="仿宋_GB2312" w:cs="仿宋_GB2312"/>
          <w:color w:val="auto"/>
          <w:szCs w:val="32"/>
        </w:rPr>
        <w:t>在以后年度按照</w:t>
      </w:r>
      <w:r>
        <w:rPr>
          <w:rFonts w:hint="eastAsia" w:ascii="仿宋_GB2312" w:hAnsi="仿宋_GB2312" w:cs="仿宋_GB2312"/>
          <w:color w:val="auto"/>
          <w:szCs w:val="24"/>
        </w:rPr>
        <w:t>《中共中央 国务院关于全面实施预算绩效管理的意见》（中发</w:t>
      </w:r>
      <w:r>
        <w:rPr>
          <w:rFonts w:hint="eastAsia" w:ascii="Times New Roman" w:hAnsi="Times New Roman" w:cs="Times New Roman"/>
          <w:sz w:val="32"/>
          <w:lang w:val="en-US" w:eastAsia="zh-CN"/>
        </w:rPr>
        <w:t>〔2018〕34号）、财政部《关于印发&lt;项目支出绩效评价管理办法&gt;的通知》（财预〔2020〕10号）、《中共青海省委 青海省人民政府关于全面实施预算绩效管理的实施意见》（青发〔2019〕11号）等</w:t>
      </w:r>
      <w:r>
        <w:rPr>
          <w:rFonts w:hint="eastAsia" w:ascii="仿宋_GB2312" w:hAnsi="仿宋_GB2312" w:cs="仿宋_GB2312"/>
          <w:color w:val="auto"/>
          <w:szCs w:val="32"/>
        </w:rPr>
        <w:t>文件，</w:t>
      </w:r>
      <w:r>
        <w:rPr>
          <w:rFonts w:hint="eastAsia" w:ascii="仿宋_GB2312" w:hAnsi="仿宋_GB2312" w:cs="仿宋_GB2312"/>
          <w:color w:val="auto"/>
          <w:szCs w:val="24"/>
        </w:rPr>
        <w:t>从预算绩效管理入手，加强绩效目标管理，明确绩效目标管理内容，抓好绩效目标管理重点，提高绩效目标设定能力</w:t>
      </w:r>
      <w:r>
        <w:rPr>
          <w:rFonts w:hint="eastAsia" w:ascii="仿宋_GB2312" w:hAnsi="仿宋_GB2312" w:cs="仿宋_GB2312"/>
          <w:color w:val="auto"/>
          <w:szCs w:val="32"/>
        </w:rPr>
        <w:t>。编制绩效目标要能够清晰反映项目实施所达到的预期效果，并按照定量和定性相结合的要求设置绩效指标，着重突出产出、成本、效益、可持续影响力和服务对象满意度等核心绩效指标，尽可能做到量化细化、可衡量、可对比</w:t>
      </w:r>
      <w:r>
        <w:rPr>
          <w:rFonts w:hint="eastAsia" w:ascii="仿宋_GB2312" w:hAnsi="仿宋_GB2312" w:cs="仿宋_GB2312"/>
          <w:color w:val="auto"/>
          <w:szCs w:val="32"/>
          <w:lang w:eastAsia="zh-CN"/>
        </w:rPr>
        <w:t>；指标值应尽量细化、量化，可量化的用数值描述，不可量化的以定性描述</w:t>
      </w:r>
      <w:r>
        <w:rPr>
          <w:rFonts w:hint="eastAsia" w:ascii="仿宋_GB2312" w:hAnsi="仿宋_GB2312" w:cs="仿宋_GB2312"/>
          <w:color w:val="auto"/>
          <w:szCs w:val="32"/>
        </w:rPr>
        <w:t>。</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default" w:ascii="仿宋_GB2312" w:hAnsi="仿宋_GB2312" w:cs="Times New Roman"/>
          <w:b/>
          <w:bCs/>
          <w:color w:val="000000" w:themeColor="text1"/>
          <w:kern w:val="2"/>
          <w:sz w:val="32"/>
          <w:szCs w:val="24"/>
          <w:lang w:val="en-US" w:eastAsia="zh-CN" w:bidi="ar-SA"/>
          <w14:textFill>
            <w14:solidFill>
              <w14:schemeClr w14:val="tx1"/>
            </w14:solidFill>
          </w14:textFill>
        </w:rPr>
      </w:pPr>
      <w:bookmarkStart w:id="98" w:name="_Toc8444"/>
      <w:bookmarkStart w:id="99" w:name="_Toc30235"/>
      <w:r>
        <w:rPr>
          <w:rFonts w:hint="eastAsia" w:ascii="仿宋_GB2312" w:hAnsi="仿宋_GB2312" w:cs="Times New Roman"/>
          <w:b/>
          <w:bCs/>
          <w:color w:val="000000" w:themeColor="text1"/>
          <w:kern w:val="2"/>
          <w:sz w:val="32"/>
          <w:szCs w:val="24"/>
          <w:lang w:val="en-US" w:eastAsia="zh-CN" w:bidi="ar-SA"/>
          <w14:textFill>
            <w14:solidFill>
              <w14:schemeClr w14:val="tx1"/>
            </w14:solidFill>
          </w14:textFill>
        </w:rPr>
        <w:t>2.严格建设手续，规范项目建设流程</w:t>
      </w:r>
      <w:bookmarkEnd w:id="98"/>
      <w:bookmarkEnd w:id="99"/>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Times New Roman" w:cs="Times New Roman"/>
          <w:b w:val="0"/>
          <w:bCs w:val="0"/>
          <w:color w:val="000000"/>
          <w:sz w:val="32"/>
          <w:szCs w:val="32"/>
          <w:highlight w:val="none"/>
          <w:lang w:val="en-US" w:eastAsia="zh-CN"/>
        </w:rPr>
      </w:pPr>
      <w:r>
        <w:rPr>
          <w:rFonts w:hint="eastAsia" w:ascii="仿宋_GB2312" w:hAnsi="仿宋_GB2312" w:cs="仿宋_GB2312"/>
          <w:color w:val="auto"/>
          <w:szCs w:val="24"/>
          <w:highlight w:val="none"/>
          <w:lang w:val="en-US" w:eastAsia="zh-CN"/>
        </w:rPr>
        <w:t>建议城中区教育局在以后实施基建项目时，</w:t>
      </w:r>
      <w:r>
        <w:rPr>
          <w:rFonts w:hint="eastAsia" w:ascii="仿宋_GB2312" w:hAnsi="Times New Roman" w:eastAsia="仿宋_GB2312" w:cs="Times New Roman"/>
          <w:b w:val="0"/>
          <w:bCs w:val="0"/>
          <w:color w:val="000000"/>
          <w:sz w:val="32"/>
          <w:szCs w:val="32"/>
          <w:highlight w:val="none"/>
          <w:lang w:val="en-US" w:eastAsia="zh-CN"/>
        </w:rPr>
        <w:t>严格按照法定程序报批</w:t>
      </w:r>
      <w:r>
        <w:rPr>
          <w:rFonts w:hint="eastAsia" w:ascii="仿宋_GB2312" w:hAnsi="Times New Roman" w:cs="Times New Roman"/>
          <w:b w:val="0"/>
          <w:bCs w:val="0"/>
          <w:color w:val="000000"/>
          <w:sz w:val="32"/>
          <w:szCs w:val="32"/>
          <w:highlight w:val="none"/>
          <w:lang w:val="en-US" w:eastAsia="zh-CN"/>
        </w:rPr>
        <w:t>、执行基本建设程序，做好施工图审查、施工许可、质量监督、竣工验收备案等工作，尤其针对发现的问题，引起重视，严格执行</w:t>
      </w:r>
      <w:r>
        <w:rPr>
          <w:rFonts w:hint="eastAsia" w:ascii="仿宋_GB2312" w:hAnsi="Times New Roman" w:eastAsia="仿宋_GB2312" w:cs="Times New Roman"/>
          <w:b w:val="0"/>
          <w:bCs w:val="0"/>
          <w:color w:val="000000"/>
          <w:sz w:val="32"/>
          <w:szCs w:val="32"/>
          <w:highlight w:val="none"/>
          <w:lang w:val="en-US" w:eastAsia="zh-CN"/>
        </w:rPr>
        <w:t>《</w:t>
      </w:r>
      <w:r>
        <w:rPr>
          <w:rFonts w:hint="eastAsia" w:ascii="仿宋_GB2312" w:hAnsi="Times New Roman" w:cs="Times New Roman"/>
          <w:b w:val="0"/>
          <w:bCs w:val="0"/>
          <w:color w:val="000000"/>
          <w:sz w:val="32"/>
          <w:szCs w:val="32"/>
          <w:highlight w:val="none"/>
          <w:lang w:val="en-US" w:eastAsia="zh-CN"/>
        </w:rPr>
        <w:t>中华人民共和国</w:t>
      </w:r>
      <w:r>
        <w:rPr>
          <w:rFonts w:hint="eastAsia" w:ascii="仿宋_GB2312" w:hAnsi="Times New Roman" w:eastAsia="仿宋_GB2312" w:cs="Times New Roman"/>
          <w:b w:val="0"/>
          <w:bCs w:val="0"/>
          <w:color w:val="000000"/>
          <w:sz w:val="32"/>
          <w:szCs w:val="32"/>
          <w:highlight w:val="none"/>
          <w:lang w:val="en-US" w:eastAsia="zh-CN"/>
        </w:rPr>
        <w:t>建筑法》第七条</w:t>
      </w:r>
      <w:r>
        <w:rPr>
          <w:rFonts w:hint="eastAsia" w:ascii="仿宋_GB2312" w:hAnsi="Times New Roman" w:cs="Times New Roman"/>
          <w:b w:val="0"/>
          <w:bCs w:val="0"/>
          <w:color w:val="000000"/>
          <w:sz w:val="32"/>
          <w:szCs w:val="32"/>
          <w:highlight w:val="none"/>
          <w:lang w:val="en-US" w:eastAsia="zh-CN"/>
        </w:rPr>
        <w:t>“</w:t>
      </w:r>
      <w:r>
        <w:rPr>
          <w:rFonts w:hint="eastAsia" w:ascii="仿宋_GB2312" w:hAnsi="Times New Roman" w:eastAsia="仿宋_GB2312" w:cs="Times New Roman"/>
          <w:b w:val="0"/>
          <w:bCs w:val="0"/>
          <w:color w:val="000000"/>
          <w:sz w:val="32"/>
          <w:szCs w:val="32"/>
          <w:highlight w:val="none"/>
          <w:lang w:val="en-US" w:eastAsia="zh-CN"/>
        </w:rPr>
        <w:t>建筑工程开工前，建设单位应按照国家有关规定向工程所在地</w:t>
      </w:r>
      <w:r>
        <w:rPr>
          <w:rFonts w:hint="eastAsia" w:ascii="仿宋_GB2312" w:hAnsi="Times New Roman" w:cs="Times New Roman"/>
          <w:b w:val="0"/>
          <w:bCs w:val="0"/>
          <w:color w:val="000000"/>
          <w:sz w:val="32"/>
          <w:szCs w:val="32"/>
          <w:highlight w:val="none"/>
          <w:lang w:val="en-US" w:eastAsia="zh-CN"/>
        </w:rPr>
        <w:t>县级以上人民政府建设行政主管部门</w:t>
      </w:r>
      <w:r>
        <w:rPr>
          <w:rFonts w:hint="eastAsia" w:ascii="仿宋_GB2312" w:hAnsi="Times New Roman" w:eastAsia="仿宋_GB2312" w:cs="Times New Roman"/>
          <w:b w:val="0"/>
          <w:bCs w:val="0"/>
          <w:color w:val="000000"/>
          <w:sz w:val="32"/>
          <w:szCs w:val="32"/>
          <w:highlight w:val="none"/>
          <w:lang w:val="en-US" w:eastAsia="zh-CN"/>
        </w:rPr>
        <w:t>申请领取施工许可证</w:t>
      </w:r>
      <w:r>
        <w:rPr>
          <w:rFonts w:hint="eastAsia" w:ascii="仿宋_GB2312" w:hAnsi="Times New Roman" w:cs="Times New Roman"/>
          <w:b w:val="0"/>
          <w:bCs w:val="0"/>
          <w:color w:val="000000"/>
          <w:sz w:val="32"/>
          <w:szCs w:val="32"/>
          <w:highlight w:val="none"/>
          <w:lang w:val="en-US" w:eastAsia="zh-CN"/>
        </w:rPr>
        <w:t>”的规定。</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default" w:ascii="仿宋_GB2312" w:hAnsi="仿宋_GB2312" w:cs="Times New Roman"/>
          <w:b/>
          <w:bCs/>
          <w:color w:val="000000" w:themeColor="text1"/>
          <w:kern w:val="2"/>
          <w:sz w:val="32"/>
          <w:szCs w:val="24"/>
          <w:lang w:val="en-US" w:eastAsia="zh-CN" w:bidi="ar-SA"/>
          <w14:textFill>
            <w14:solidFill>
              <w14:schemeClr w14:val="tx1"/>
            </w14:solidFill>
          </w14:textFill>
        </w:rPr>
      </w:pPr>
      <w:bookmarkStart w:id="100" w:name="_Toc23949"/>
      <w:bookmarkStart w:id="101" w:name="_Toc32064"/>
      <w:r>
        <w:rPr>
          <w:rFonts w:hint="eastAsia" w:ascii="仿宋_GB2312" w:hAnsi="仿宋_GB2312" w:cs="Times New Roman"/>
          <w:b/>
          <w:bCs/>
          <w:color w:val="000000" w:themeColor="text1"/>
          <w:kern w:val="2"/>
          <w:sz w:val="32"/>
          <w:szCs w:val="24"/>
          <w:lang w:val="en-US" w:eastAsia="zh-CN" w:bidi="ar-SA"/>
          <w14:textFill>
            <w14:solidFill>
              <w14:schemeClr w14:val="tx1"/>
            </w14:solidFill>
          </w14:textFill>
        </w:rPr>
        <w:t>3.尽早办理项目资产交付使用手续</w:t>
      </w:r>
      <w:bookmarkEnd w:id="100"/>
      <w:bookmarkEnd w:id="101"/>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default" w:ascii="仿宋_GB2312" w:hAnsi="仿宋_GB2312" w:cs="Times New Roman"/>
          <w:color w:val="auto"/>
          <w:szCs w:val="24"/>
          <w:lang w:val="en-US" w:eastAsia="zh-CN"/>
        </w:rPr>
      </w:pPr>
      <w:r>
        <w:rPr>
          <w:rFonts w:hint="eastAsia" w:ascii="仿宋_GB2312" w:hAnsi="仿宋_GB2312" w:cs="Times New Roman"/>
          <w:color w:val="auto"/>
          <w:szCs w:val="24"/>
          <w:lang w:val="en-US" w:eastAsia="zh-CN"/>
        </w:rPr>
        <w:t>建议城中区教育局依照《基本建设财务规定》第四十二条“项目竣工验收合格后应当及时办理资产交付使用手续，并依据批复的项目竣工财务决算进行账务调整。”的规定，尽早办理前营街育儿园建设项目固定资产交付手续，将前营街育儿园建设项目固定资产从城中区教育局调拨至城中区前营街幼儿园（城中区第一幼儿园），做到账账相符、账实相符。</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cs="Times New Roman"/>
          <w:b/>
          <w:bCs/>
          <w:color w:val="000000" w:themeColor="text1"/>
          <w:kern w:val="2"/>
          <w:sz w:val="32"/>
          <w:szCs w:val="24"/>
          <w:lang w:val="en-US" w:eastAsia="zh-CN" w:bidi="ar-SA"/>
          <w14:textFill>
            <w14:solidFill>
              <w14:schemeClr w14:val="tx1"/>
            </w14:solidFill>
          </w14:textFill>
        </w:rPr>
      </w:pPr>
      <w:bookmarkStart w:id="102" w:name="_Toc27348"/>
      <w:bookmarkStart w:id="103" w:name="_Toc25450"/>
      <w:r>
        <w:rPr>
          <w:rFonts w:hint="eastAsia" w:ascii="仿宋_GB2312" w:hAnsi="仿宋_GB2312" w:cs="Times New Roman"/>
          <w:b/>
          <w:bCs/>
          <w:color w:val="000000" w:themeColor="text1"/>
          <w:kern w:val="2"/>
          <w:sz w:val="32"/>
          <w:szCs w:val="24"/>
          <w:lang w:val="en-US" w:eastAsia="zh-CN" w:bidi="ar-SA"/>
          <w14:textFill>
            <w14:solidFill>
              <w14:schemeClr w14:val="tx1"/>
            </w14:solidFill>
          </w14:textFill>
        </w:rPr>
        <w:t>4.加快项目实施进度，及时进行竣工决算审核</w:t>
      </w:r>
      <w:bookmarkEnd w:id="102"/>
      <w:bookmarkEnd w:id="103"/>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cs="仿宋_GB2312"/>
          <w:bCs w:val="0"/>
          <w:color w:val="auto"/>
          <w:kern w:val="2"/>
          <w:sz w:val="32"/>
          <w:szCs w:val="24"/>
          <w:highlight w:val="none"/>
          <w:lang w:val="en-US" w:eastAsia="zh-CN" w:bidi="ar-SA"/>
        </w:rPr>
      </w:pPr>
      <w:r>
        <w:rPr>
          <w:rFonts w:hint="eastAsia" w:ascii="仿宋_GB2312" w:hAnsi="仿宋_GB2312" w:cs="仿宋_GB2312"/>
          <w:bCs w:val="0"/>
          <w:color w:val="auto"/>
          <w:kern w:val="2"/>
          <w:sz w:val="32"/>
          <w:szCs w:val="24"/>
          <w:highlight w:val="none"/>
          <w:lang w:val="en-US" w:eastAsia="zh-CN" w:bidi="ar-SA"/>
        </w:rPr>
        <w:t>建议城中区教育局在以后年度实施项目时，依据资金预算做好项目任务前期规划，未雨绸缪，及早合理、科学规划，从源头上确保项目任务的顺利实施；严格执行倒排工期，在保证工程质量的前提下，加大工作力度，加强协调，进一步加快项目进度，确保项目按时完成，充分发挥项目效益。</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default" w:ascii="仿宋_GB2312" w:hAnsi="仿宋_GB2312" w:cs="仿宋_GB2312"/>
          <w:bCs w:val="0"/>
          <w:color w:val="auto"/>
          <w:kern w:val="2"/>
          <w:sz w:val="32"/>
          <w:szCs w:val="24"/>
          <w:highlight w:val="none"/>
          <w:lang w:val="en-US" w:eastAsia="zh-CN" w:bidi="ar-SA"/>
        </w:rPr>
      </w:pPr>
      <w:r>
        <w:rPr>
          <w:rFonts w:hint="eastAsia" w:ascii="仿宋_GB2312" w:hAnsi="仿宋_GB2312" w:cs="仿宋_GB2312"/>
          <w:bCs w:val="0"/>
          <w:color w:val="auto"/>
          <w:kern w:val="2"/>
          <w:sz w:val="32"/>
          <w:szCs w:val="24"/>
          <w:highlight w:val="none"/>
          <w:lang w:val="en-US" w:eastAsia="zh-CN" w:bidi="ar-SA"/>
        </w:rPr>
        <w:t>建议城中区教育局严格按照《城中区教育局基建项目管理办法》中“施工单位在工程验收结束后，在一个月之内，提交工程竣工结算书”的规定”，在项目竣工验收后，及时委托第三方机构对项目进行竣工决算审核并出具决算审核报告。</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default" w:ascii="仿宋_GB2312" w:hAnsi="仿宋_GB2312" w:cs="Times New Roman"/>
          <w:b/>
          <w:bCs/>
          <w:color w:val="000000" w:themeColor="text1"/>
          <w:kern w:val="2"/>
          <w:sz w:val="32"/>
          <w:szCs w:val="24"/>
          <w:lang w:val="en-US" w:eastAsia="zh-CN" w:bidi="ar-SA"/>
          <w14:textFill>
            <w14:solidFill>
              <w14:schemeClr w14:val="tx1"/>
            </w14:solidFill>
          </w14:textFill>
        </w:rPr>
      </w:pPr>
      <w:bookmarkStart w:id="104" w:name="_Toc4631"/>
      <w:bookmarkStart w:id="105" w:name="_Toc14143"/>
      <w:r>
        <w:rPr>
          <w:rFonts w:hint="eastAsia" w:ascii="仿宋_GB2312" w:hAnsi="仿宋_GB2312" w:cs="Times New Roman"/>
          <w:b/>
          <w:bCs/>
          <w:color w:val="000000" w:themeColor="text1"/>
          <w:kern w:val="2"/>
          <w:sz w:val="32"/>
          <w:szCs w:val="24"/>
          <w:lang w:val="en-US" w:eastAsia="zh-CN" w:bidi="ar-SA"/>
          <w14:textFill>
            <w14:solidFill>
              <w14:schemeClr w14:val="tx1"/>
            </w14:solidFill>
          </w14:textFill>
        </w:rPr>
        <w:t>5.严格执行批复的建设规模与资金额度，有效控制项目成本</w:t>
      </w:r>
      <w:bookmarkEnd w:id="104"/>
      <w:bookmarkEnd w:id="105"/>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default" w:ascii="仿宋_GB2312" w:hAnsi="仿宋_GB2312" w:eastAsia="仿宋_GB2312" w:cs="Times New Roman"/>
          <w:szCs w:val="24"/>
          <w:lang w:val="en-US" w:eastAsia="zh-CN"/>
        </w:rPr>
      </w:pPr>
      <w:r>
        <w:rPr>
          <w:rFonts w:hint="eastAsia" w:ascii="仿宋_GB2312" w:hAnsi="仿宋_GB2312" w:cs="Times New Roman"/>
          <w:szCs w:val="24"/>
          <w:lang w:val="en-US" w:eastAsia="zh-CN"/>
        </w:rPr>
        <w:t>建议城中区教育局在以后实施基建项目时，严格按照《西宁市城中区教育局基建项目资金管理办法》第八条“教育专项资金的使用坚持量力而行、实事求是的原则，不得进行赤字建设，必须按照批准的项目和资金额度建设，不得随意扩大项目范围和投资额度”的规定，严格按照设计方案所确定的建设规模、标准、概算组织实施，避免因实际投资大于计划投资而导致资金出现缺口的情况。</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eastAsia" w:ascii="楷体" w:hAnsi="楷体" w:eastAsia="楷体" w:cs="楷体"/>
          <w:b/>
          <w:bCs/>
          <w:color w:val="000000" w:themeColor="text1"/>
          <w:sz w:val="32"/>
          <w:szCs w:val="24"/>
          <w:lang w:val="en-US" w:eastAsia="zh-CN"/>
          <w14:textFill>
            <w14:solidFill>
              <w14:schemeClr w14:val="tx1"/>
            </w14:solidFill>
          </w14:textFill>
        </w:rPr>
      </w:pPr>
      <w:bookmarkStart w:id="106" w:name="_Toc8504"/>
      <w:bookmarkStart w:id="107" w:name="_Toc821"/>
      <w:r>
        <w:rPr>
          <w:rFonts w:hint="eastAsia" w:ascii="楷体" w:hAnsi="楷体" w:eastAsia="楷体" w:cs="楷体"/>
          <w:b/>
          <w:bCs/>
          <w:color w:val="000000" w:themeColor="text1"/>
          <w:sz w:val="32"/>
          <w:szCs w:val="24"/>
          <w:lang w:val="en-US" w:eastAsia="zh-CN"/>
          <w14:textFill>
            <w14:solidFill>
              <w14:schemeClr w14:val="tx1"/>
            </w14:solidFill>
          </w14:textFill>
        </w:rPr>
        <w:t>（二）西宁市城中区2021年校园保安专项资金项目</w:t>
      </w:r>
      <w:bookmarkEnd w:id="106"/>
      <w:bookmarkEnd w:id="107"/>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jc w:val="both"/>
        <w:textAlignment w:val="auto"/>
        <w:outlineLvl w:val="1"/>
        <w:rPr>
          <w:rFonts w:hint="default" w:ascii="仿宋_GB2312" w:hAnsi="仿宋_GB2312" w:eastAsia="楷体" w:cs="Times New Roman"/>
          <w:b/>
          <w:kern w:val="2"/>
          <w:sz w:val="32"/>
          <w:szCs w:val="24"/>
          <w:highlight w:val="none"/>
          <w:lang w:val="en-US" w:eastAsia="zh-CN" w:bidi="ar-SA"/>
        </w:rPr>
      </w:pPr>
      <w:bookmarkStart w:id="108" w:name="_Toc31140"/>
      <w:bookmarkStart w:id="109" w:name="_Toc20100"/>
      <w:r>
        <w:rPr>
          <w:rFonts w:hint="eastAsia" w:ascii="仿宋_GB2312" w:hAnsi="仿宋_GB2312" w:eastAsia="楷体" w:cs="Times New Roman"/>
          <w:b/>
          <w:kern w:val="2"/>
          <w:sz w:val="32"/>
          <w:szCs w:val="24"/>
          <w:highlight w:val="none"/>
          <w:lang w:val="en-US" w:eastAsia="zh-CN" w:bidi="ar-SA"/>
        </w:rPr>
        <w:t>1.明确预算申请测算依据，提高资金使用效率</w:t>
      </w:r>
      <w:bookmarkEnd w:id="108"/>
      <w:bookmarkEnd w:id="109"/>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color w:val="0000FF"/>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根据《中华人民共和国预算法实施条例》：“第二十一条 地方各级政府财政部门应当根据财政部制定的预算支出标准，结合本地区经济社会发展水平、财力状况等，制定本地区或者本级的预算支出标准。”为了加强财政资金拨付管理，保障资金使用安全，提高财政资金使用效率，城中区教育局作为预算单位，申请</w:t>
      </w:r>
      <w:r>
        <w:rPr>
          <w:rFonts w:hint="eastAsia" w:ascii="仿宋_GB2312" w:hAnsi="仿宋_GB2312" w:cs="仿宋_GB2312"/>
          <w:color w:val="auto"/>
          <w:kern w:val="2"/>
          <w:sz w:val="32"/>
          <w:szCs w:val="32"/>
          <w:highlight w:val="none"/>
          <w:lang w:val="en-US" w:eastAsia="zh-CN" w:bidi="ar-SA"/>
        </w:rPr>
        <w:t>校园保安专项资金</w:t>
      </w:r>
      <w:r>
        <w:rPr>
          <w:rFonts w:hint="eastAsia" w:ascii="仿宋_GB2312" w:hAnsi="仿宋_GB2312" w:eastAsia="仿宋_GB2312" w:cs="仿宋_GB2312"/>
          <w:color w:val="auto"/>
          <w:kern w:val="2"/>
          <w:sz w:val="32"/>
          <w:szCs w:val="32"/>
          <w:highlight w:val="none"/>
          <w:lang w:val="en-US" w:eastAsia="zh-CN" w:bidi="ar-SA"/>
        </w:rPr>
        <w:t>应严格依据当地工资标准，使</w:t>
      </w:r>
      <w:r>
        <w:rPr>
          <w:rFonts w:hint="eastAsia" w:ascii="仿宋_GB2312" w:hAnsi="仿宋_GB2312" w:cs="仿宋_GB2312"/>
          <w:color w:val="auto"/>
          <w:kern w:val="2"/>
          <w:sz w:val="32"/>
          <w:szCs w:val="32"/>
          <w:highlight w:val="none"/>
          <w:lang w:val="en-US" w:eastAsia="zh-CN" w:bidi="ar-SA"/>
        </w:rPr>
        <w:t>资金</w:t>
      </w:r>
      <w:r>
        <w:rPr>
          <w:rFonts w:hint="eastAsia" w:ascii="仿宋_GB2312" w:hAnsi="仿宋_GB2312" w:eastAsia="仿宋_GB2312" w:cs="仿宋_GB2312"/>
          <w:color w:val="auto"/>
          <w:kern w:val="2"/>
          <w:sz w:val="32"/>
          <w:szCs w:val="32"/>
          <w:highlight w:val="none"/>
          <w:lang w:val="en-US" w:eastAsia="zh-CN" w:bidi="ar-SA"/>
        </w:rPr>
        <w:t>在执行过程中有依据和标准，以提高</w:t>
      </w:r>
      <w:r>
        <w:rPr>
          <w:rFonts w:hint="eastAsia" w:ascii="仿宋_GB2312" w:hAnsi="仿宋_GB2312" w:cs="仿宋_GB2312"/>
          <w:color w:val="auto"/>
          <w:kern w:val="2"/>
          <w:sz w:val="32"/>
          <w:szCs w:val="32"/>
          <w:highlight w:val="none"/>
          <w:lang w:val="en-US" w:eastAsia="zh-CN" w:bidi="ar-SA"/>
        </w:rPr>
        <w:t>财政</w:t>
      </w:r>
      <w:r>
        <w:rPr>
          <w:rFonts w:hint="eastAsia" w:ascii="仿宋_GB2312" w:hAnsi="仿宋_GB2312" w:eastAsia="仿宋_GB2312" w:cs="仿宋_GB2312"/>
          <w:color w:val="auto"/>
          <w:kern w:val="2"/>
          <w:sz w:val="32"/>
          <w:szCs w:val="32"/>
          <w:highlight w:val="none"/>
          <w:lang w:val="en-US" w:eastAsia="zh-CN" w:bidi="ar-SA"/>
        </w:rPr>
        <w:t>资金使用效益。</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jc w:val="both"/>
        <w:textAlignment w:val="auto"/>
        <w:outlineLvl w:val="1"/>
        <w:rPr>
          <w:rFonts w:hint="default" w:ascii="仿宋_GB2312" w:hAnsi="仿宋_GB2312" w:eastAsia="楷体" w:cs="Times New Roman"/>
          <w:b/>
          <w:kern w:val="2"/>
          <w:sz w:val="32"/>
          <w:szCs w:val="24"/>
          <w:lang w:val="en-US" w:eastAsia="zh-CN" w:bidi="ar-SA"/>
        </w:rPr>
      </w:pPr>
      <w:bookmarkStart w:id="110" w:name="_Toc13647"/>
      <w:bookmarkStart w:id="111" w:name="_Toc14922"/>
      <w:r>
        <w:rPr>
          <w:rFonts w:hint="eastAsia" w:ascii="仿宋_GB2312" w:hAnsi="仿宋_GB2312" w:eastAsia="楷体" w:cs="Times New Roman"/>
          <w:b/>
          <w:kern w:val="2"/>
          <w:sz w:val="32"/>
          <w:szCs w:val="24"/>
          <w:lang w:val="en-US" w:eastAsia="zh-CN" w:bidi="ar-SA"/>
        </w:rPr>
        <w:t>2.合理使用资金，确保资金支出规范</w:t>
      </w:r>
      <w:bookmarkEnd w:id="110"/>
      <w:bookmarkEnd w:id="111"/>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default" w:ascii="仿宋_GB2312" w:hAnsi="仿宋_GB2312" w:eastAsia="仿宋_GB2312" w:cs="仿宋_GB2312"/>
          <w:bCs w:val="0"/>
          <w:color w:val="auto"/>
          <w:kern w:val="2"/>
          <w:sz w:val="32"/>
          <w:szCs w:val="32"/>
          <w:highlight w:val="none"/>
          <w:lang w:val="en-US" w:eastAsia="zh-CN" w:bidi="ar-SA"/>
        </w:rPr>
      </w:pPr>
      <w:r>
        <w:rPr>
          <w:rFonts w:hint="eastAsia" w:ascii="仿宋_GB2312" w:hAnsi="仿宋_GB2312" w:eastAsia="仿宋_GB2312" w:cs="仿宋_GB2312"/>
          <w:bCs w:val="0"/>
          <w:color w:val="auto"/>
          <w:kern w:val="2"/>
          <w:sz w:val="32"/>
          <w:szCs w:val="32"/>
          <w:highlight w:val="none"/>
          <w:lang w:val="en-US" w:eastAsia="zh-CN" w:bidi="ar-SA"/>
        </w:rPr>
        <w:t>根据《中华人民共和国预算法实施条例》：“第五十七条 各级政府财政部门应当加强对预算资金拨付的管理，并遵循下列原则</w:t>
      </w:r>
      <w:r>
        <w:rPr>
          <w:rFonts w:hint="eastAsia" w:ascii="仿宋_GB2312" w:hAnsi="仿宋_GB2312" w:cs="仿宋_GB2312"/>
          <w:bCs w:val="0"/>
          <w:color w:val="auto"/>
          <w:kern w:val="2"/>
          <w:sz w:val="32"/>
          <w:szCs w:val="32"/>
          <w:highlight w:val="none"/>
          <w:lang w:val="en-US" w:eastAsia="zh-CN" w:bidi="ar-SA"/>
        </w:rPr>
        <w:t>：（一）</w:t>
      </w:r>
      <w:r>
        <w:rPr>
          <w:rFonts w:hint="eastAsia" w:ascii="仿宋_GB2312" w:hAnsi="仿宋_GB2312" w:eastAsia="仿宋_GB2312" w:cs="仿宋_GB2312"/>
          <w:bCs w:val="0"/>
          <w:color w:val="auto"/>
          <w:kern w:val="2"/>
          <w:sz w:val="32"/>
          <w:szCs w:val="32"/>
          <w:highlight w:val="none"/>
          <w:lang w:val="en-US" w:eastAsia="zh-CN" w:bidi="ar-SA"/>
        </w:rPr>
        <w:t>按照预算拨付，即按照批准的年度预算和用款计划拨付资金。除预算法第五十四条规定的在预算草案批准前可以安排支出的情形外，不得办理无预算、无用款计划、超预算或者超计划的资金拨付，不得擅自改变支出用途</w:t>
      </w:r>
      <w:r>
        <w:rPr>
          <w:rFonts w:hint="eastAsia" w:ascii="仿宋_GB2312" w:hAnsi="仿宋_GB2312" w:cs="仿宋_GB2312"/>
          <w:bCs w:val="0"/>
          <w:color w:val="auto"/>
          <w:kern w:val="2"/>
          <w:sz w:val="32"/>
          <w:szCs w:val="32"/>
          <w:highlight w:val="none"/>
          <w:lang w:val="en-US" w:eastAsia="zh-CN" w:bidi="ar-SA"/>
        </w:rPr>
        <w:t>。”城中区教育局、</w:t>
      </w:r>
      <w:r>
        <w:rPr>
          <w:rFonts w:hint="eastAsia" w:ascii="仿宋_GB2312" w:hAnsi="仿宋_GB2312" w:cs="仿宋_GB2312"/>
          <w:b w:val="0"/>
          <w:color w:val="auto"/>
          <w:kern w:val="2"/>
          <w:sz w:val="32"/>
          <w:szCs w:val="32"/>
          <w:highlight w:val="none"/>
          <w:lang w:val="en-US" w:eastAsia="zh-CN" w:bidi="ar-SA"/>
        </w:rPr>
        <w:t>青海宏创保安服务有限责任公司支出</w:t>
      </w:r>
      <w:r>
        <w:rPr>
          <w:rFonts w:hint="eastAsia" w:ascii="仿宋_GB2312" w:hAnsi="仿宋_GB2312" w:cs="仿宋_GB2312"/>
          <w:bCs w:val="0"/>
          <w:color w:val="auto"/>
          <w:kern w:val="2"/>
          <w:sz w:val="32"/>
          <w:szCs w:val="32"/>
          <w:highlight w:val="none"/>
          <w:lang w:val="en-US" w:eastAsia="zh-CN" w:bidi="ar-SA"/>
        </w:rPr>
        <w:t>校园保安专项资金时应严格按照预算申请及批复，不得擅自改变资金支出用途。</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jc w:val="both"/>
        <w:textAlignment w:val="auto"/>
        <w:outlineLvl w:val="1"/>
        <w:rPr>
          <w:rFonts w:hint="eastAsia" w:ascii="仿宋_GB2312" w:hAnsi="仿宋_GB2312" w:eastAsia="楷体" w:cs="Times New Roman"/>
          <w:b/>
          <w:kern w:val="2"/>
          <w:sz w:val="32"/>
          <w:szCs w:val="24"/>
          <w:highlight w:val="none"/>
          <w:lang w:val="en-US" w:eastAsia="zh-CN" w:bidi="ar-SA"/>
        </w:rPr>
      </w:pPr>
      <w:bookmarkStart w:id="112" w:name="_Toc20718"/>
      <w:bookmarkStart w:id="113" w:name="_Toc23446"/>
      <w:r>
        <w:rPr>
          <w:rFonts w:hint="eastAsia" w:ascii="仿宋_GB2312" w:hAnsi="仿宋_GB2312" w:eastAsia="楷体" w:cs="Times New Roman"/>
          <w:b/>
          <w:kern w:val="2"/>
          <w:sz w:val="32"/>
          <w:szCs w:val="24"/>
          <w:highlight w:val="none"/>
          <w:lang w:val="en-US" w:eastAsia="zh-CN" w:bidi="ar-SA"/>
        </w:rPr>
        <w:t>3.制定专项资金使用办法及实施细则，提高财政资金使用效益</w:t>
      </w:r>
      <w:bookmarkEnd w:id="112"/>
      <w:bookmarkEnd w:id="113"/>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bCs w:val="0"/>
          <w:color w:val="auto"/>
          <w:kern w:val="2"/>
          <w:sz w:val="32"/>
          <w:szCs w:val="32"/>
          <w:highlight w:val="none"/>
          <w:lang w:val="en-US" w:eastAsia="zh-CN" w:bidi="ar-SA"/>
        </w:rPr>
      </w:pPr>
      <w:r>
        <w:rPr>
          <w:rFonts w:hint="eastAsia" w:ascii="仿宋_GB2312" w:hAnsi="仿宋_GB2312" w:eastAsia="仿宋_GB2312" w:cs="仿宋_GB2312"/>
          <w:bCs w:val="0"/>
          <w:color w:val="auto"/>
          <w:kern w:val="2"/>
          <w:sz w:val="32"/>
          <w:szCs w:val="32"/>
          <w:highlight w:val="none"/>
          <w:lang w:val="en-US" w:eastAsia="zh-CN" w:bidi="ar-SA"/>
        </w:rPr>
        <w:t>为进一步规范财政资金审批，增强政府统筹运用资金能力，城中区教育局作为项目实施主管单位，应参照国家和地方政府专项资金管理有关规定和政策并结合本单位实际情况，制订专项资金管理</w:t>
      </w:r>
      <w:r>
        <w:rPr>
          <w:rFonts w:hint="eastAsia" w:ascii="仿宋_GB2312" w:hAnsi="仿宋_GB2312" w:cs="仿宋_GB2312"/>
          <w:bCs w:val="0"/>
          <w:color w:val="auto"/>
          <w:kern w:val="2"/>
          <w:sz w:val="32"/>
          <w:szCs w:val="32"/>
          <w:highlight w:val="none"/>
          <w:lang w:val="en-US" w:eastAsia="zh-CN" w:bidi="ar-SA"/>
        </w:rPr>
        <w:t>办法</w:t>
      </w:r>
      <w:r>
        <w:rPr>
          <w:rFonts w:hint="eastAsia" w:ascii="仿宋_GB2312" w:hAnsi="仿宋_GB2312" w:eastAsia="仿宋_GB2312" w:cs="仿宋_GB2312"/>
          <w:bCs w:val="0"/>
          <w:color w:val="auto"/>
          <w:kern w:val="2"/>
          <w:sz w:val="32"/>
          <w:szCs w:val="32"/>
          <w:highlight w:val="none"/>
          <w:lang w:val="en-US" w:eastAsia="zh-CN" w:bidi="ar-SA"/>
        </w:rPr>
        <w:t>以形成完整、便于操作、执行有效的制度体系，依据</w:t>
      </w:r>
      <w:r>
        <w:rPr>
          <w:rFonts w:hint="eastAsia" w:ascii="仿宋_GB2312" w:hAnsi="仿宋_GB2312" w:cs="仿宋_GB2312"/>
          <w:bCs w:val="0"/>
          <w:color w:val="auto"/>
          <w:kern w:val="2"/>
          <w:sz w:val="32"/>
          <w:szCs w:val="32"/>
          <w:highlight w:val="none"/>
          <w:lang w:val="en-US" w:eastAsia="zh-CN" w:bidi="ar-SA"/>
        </w:rPr>
        <w:t>批复</w:t>
      </w:r>
      <w:r>
        <w:rPr>
          <w:rFonts w:hint="eastAsia" w:ascii="仿宋_GB2312" w:hAnsi="仿宋_GB2312" w:eastAsia="仿宋_GB2312" w:cs="仿宋_GB2312"/>
          <w:bCs w:val="0"/>
          <w:color w:val="auto"/>
          <w:kern w:val="2"/>
          <w:sz w:val="32"/>
          <w:szCs w:val="32"/>
          <w:highlight w:val="none"/>
          <w:lang w:val="en-US" w:eastAsia="zh-CN" w:bidi="ar-SA"/>
        </w:rPr>
        <w:t>文件确定资金使用范围，以规范财政专项资金管理，保证专项资金合规、有效使用；应与保安服务公司联合制定校园保安管理细则，细则中明确保安公司、教育局、各个学校、保安人员的主要职责，以及校园保安待遇及考核细则等，保安公司每月应根据考核结果对保安人员发放工资。</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jc w:val="both"/>
        <w:textAlignment w:val="auto"/>
        <w:outlineLvl w:val="1"/>
        <w:rPr>
          <w:rFonts w:hint="default" w:ascii="仿宋_GB2312" w:hAnsi="仿宋_GB2312" w:eastAsia="楷体" w:cs="Times New Roman"/>
          <w:b/>
          <w:kern w:val="2"/>
          <w:sz w:val="32"/>
          <w:szCs w:val="24"/>
          <w:highlight w:val="none"/>
          <w:lang w:val="en-US" w:eastAsia="zh-CN" w:bidi="ar-SA"/>
        </w:rPr>
      </w:pPr>
      <w:bookmarkStart w:id="114" w:name="_Toc8269"/>
      <w:bookmarkStart w:id="115" w:name="_Toc31319"/>
      <w:r>
        <w:rPr>
          <w:rFonts w:hint="eastAsia" w:ascii="仿宋_GB2312" w:hAnsi="仿宋_GB2312" w:eastAsia="楷体" w:cs="Times New Roman"/>
          <w:b/>
          <w:color w:val="auto"/>
          <w:kern w:val="2"/>
          <w:sz w:val="32"/>
          <w:szCs w:val="24"/>
          <w:highlight w:val="none"/>
          <w:lang w:val="en-US" w:eastAsia="zh-CN" w:bidi="ar-SA"/>
        </w:rPr>
        <w:t>4.按照预算标准发放工资，资金支出符合既定用途</w:t>
      </w:r>
      <w:bookmarkEnd w:id="114"/>
      <w:bookmarkEnd w:id="115"/>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bCs w:val="0"/>
          <w:color w:val="auto"/>
          <w:kern w:val="2"/>
          <w:sz w:val="32"/>
          <w:szCs w:val="32"/>
          <w:highlight w:val="none"/>
          <w:lang w:val="en-US" w:eastAsia="zh-CN" w:bidi="ar-SA"/>
        </w:rPr>
      </w:pPr>
      <w:r>
        <w:rPr>
          <w:rFonts w:hint="eastAsia" w:ascii="仿宋_GB2312" w:hAnsi="仿宋_GB2312" w:eastAsia="仿宋_GB2312" w:cs="仿宋_GB2312"/>
          <w:bCs w:val="0"/>
          <w:color w:val="auto"/>
          <w:kern w:val="2"/>
          <w:sz w:val="32"/>
          <w:szCs w:val="32"/>
          <w:highlight w:val="none"/>
          <w:lang w:val="en-US" w:eastAsia="zh-CN" w:bidi="ar-SA"/>
        </w:rPr>
        <w:t>为合理使用以后年度城中区校园保安专项资金，建议城中区教育局申请财政资金预算时，将保安工资与保安保险费、服装费、培训费等一并纳入购买保安服务范围，确保保安工资发放与预算一致，校园保安专项资金支出符合既定用途。</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eastAsia" w:ascii="楷体" w:hAnsi="楷体" w:eastAsia="楷体" w:cs="楷体"/>
          <w:b/>
          <w:bCs/>
          <w:color w:val="000000" w:themeColor="text1"/>
          <w:sz w:val="32"/>
          <w:szCs w:val="24"/>
          <w:lang w:val="en-US" w:eastAsia="zh-CN"/>
          <w14:textFill>
            <w14:solidFill>
              <w14:schemeClr w14:val="tx1"/>
            </w14:solidFill>
          </w14:textFill>
        </w:rPr>
      </w:pPr>
      <w:bookmarkStart w:id="116" w:name="_Toc21690"/>
      <w:bookmarkStart w:id="117" w:name="_Toc20739"/>
      <w:r>
        <w:rPr>
          <w:rFonts w:hint="eastAsia" w:ascii="楷体" w:hAnsi="楷体" w:eastAsia="楷体" w:cs="楷体"/>
          <w:b/>
          <w:bCs/>
          <w:color w:val="000000" w:themeColor="text1"/>
          <w:sz w:val="32"/>
          <w:szCs w:val="24"/>
          <w:lang w:val="en-US" w:eastAsia="zh-CN"/>
          <w14:textFill>
            <w14:solidFill>
              <w14:schemeClr w14:val="tx1"/>
            </w14:solidFill>
          </w14:textFill>
        </w:rPr>
        <w:t>（三）西宁市城中区总寨塬智能温室园区道路工程和排水工程项目</w:t>
      </w:r>
      <w:bookmarkEnd w:id="116"/>
      <w:bookmarkEnd w:id="117"/>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firstLine="643" w:firstLineChars="200"/>
        <w:jc w:val="both"/>
        <w:textAlignment w:val="auto"/>
        <w:outlineLvl w:val="1"/>
        <w:rPr>
          <w:rFonts w:hint="eastAsia" w:ascii="仿宋_GB2312" w:hAnsi="仿宋_GB2312" w:eastAsia="楷体" w:cs="Times New Roman"/>
          <w:b/>
          <w:kern w:val="2"/>
          <w:sz w:val="32"/>
          <w:szCs w:val="24"/>
          <w:highlight w:val="none"/>
          <w:lang w:val="en-US" w:eastAsia="zh-CN" w:bidi="ar-SA"/>
        </w:rPr>
      </w:pPr>
      <w:bookmarkStart w:id="118" w:name="_Toc31363"/>
      <w:bookmarkStart w:id="119" w:name="_Toc15655"/>
      <w:r>
        <w:rPr>
          <w:rFonts w:hint="eastAsia" w:ascii="仿宋_GB2312" w:hAnsi="仿宋_GB2312" w:eastAsia="楷体" w:cs="Times New Roman"/>
          <w:b/>
          <w:kern w:val="2"/>
          <w:sz w:val="32"/>
          <w:szCs w:val="24"/>
          <w:highlight w:val="none"/>
          <w:lang w:val="en-US" w:eastAsia="zh-CN" w:bidi="ar-SA"/>
        </w:rPr>
        <w:t>1.明确工程款支付方式，严格执行合同约定的资金支付进度</w:t>
      </w:r>
      <w:bookmarkEnd w:id="118"/>
      <w:bookmarkEnd w:id="119"/>
    </w:p>
    <w:p>
      <w:pPr>
        <w:pStyle w:val="6"/>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color w:val="auto"/>
          <w:lang w:val="en-US" w:eastAsia="zh-CN"/>
        </w:rPr>
      </w:pPr>
      <w:r>
        <w:rPr>
          <w:rFonts w:hint="eastAsia"/>
          <w:color w:val="auto"/>
          <w:lang w:val="en-US" w:eastAsia="zh-CN"/>
        </w:rPr>
        <w:t>建议城中区农业农村和乡村振兴局在以后项目的实施中，落实合同制和监理制，对合同条款明确约定，规范填写，并严格执行合同约定和监理工程签证。项目负责人根据合同要求、监理方出具的工程量清单和工程签证提交资金支付申请，严把资金支出进度关，防范资金支出风险。</w:t>
      </w:r>
    </w:p>
    <w:p>
      <w:pPr>
        <w:pStyle w:val="6"/>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1"/>
        <w:rPr>
          <w:rFonts w:hint="eastAsia" w:ascii="楷体_GB2312" w:hAnsi="楷体_GB2312" w:eastAsia="楷体_GB2312" w:cs="楷体_GB2312"/>
          <w:b/>
          <w:bCs/>
          <w:color w:val="auto"/>
          <w:sz w:val="32"/>
          <w:szCs w:val="32"/>
          <w:highlight w:val="none"/>
          <w:lang w:val="en-US" w:eastAsia="zh-CN"/>
        </w:rPr>
      </w:pPr>
      <w:bookmarkStart w:id="120" w:name="_Toc32746"/>
      <w:bookmarkStart w:id="121" w:name="_Toc19829"/>
      <w:r>
        <w:rPr>
          <w:rFonts w:hint="eastAsia" w:ascii="楷体_GB2312" w:hAnsi="楷体_GB2312" w:eastAsia="楷体_GB2312" w:cs="楷体_GB2312"/>
          <w:b/>
          <w:bCs/>
          <w:color w:val="auto"/>
          <w:sz w:val="32"/>
          <w:szCs w:val="32"/>
          <w:highlight w:val="none"/>
          <w:lang w:val="en-US" w:eastAsia="zh-CN"/>
        </w:rPr>
        <w:t>2.及时交接，明确管护主体责任</w:t>
      </w:r>
      <w:bookmarkEnd w:id="120"/>
      <w:bookmarkEnd w:id="121"/>
    </w:p>
    <w:p>
      <w:pPr>
        <w:pStyle w:val="6"/>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color w:val="auto"/>
          <w:lang w:val="en-US" w:eastAsia="zh-CN"/>
        </w:rPr>
      </w:pPr>
      <w:r>
        <w:rPr>
          <w:rFonts w:hint="eastAsia"/>
          <w:color w:val="auto"/>
          <w:lang w:val="en-US" w:eastAsia="zh-CN"/>
        </w:rPr>
        <w:t>建议城中区农业农村和乡村振兴局尽快跟进项目管理权限移交，与总寨塬智能温室园区完成道路和排水设施管护权交接，避免出现管护主体责任不明造成的管护不到位的情况，以确保项目实施的效益得到充分发挥。</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eastAsia" w:ascii="楷体_GB2312" w:hAnsi="楷体_GB2312" w:eastAsia="楷体_GB2312" w:cs="楷体_GB2312"/>
          <w:b/>
          <w:bCs/>
          <w:color w:val="auto"/>
          <w:lang w:val="en-US" w:eastAsia="zh-CN"/>
        </w:rPr>
      </w:pPr>
      <w:bookmarkStart w:id="122" w:name="_Toc2976"/>
      <w:bookmarkStart w:id="123" w:name="_Toc28367"/>
      <w:r>
        <w:rPr>
          <w:rFonts w:hint="eastAsia" w:ascii="楷体_GB2312" w:hAnsi="楷体_GB2312" w:eastAsia="楷体_GB2312" w:cs="楷体_GB2312"/>
          <w:b/>
          <w:bCs/>
          <w:color w:val="auto"/>
          <w:sz w:val="32"/>
          <w:szCs w:val="32"/>
          <w:highlight w:val="none"/>
          <w:lang w:val="en-US" w:eastAsia="zh-CN"/>
        </w:rPr>
        <w:t>3.</w:t>
      </w:r>
      <w:r>
        <w:rPr>
          <w:rFonts w:hint="eastAsia" w:ascii="楷体_GB2312" w:hAnsi="楷体_GB2312" w:eastAsia="楷体_GB2312" w:cs="楷体_GB2312"/>
          <w:b/>
          <w:bCs/>
          <w:color w:val="auto"/>
          <w:lang w:val="en-US" w:eastAsia="zh-CN"/>
        </w:rPr>
        <w:t>提升财务管理水平，加强档案管理规范性</w:t>
      </w:r>
      <w:bookmarkEnd w:id="122"/>
      <w:bookmarkEnd w:id="123"/>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outlineLvl w:val="9"/>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建议</w:t>
      </w:r>
      <w:r>
        <w:rPr>
          <w:rFonts w:hint="eastAsia"/>
          <w:color w:val="auto"/>
          <w:lang w:val="en-US" w:eastAsia="zh-CN"/>
        </w:rPr>
        <w:t>城中区农业农村和乡村振兴局</w:t>
      </w:r>
      <w:r>
        <w:rPr>
          <w:rFonts w:hint="eastAsia" w:ascii="仿宋_GB2312" w:hAnsi="仿宋_GB2312" w:eastAsia="仿宋_GB2312" w:cs="仿宋_GB2312"/>
          <w:b w:val="0"/>
          <w:bCs w:val="0"/>
          <w:color w:val="auto"/>
          <w:lang w:val="en-US" w:eastAsia="zh-CN"/>
        </w:rPr>
        <w:t>财务部门严格审核</w:t>
      </w:r>
      <w:r>
        <w:rPr>
          <w:rFonts w:hint="eastAsia" w:cs="仿宋_GB2312"/>
          <w:b w:val="0"/>
          <w:bCs w:val="0"/>
          <w:color w:val="auto"/>
          <w:lang w:val="en-US" w:eastAsia="zh-CN"/>
        </w:rPr>
        <w:t>记账凭证的规范性</w:t>
      </w:r>
      <w:r>
        <w:rPr>
          <w:rFonts w:hint="eastAsia" w:ascii="仿宋_GB2312" w:hAnsi="仿宋_GB2312" w:eastAsia="仿宋_GB2312" w:cs="仿宋_GB2312"/>
          <w:b w:val="0"/>
          <w:bCs w:val="0"/>
          <w:color w:val="auto"/>
          <w:lang w:val="en-US" w:eastAsia="zh-CN"/>
        </w:rPr>
        <w:t>、完整性、真实性，依据</w:t>
      </w:r>
      <w:r>
        <w:rPr>
          <w:rFonts w:hint="eastAsia" w:cs="仿宋_GB2312"/>
          <w:b w:val="0"/>
          <w:bCs w:val="0"/>
          <w:color w:val="auto"/>
          <w:lang w:val="en-US" w:eastAsia="zh-CN"/>
        </w:rPr>
        <w:t>支付</w:t>
      </w:r>
      <w:r>
        <w:rPr>
          <w:rFonts w:hint="eastAsia" w:ascii="仿宋_GB2312" w:hAnsi="仿宋_GB2312" w:eastAsia="仿宋_GB2312" w:cs="仿宋_GB2312"/>
          <w:b w:val="0"/>
          <w:bCs w:val="0"/>
          <w:color w:val="auto"/>
          <w:lang w:val="en-US" w:eastAsia="zh-CN"/>
        </w:rPr>
        <w:t>资金</w:t>
      </w:r>
      <w:r>
        <w:rPr>
          <w:rFonts w:hint="eastAsia" w:cs="仿宋_GB2312"/>
          <w:b w:val="0"/>
          <w:bCs w:val="0"/>
          <w:color w:val="auto"/>
          <w:lang w:val="en-US" w:eastAsia="zh-CN"/>
        </w:rPr>
        <w:t>实际用途规范记账；对财政部门下达的资金文件与会计凭证及时</w:t>
      </w:r>
      <w:r>
        <w:rPr>
          <w:rFonts w:hint="eastAsia" w:ascii="仿宋_GB2312" w:hAnsi="仿宋_GB2312" w:eastAsia="仿宋_GB2312" w:cs="仿宋_GB2312"/>
          <w:b w:val="0"/>
          <w:bCs w:val="0"/>
          <w:color w:val="auto"/>
          <w:lang w:val="en-US" w:eastAsia="zh-CN"/>
        </w:rPr>
        <w:t>装订并归档管理</w:t>
      </w:r>
      <w:r>
        <w:rPr>
          <w:rFonts w:hint="eastAsia" w:cs="仿宋_GB2312"/>
          <w:b w:val="0"/>
          <w:bCs w:val="0"/>
          <w:color w:val="auto"/>
          <w:lang w:val="en-US" w:eastAsia="zh-CN"/>
        </w:rPr>
        <w:t>，提高财务会计信息质量。业务部门加强项目前期手续、招投标资料、施工资料、监理资料、竣工验收资料等项目资料的档案管理工作，将资料分门别类整理归档，提高档案管理规范性。</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eastAsia" w:ascii="楷体_GB2312" w:hAnsi="楷体_GB2312" w:eastAsia="楷体_GB2312" w:cs="楷体_GB2312"/>
          <w:b/>
          <w:bCs/>
          <w:color w:val="auto"/>
          <w:sz w:val="32"/>
          <w:szCs w:val="32"/>
          <w:highlight w:val="none"/>
          <w:lang w:val="en-US" w:eastAsia="zh-CN"/>
        </w:rPr>
      </w:pPr>
      <w:bookmarkStart w:id="124" w:name="_Toc21554"/>
      <w:bookmarkStart w:id="125" w:name="_Toc25253"/>
      <w:r>
        <w:rPr>
          <w:rFonts w:hint="eastAsia" w:ascii="楷体_GB2312" w:hAnsi="楷体_GB2312" w:eastAsia="楷体_GB2312" w:cs="楷体_GB2312"/>
          <w:b/>
          <w:bCs/>
          <w:color w:val="auto"/>
          <w:sz w:val="32"/>
          <w:szCs w:val="32"/>
          <w:highlight w:val="none"/>
          <w:lang w:val="en-US" w:eastAsia="zh-CN"/>
        </w:rPr>
        <w:t>4.加强预算绩效管理</w:t>
      </w:r>
      <w:bookmarkEnd w:id="124"/>
      <w:bookmarkEnd w:id="125"/>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b w:val="0"/>
          <w:color w:val="auto"/>
          <w:kern w:val="2"/>
          <w:sz w:val="32"/>
          <w:szCs w:val="24"/>
          <w:highlight w:val="none"/>
          <w:lang w:val="en-US" w:eastAsia="zh-CN" w:bidi="ar-SA"/>
        </w:rPr>
      </w:pPr>
      <w:r>
        <w:rPr>
          <w:rFonts w:hint="eastAsia" w:ascii="仿宋_GB2312" w:hAnsi="仿宋_GB2312" w:eastAsia="仿宋_GB2312" w:cs="仿宋_GB2312"/>
          <w:b w:val="0"/>
          <w:color w:val="auto"/>
          <w:kern w:val="2"/>
          <w:sz w:val="32"/>
          <w:szCs w:val="24"/>
          <w:highlight w:val="none"/>
          <w:lang w:val="en-US" w:eastAsia="zh-CN" w:bidi="ar-SA"/>
        </w:rPr>
        <w:t>建议城中区农业农村和乡村振兴局在以后年度按照《中共中央 国务院关于全面实施预算绩效管理的意见》（</w:t>
      </w:r>
      <w:r>
        <w:rPr>
          <w:rFonts w:hint="eastAsia" w:ascii="Times New Roman" w:hAnsi="Times New Roman" w:cs="Times New Roman"/>
          <w:sz w:val="32"/>
          <w:lang w:val="en-US" w:eastAsia="zh-CN"/>
        </w:rPr>
        <w:t>中发〔2018〕34号）、财政部《关于印发〈项目支出绩效评价管理办法〉的通知》（财预〔2020〕10号）和《中共青海省委青海省人民政府关于全面实施预算绩效管理的实施意见》（青发〔2019〕11号</w:t>
      </w:r>
      <w:r>
        <w:rPr>
          <w:rFonts w:hint="eastAsia" w:ascii="仿宋_GB2312" w:hAnsi="仿宋_GB2312" w:eastAsia="仿宋_GB2312" w:cs="仿宋_GB2312"/>
          <w:b w:val="0"/>
          <w:color w:val="auto"/>
          <w:kern w:val="2"/>
          <w:sz w:val="32"/>
          <w:szCs w:val="24"/>
          <w:highlight w:val="none"/>
          <w:lang w:val="en-US" w:eastAsia="zh-CN" w:bidi="ar-SA"/>
        </w:rPr>
        <w:t>）等文件要求，从预算绩效管理入手，加强绩效目标管理，明确绩效目标管理内容，抓好绩效目标管理重点，提高绩效目标设定能力。编制绩效目标要能够清晰反映项目实施所达到的预期效果，并按照定量和定性相结合的要求设置绩效指标，着重突出产出、成本、效益、可持续影响力和服务对象满意度等核心绩效指标，尽可能做到量化细化、可衡量、可对比。</w:t>
      </w:r>
    </w:p>
    <w:p>
      <w:pPr>
        <w:pStyle w:val="4"/>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b/>
          <w:bCs/>
          <w:color w:val="000000" w:themeColor="text1"/>
          <w:sz w:val="32"/>
          <w:szCs w:val="24"/>
          <w:lang w:val="en-US" w:eastAsia="zh-CN"/>
          <w14:textFill>
            <w14:solidFill>
              <w14:schemeClr w14:val="tx1"/>
            </w14:solidFill>
          </w14:textFill>
        </w:rPr>
      </w:pPr>
      <w:bookmarkStart w:id="126" w:name="_Toc14605"/>
      <w:bookmarkStart w:id="127" w:name="_Toc21348"/>
      <w:r>
        <w:rPr>
          <w:rFonts w:hint="eastAsia" w:ascii="楷体" w:hAnsi="楷体" w:eastAsia="楷体" w:cs="楷体"/>
          <w:b/>
          <w:bCs/>
          <w:color w:val="000000" w:themeColor="text1"/>
          <w:sz w:val="32"/>
          <w:szCs w:val="24"/>
          <w:lang w:val="en-US" w:eastAsia="zh-CN"/>
          <w14:textFill>
            <w14:solidFill>
              <w14:schemeClr w14:val="tx1"/>
            </w14:solidFill>
          </w14:textFill>
        </w:rPr>
        <w:t>（四）西宁市城中区福禄巷南社区老年日间照料中心装修及设备购置项目</w:t>
      </w:r>
      <w:bookmarkEnd w:id="126"/>
      <w:bookmarkEnd w:id="127"/>
    </w:p>
    <w:p>
      <w:pPr>
        <w:pStyle w:val="4"/>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_GB2312" w:hAnsi="楷体_GB2312" w:eastAsia="楷体_GB2312" w:cs="楷体_GB2312"/>
          <w:color w:val="auto"/>
          <w:szCs w:val="24"/>
          <w:highlight w:val="none"/>
          <w:lang w:val="en-US" w:eastAsia="zh-CN"/>
        </w:rPr>
      </w:pPr>
      <w:bookmarkStart w:id="128" w:name="_Toc2485"/>
      <w:bookmarkStart w:id="129" w:name="_Toc24717"/>
      <w:r>
        <w:rPr>
          <w:rFonts w:hint="eastAsia" w:ascii="楷体_GB2312" w:hAnsi="楷体_GB2312" w:eastAsia="楷体_GB2312" w:cs="楷体_GB2312"/>
          <w:color w:val="auto"/>
          <w:szCs w:val="24"/>
          <w:highlight w:val="none"/>
          <w:lang w:val="en-US" w:eastAsia="zh-CN"/>
        </w:rPr>
        <w:t>1.加强预算绩效目标管理，提高绩效指标编制水平</w:t>
      </w:r>
      <w:bookmarkEnd w:id="128"/>
      <w:bookmarkEnd w:id="129"/>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b w:val="0"/>
          <w:color w:val="auto"/>
          <w:kern w:val="2"/>
          <w:sz w:val="32"/>
          <w:szCs w:val="24"/>
          <w:highlight w:val="none"/>
          <w:lang w:val="en-US" w:eastAsia="zh-CN" w:bidi="ar-SA"/>
        </w:rPr>
      </w:pPr>
      <w:r>
        <w:rPr>
          <w:rFonts w:hint="eastAsia" w:ascii="仿宋_GB2312" w:hAnsi="仿宋_GB2312" w:eastAsia="仿宋_GB2312" w:cs="仿宋_GB2312"/>
          <w:b w:val="0"/>
          <w:color w:val="auto"/>
          <w:kern w:val="2"/>
          <w:sz w:val="32"/>
          <w:szCs w:val="24"/>
          <w:highlight w:val="none"/>
          <w:lang w:val="en-US" w:eastAsia="zh-CN" w:bidi="ar-SA"/>
        </w:rPr>
        <w:t>建议项目预算单位在以后年度申请项目预算资金时，按照《中共中央 国务院关于全面实施预算绩效管理的意见》（中发</w:t>
      </w:r>
      <w:r>
        <w:rPr>
          <w:rFonts w:hint="eastAsia" w:ascii="Times New Roman" w:hAnsi="Times New Roman" w:cs="Times New Roman"/>
          <w:sz w:val="32"/>
          <w:lang w:val="en-US" w:eastAsia="zh-CN"/>
        </w:rPr>
        <w:t>〔2018〕34号）、财政部《关于印发&lt;项目支出绩效评价管理办法&gt;的通知》（财预〔2020〕10号）、《中共青海省委 青海省人民政府关于全面实施预算绩效管理的实施意见》（青发〔2019〕11</w:t>
      </w:r>
      <w:r>
        <w:rPr>
          <w:rFonts w:hint="eastAsia" w:ascii="仿宋_GB2312" w:hAnsi="仿宋_GB2312" w:eastAsia="仿宋_GB2312" w:cs="仿宋_GB2312"/>
          <w:b w:val="0"/>
          <w:color w:val="auto"/>
          <w:kern w:val="2"/>
          <w:sz w:val="32"/>
          <w:szCs w:val="24"/>
          <w:highlight w:val="none"/>
          <w:lang w:val="en-US" w:eastAsia="zh-CN" w:bidi="ar-SA"/>
        </w:rPr>
        <w:t>号）等文件，从预算绩效管理入手，加强绩效目标管理，明确绩效目标管理内容，抓好绩效目标管理重点，提高绩效目标设定能力。编制的绩效目标要能够清晰反映项目实施所达到的预期效果，并按照定量和定性相结合的要求设定绩效指标，着重突出产出、成本、效益、可持续影响力和服务对象满意度等核心绩效指标，尽可能做到量化细化、可衡量、可对比，提高项目支出的计划性，推动项目管理的科学性和规范性。</w:t>
      </w:r>
    </w:p>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130" w:name="_Toc10561"/>
      <w:bookmarkStart w:id="131" w:name="_Toc3664"/>
      <w:r>
        <w:rPr>
          <w:rFonts w:hint="eastAsia" w:ascii="楷体_GB2312" w:hAnsi="楷体_GB2312" w:eastAsia="楷体_GB2312" w:cs="楷体_GB2312"/>
          <w:b/>
          <w:color w:val="auto"/>
          <w:kern w:val="2"/>
          <w:sz w:val="32"/>
          <w:szCs w:val="24"/>
          <w:highlight w:val="none"/>
          <w:lang w:val="en-US" w:eastAsia="zh-CN" w:bidi="ar-SA"/>
        </w:rPr>
        <w:t>2.加强项目监管，确保施工进度，及时完成工程施工</w:t>
      </w:r>
      <w:bookmarkEnd w:id="130"/>
      <w:bookmarkEnd w:id="131"/>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b w:val="0"/>
          <w:color w:val="auto"/>
          <w:kern w:val="2"/>
          <w:sz w:val="32"/>
          <w:szCs w:val="24"/>
          <w:highlight w:val="none"/>
          <w:lang w:val="en-US" w:eastAsia="zh-CN" w:bidi="ar-SA"/>
        </w:rPr>
      </w:pPr>
      <w:r>
        <w:rPr>
          <w:rFonts w:hint="eastAsia" w:ascii="仿宋_GB2312" w:hAnsi="仿宋_GB2312" w:eastAsia="仿宋_GB2312" w:cs="仿宋_GB2312"/>
          <w:b w:val="0"/>
          <w:color w:val="auto"/>
          <w:kern w:val="2"/>
          <w:sz w:val="32"/>
          <w:szCs w:val="24"/>
          <w:highlight w:val="none"/>
          <w:lang w:val="en-US" w:eastAsia="zh-CN" w:bidi="ar-SA"/>
        </w:rPr>
        <w:t>建议项目</w:t>
      </w:r>
      <w:r>
        <w:rPr>
          <w:rFonts w:hint="eastAsia" w:ascii="仿宋_GB2312" w:hAnsi="仿宋_GB2312" w:cs="仿宋_GB2312"/>
          <w:b w:val="0"/>
          <w:color w:val="auto"/>
          <w:kern w:val="2"/>
          <w:sz w:val="32"/>
          <w:szCs w:val="24"/>
          <w:highlight w:val="none"/>
          <w:lang w:val="en-US" w:eastAsia="zh-CN" w:bidi="ar-SA"/>
        </w:rPr>
        <w:t>实施单位在以后年度项目实施中，加强对施工单位和监理单位的督导监管，督促施工单位严格按照中标通知书及合同协议书中规定的工期时限及时完成工程施工，监理单位根据监理细则对工程施工质量、进度等进行管理，充分发挥监理职责，确保项目按时完工。</w:t>
      </w:r>
    </w:p>
    <w:p>
      <w:pPr>
        <w:pStyle w:val="4"/>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_GB2312" w:hAnsi="楷体_GB2312" w:eastAsia="楷体_GB2312" w:cs="楷体_GB2312"/>
          <w:color w:val="auto"/>
          <w:szCs w:val="24"/>
          <w:highlight w:val="none"/>
          <w:lang w:val="en-US" w:eastAsia="zh-CN"/>
        </w:rPr>
      </w:pPr>
      <w:bookmarkStart w:id="132" w:name="_Toc10376"/>
      <w:bookmarkStart w:id="133" w:name="_Toc27391"/>
      <w:r>
        <w:rPr>
          <w:rFonts w:hint="eastAsia" w:ascii="楷体_GB2312" w:hAnsi="楷体_GB2312" w:eastAsia="楷体_GB2312" w:cs="楷体_GB2312"/>
          <w:color w:val="auto"/>
          <w:szCs w:val="24"/>
          <w:highlight w:val="none"/>
          <w:lang w:val="en-US" w:eastAsia="zh-CN"/>
        </w:rPr>
        <w:t>3.严控交货时间，及时开展设备验收</w:t>
      </w:r>
      <w:bookmarkEnd w:id="132"/>
      <w:bookmarkEnd w:id="133"/>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楷体" w:hAnsi="楷体" w:eastAsia="楷体" w:cs="楷体"/>
          <w:b/>
          <w:bCs/>
          <w:color w:val="000000" w:themeColor="text1"/>
          <w:sz w:val="32"/>
          <w:szCs w:val="24"/>
          <w:lang w:val="en-US" w:eastAsia="zh-CN"/>
          <w14:textFill>
            <w14:solidFill>
              <w14:schemeClr w14:val="tx1"/>
            </w14:solidFill>
          </w14:textFill>
        </w:rPr>
      </w:pPr>
      <w:r>
        <w:rPr>
          <w:rFonts w:hint="eastAsia" w:ascii="仿宋_GB2312" w:hAnsi="仿宋_GB2312" w:eastAsia="仿宋_GB2312" w:cs="仿宋_GB2312"/>
          <w:b w:val="0"/>
          <w:color w:val="auto"/>
          <w:kern w:val="2"/>
          <w:sz w:val="32"/>
          <w:szCs w:val="24"/>
          <w:highlight w:val="none"/>
          <w:lang w:val="en-US" w:eastAsia="zh-CN" w:bidi="ar-SA"/>
        </w:rPr>
        <w:t>建议项目</w:t>
      </w:r>
      <w:r>
        <w:rPr>
          <w:rFonts w:hint="eastAsia" w:ascii="仿宋_GB2312" w:hAnsi="仿宋_GB2312" w:cs="仿宋_GB2312"/>
          <w:b w:val="0"/>
          <w:color w:val="auto"/>
          <w:kern w:val="2"/>
          <w:sz w:val="32"/>
          <w:szCs w:val="24"/>
          <w:highlight w:val="none"/>
          <w:lang w:val="en-US" w:eastAsia="zh-CN" w:bidi="ar-SA"/>
        </w:rPr>
        <w:t>实施单位在以后年度实施政府采购项目时，要求供应商严格按照合同约定的供货时间，及时供货交付使用，对延期交货情况事先在合同中明确规定逾期交货处罚方式，在供应商交货后，采购方</w:t>
      </w:r>
      <w:r>
        <w:rPr>
          <w:rFonts w:hint="eastAsia" w:ascii="仿宋_GB2312" w:hAnsi="仿宋_GB2312" w:eastAsia="仿宋_GB2312" w:cs="仿宋_GB2312"/>
          <w:b w:val="0"/>
          <w:color w:val="auto"/>
          <w:kern w:val="2"/>
          <w:sz w:val="32"/>
          <w:szCs w:val="24"/>
          <w:highlight w:val="none"/>
          <w:lang w:val="en-US" w:eastAsia="zh-CN" w:bidi="ar-SA"/>
        </w:rPr>
        <w:t>及时组织开展</w:t>
      </w:r>
      <w:r>
        <w:rPr>
          <w:rFonts w:hint="eastAsia" w:ascii="仿宋_GB2312" w:hAnsi="仿宋_GB2312" w:cs="仿宋_GB2312"/>
          <w:b w:val="0"/>
          <w:color w:val="auto"/>
          <w:kern w:val="2"/>
          <w:sz w:val="32"/>
          <w:szCs w:val="24"/>
          <w:highlight w:val="none"/>
          <w:lang w:val="en-US" w:eastAsia="zh-CN" w:bidi="ar-SA"/>
        </w:rPr>
        <w:t>设备</w:t>
      </w:r>
      <w:r>
        <w:rPr>
          <w:rFonts w:hint="eastAsia" w:ascii="仿宋_GB2312" w:hAnsi="仿宋_GB2312" w:eastAsia="仿宋_GB2312" w:cs="仿宋_GB2312"/>
          <w:b w:val="0"/>
          <w:color w:val="auto"/>
          <w:kern w:val="2"/>
          <w:sz w:val="32"/>
          <w:szCs w:val="24"/>
          <w:highlight w:val="none"/>
          <w:lang w:val="en-US" w:eastAsia="zh-CN" w:bidi="ar-SA"/>
        </w:rPr>
        <w:t>验收，保障设备及时投入使用。</w:t>
      </w:r>
    </w:p>
    <w:p>
      <w:pPr>
        <w:pageBreakBefore w:val="0"/>
        <w:overflowPunct/>
        <w:topLinePunct w:val="0"/>
        <w:bidi w:val="0"/>
        <w:spacing w:line="576" w:lineRule="exact"/>
        <w:ind w:left="0" w:leftChars="0" w:firstLine="0" w:firstLineChars="0"/>
        <w:rPr>
          <w:rFonts w:hint="eastAsia" w:ascii="楷体" w:hAnsi="楷体" w:eastAsia="楷体" w:cs="楷体"/>
          <w:b/>
          <w:bCs/>
          <w:color w:val="auto"/>
          <w:sz w:val="32"/>
          <w:szCs w:val="32"/>
          <w:highlight w:val="none"/>
          <w:lang w:eastAsia="zh-CN"/>
        </w:rPr>
        <w:sectPr>
          <w:headerReference r:id="rId9" w:type="first"/>
          <w:footerReference r:id="rId12" w:type="first"/>
          <w:headerReference r:id="rId7" w:type="default"/>
          <w:footerReference r:id="rId10" w:type="default"/>
          <w:headerReference r:id="rId8" w:type="even"/>
          <w:footerReference r:id="rId11" w:type="even"/>
          <w:pgSz w:w="11906" w:h="16838"/>
          <w:pgMar w:top="2098" w:right="1474" w:bottom="1984" w:left="1587"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pStyle w:val="4"/>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0" w:firstLineChars="0"/>
        <w:textAlignment w:val="auto"/>
        <w:rPr>
          <w:rFonts w:hint="eastAsia" w:ascii="楷体" w:hAnsi="楷体" w:eastAsia="楷体" w:cs="楷体"/>
          <w:b/>
          <w:bCs/>
          <w:color w:val="000000" w:themeColor="text1"/>
          <w:sz w:val="32"/>
          <w:szCs w:val="24"/>
          <w:lang w:val="en-US" w:eastAsia="zh-CN"/>
          <w14:textFill>
            <w14:solidFill>
              <w14:schemeClr w14:val="tx1"/>
            </w14:solidFill>
          </w14:textFill>
        </w:rPr>
      </w:pPr>
      <w:bookmarkStart w:id="134" w:name="_Toc12797"/>
      <w:r>
        <w:rPr>
          <w:rFonts w:hint="eastAsia" w:ascii="楷体" w:hAnsi="楷体" w:eastAsia="楷体" w:cs="楷体"/>
          <w:b/>
          <w:bCs/>
          <w:color w:val="000000" w:themeColor="text1"/>
          <w:sz w:val="32"/>
          <w:szCs w:val="24"/>
          <w:lang w:val="en-US" w:eastAsia="zh-CN"/>
          <w14:textFill>
            <w14:solidFill>
              <w14:schemeClr w14:val="tx1"/>
            </w14:solidFill>
          </w14:textFill>
        </w:rPr>
        <w:t>附件一 西宁市城中区2021年校园保安专项资金绩效评价报告</w:t>
      </w:r>
      <w:bookmarkEnd w:id="134"/>
    </w:p>
    <w:p>
      <w:pPr>
        <w:keepNext w:val="0"/>
        <w:keepLines w:val="0"/>
        <w:pageBreakBefore w:val="0"/>
        <w:widowControl w:val="0"/>
        <w:kinsoku/>
        <w:overflowPunct/>
        <w:topLinePunct w:val="0"/>
        <w:autoSpaceDE/>
        <w:autoSpaceDN/>
        <w:bidi w:val="0"/>
        <w:adjustRightInd w:val="0"/>
        <w:snapToGrid w:val="0"/>
        <w:spacing w:line="576" w:lineRule="exact"/>
        <w:ind w:left="0" w:leftChars="0" w:firstLine="562"/>
        <w:jc w:val="right"/>
        <w:rPr>
          <w:rFonts w:ascii="楷体" w:hAnsi="楷体" w:eastAsia="楷体" w:cs="宋体"/>
          <w:b/>
          <w:bCs/>
          <w:color w:val="auto"/>
          <w:sz w:val="28"/>
          <w:szCs w:val="28"/>
          <w:highlight w:val="none"/>
        </w:rPr>
      </w:pPr>
    </w:p>
    <w:p>
      <w:pPr>
        <w:keepNext w:val="0"/>
        <w:keepLines w:val="0"/>
        <w:pageBreakBefore w:val="0"/>
        <w:widowControl w:val="0"/>
        <w:kinsoku/>
        <w:overflowPunct/>
        <w:topLinePunct w:val="0"/>
        <w:autoSpaceDE/>
        <w:autoSpaceDN/>
        <w:bidi w:val="0"/>
        <w:spacing w:line="576" w:lineRule="exact"/>
        <w:ind w:left="0" w:leftChars="0" w:firstLine="643"/>
        <w:jc w:val="right"/>
        <w:rPr>
          <w:rFonts w:hAnsi="宋体"/>
          <w:b/>
          <w:color w:val="auto"/>
          <w:szCs w:val="32"/>
          <w:highlight w:val="none"/>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right="0" w:firstLine="0" w:firstLineChars="0"/>
        <w:jc w:val="center"/>
        <w:textAlignment w:val="auto"/>
        <w:rPr>
          <w:rFonts w:hint="eastAsia" w:ascii="方正小标宋简体" w:hAnsi="方正小标宋简体" w:eastAsia="方正小标宋简体" w:cs="方正小标宋简体"/>
          <w:b/>
          <w:bCs/>
          <w:color w:val="auto"/>
          <w:sz w:val="48"/>
          <w:szCs w:val="48"/>
          <w:highlight w:val="none"/>
          <w:lang w:val="en-US" w:eastAsia="zh-CN"/>
        </w:rPr>
      </w:pPr>
      <w:r>
        <w:rPr>
          <w:rFonts w:hint="eastAsia" w:ascii="方正小标宋简体" w:hAnsi="方正小标宋简体" w:eastAsia="方正小标宋简体" w:cs="方正小标宋简体"/>
          <w:b/>
          <w:bCs/>
          <w:color w:val="auto"/>
          <w:sz w:val="48"/>
          <w:szCs w:val="48"/>
          <w:highlight w:val="none"/>
          <w:lang w:val="en-US" w:eastAsia="zh-CN"/>
        </w:rPr>
        <w:t>西宁市城中区2021年校园保安</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right="0" w:firstLine="0" w:firstLineChars="0"/>
        <w:jc w:val="center"/>
        <w:textAlignment w:val="auto"/>
        <w:rPr>
          <w:rFonts w:hint="eastAsia" w:ascii="方正小标宋简体" w:hAnsi="方正小标宋简体" w:eastAsia="方正小标宋简体" w:cs="方正小标宋简体"/>
          <w:b/>
          <w:bCs/>
          <w:color w:val="auto"/>
          <w:sz w:val="48"/>
          <w:szCs w:val="48"/>
          <w:highlight w:val="none"/>
          <w:lang w:val="en-US" w:eastAsia="zh-CN"/>
        </w:rPr>
      </w:pPr>
      <w:r>
        <w:rPr>
          <w:rFonts w:hint="eastAsia" w:ascii="方正小标宋简体" w:hAnsi="方正小标宋简体" w:eastAsia="方正小标宋简体" w:cs="方正小标宋简体"/>
          <w:b/>
          <w:bCs/>
          <w:color w:val="auto"/>
          <w:sz w:val="48"/>
          <w:szCs w:val="48"/>
          <w:highlight w:val="none"/>
          <w:lang w:val="en-US" w:eastAsia="zh-CN"/>
        </w:rPr>
        <w:t>专项资金绩效评价报告</w:t>
      </w:r>
    </w:p>
    <w:p>
      <w:pPr>
        <w:pageBreakBefore w:val="0"/>
        <w:overflowPunct/>
        <w:topLinePunct w:val="0"/>
        <w:bidi w:val="0"/>
        <w:spacing w:line="576" w:lineRule="exact"/>
        <w:ind w:left="0" w:leftChars="0"/>
      </w:pPr>
    </w:p>
    <w:p>
      <w:pPr>
        <w:pageBreakBefore w:val="0"/>
        <w:overflowPunct/>
        <w:topLinePunct w:val="0"/>
        <w:bidi w:val="0"/>
        <w:spacing w:line="576" w:lineRule="exact"/>
        <w:ind w:left="0" w:leftChars="0"/>
      </w:pPr>
    </w:p>
    <w:p>
      <w:pPr>
        <w:pageBreakBefore w:val="0"/>
        <w:overflowPunct/>
        <w:topLinePunct w:val="0"/>
        <w:bidi w:val="0"/>
        <w:spacing w:line="576" w:lineRule="exact"/>
        <w:ind w:left="0" w:leftChars="0"/>
      </w:pPr>
    </w:p>
    <w:p>
      <w:pPr>
        <w:pageBreakBefore w:val="0"/>
        <w:overflowPunct/>
        <w:topLinePunct w:val="0"/>
        <w:bidi w:val="0"/>
        <w:spacing w:line="576" w:lineRule="exact"/>
        <w:ind w:left="0" w:leftChars="0"/>
      </w:pPr>
    </w:p>
    <w:p>
      <w:pPr>
        <w:pageBreakBefore w:val="0"/>
        <w:overflowPunct/>
        <w:topLinePunct w:val="0"/>
        <w:bidi w:val="0"/>
        <w:spacing w:line="576" w:lineRule="exact"/>
        <w:ind w:left="0" w:leftChars="0"/>
      </w:pPr>
    </w:p>
    <w:p>
      <w:pPr>
        <w:pageBreakBefore w:val="0"/>
        <w:overflowPunct/>
        <w:topLinePunct w:val="0"/>
        <w:bidi w:val="0"/>
        <w:spacing w:line="576" w:lineRule="exact"/>
        <w:ind w:left="0" w:leftChars="0"/>
      </w:pPr>
    </w:p>
    <w:p>
      <w:pPr>
        <w:keepNext w:val="0"/>
        <w:keepLines w:val="0"/>
        <w:pageBreakBefore w:val="0"/>
        <w:widowControl w:val="0"/>
        <w:kinsoku/>
        <w:overflowPunct/>
        <w:topLinePunct w:val="0"/>
        <w:autoSpaceDE/>
        <w:autoSpaceDN/>
        <w:bidi w:val="0"/>
        <w:spacing w:line="576" w:lineRule="exact"/>
        <w:ind w:left="2560" w:leftChars="0" w:hanging="2560" w:hangingChars="800"/>
        <w:rPr>
          <w:rFonts w:hint="default" w:hAnsi="仿宋" w:eastAsia="仿宋_GB2312" w:cs="仿宋"/>
          <w:color w:val="auto"/>
          <w:szCs w:val="32"/>
          <w:highlight w:val="none"/>
          <w:lang w:val="en-US" w:eastAsia="zh-CN"/>
        </w:rPr>
      </w:pPr>
      <w:r>
        <w:rPr>
          <w:rFonts w:hint="eastAsia" w:hAnsi="仿宋" w:cs="仿宋"/>
          <w:color w:val="FF0000"/>
          <w:szCs w:val="32"/>
          <w:highlight w:val="none"/>
        </w:rPr>
        <w:t xml:space="preserve">  </w:t>
      </w:r>
      <w:r>
        <w:rPr>
          <w:rFonts w:hint="eastAsia" w:hAnsi="仿宋" w:cs="仿宋"/>
          <w:color w:val="auto"/>
          <w:szCs w:val="32"/>
          <w:highlight w:val="none"/>
        </w:rPr>
        <w:t>项</w:t>
      </w:r>
      <w:r>
        <w:rPr>
          <w:rFonts w:hint="eastAsia" w:hAnsi="仿宋" w:cs="仿宋"/>
          <w:color w:val="auto"/>
          <w:szCs w:val="32"/>
          <w:highlight w:val="none"/>
          <w:lang w:val="en-US" w:eastAsia="zh-CN"/>
        </w:rPr>
        <w:t xml:space="preserve"> </w:t>
      </w:r>
      <w:r>
        <w:rPr>
          <w:rFonts w:hint="eastAsia" w:hAnsi="仿宋" w:cs="仿宋"/>
          <w:color w:val="auto"/>
          <w:szCs w:val="32"/>
          <w:highlight w:val="none"/>
        </w:rPr>
        <w:t>目</w:t>
      </w:r>
      <w:r>
        <w:rPr>
          <w:rFonts w:hint="eastAsia" w:hAnsi="仿宋" w:cs="仿宋"/>
          <w:color w:val="auto"/>
          <w:szCs w:val="32"/>
          <w:highlight w:val="none"/>
          <w:lang w:val="en-US" w:eastAsia="zh-CN"/>
        </w:rPr>
        <w:t xml:space="preserve"> </w:t>
      </w:r>
      <w:r>
        <w:rPr>
          <w:rFonts w:hint="eastAsia" w:hAnsi="仿宋" w:cs="仿宋"/>
          <w:color w:val="auto"/>
          <w:szCs w:val="32"/>
          <w:highlight w:val="none"/>
        </w:rPr>
        <w:t>名</w:t>
      </w:r>
      <w:r>
        <w:rPr>
          <w:rFonts w:hint="eastAsia" w:hAnsi="仿宋" w:cs="仿宋"/>
          <w:color w:val="auto"/>
          <w:szCs w:val="32"/>
          <w:highlight w:val="none"/>
          <w:lang w:val="en-US" w:eastAsia="zh-CN"/>
        </w:rPr>
        <w:t xml:space="preserve"> </w:t>
      </w:r>
      <w:r>
        <w:rPr>
          <w:rFonts w:hint="eastAsia" w:hAnsi="仿宋" w:cs="仿宋"/>
          <w:color w:val="auto"/>
          <w:szCs w:val="32"/>
          <w:highlight w:val="none"/>
        </w:rPr>
        <w:t>称</w:t>
      </w:r>
      <w:r>
        <w:rPr>
          <w:rFonts w:hint="eastAsia" w:hAnsi="仿宋" w:cs="仿宋"/>
          <w:color w:val="auto"/>
          <w:szCs w:val="32"/>
          <w:highlight w:val="none"/>
          <w:lang w:eastAsia="zh-CN"/>
        </w:rPr>
        <w:t>：</w:t>
      </w:r>
      <w:r>
        <w:rPr>
          <w:rFonts w:hint="eastAsia" w:hAnsi="仿宋" w:cs="仿宋"/>
          <w:color w:val="auto"/>
          <w:szCs w:val="32"/>
          <w:highlight w:val="none"/>
          <w:u w:val="single"/>
          <w:lang w:eastAsia="zh-CN"/>
        </w:rPr>
        <w:t>西宁市城中区</w:t>
      </w:r>
      <w:r>
        <w:rPr>
          <w:rFonts w:hint="eastAsia" w:ascii="Times New Roman" w:hAnsi="Times New Roman" w:cs="Times New Roman"/>
          <w:sz w:val="32"/>
          <w:u w:val="single"/>
          <w:lang w:val="en-US" w:eastAsia="zh-CN"/>
        </w:rPr>
        <w:t>2021</w:t>
      </w:r>
      <w:r>
        <w:rPr>
          <w:rFonts w:hint="eastAsia" w:hAnsi="仿宋" w:cs="仿宋"/>
          <w:color w:val="auto"/>
          <w:szCs w:val="32"/>
          <w:highlight w:val="none"/>
          <w:u w:val="single"/>
          <w:lang w:eastAsia="zh-CN"/>
        </w:rPr>
        <w:t>年校园保安专项资金</w:t>
      </w:r>
    </w:p>
    <w:p>
      <w:pPr>
        <w:keepNext w:val="0"/>
        <w:keepLines w:val="0"/>
        <w:pageBreakBefore w:val="0"/>
        <w:widowControl w:val="0"/>
        <w:kinsoku/>
        <w:overflowPunct/>
        <w:topLinePunct w:val="0"/>
        <w:autoSpaceDE/>
        <w:autoSpaceDN/>
        <w:bidi w:val="0"/>
        <w:spacing w:line="576" w:lineRule="exact"/>
        <w:ind w:left="1600" w:leftChars="0" w:hanging="1600" w:hangingChars="500"/>
        <w:rPr>
          <w:rFonts w:hint="default" w:hAnsi="仿宋" w:cs="仿宋"/>
          <w:color w:val="auto"/>
          <w:szCs w:val="32"/>
          <w:highlight w:val="none"/>
          <w:u w:val="single"/>
          <w:lang w:val="en-US" w:eastAsia="zh-CN"/>
        </w:rPr>
      </w:pPr>
      <w:r>
        <w:rPr>
          <w:rFonts w:hint="eastAsia" w:hAnsi="仿宋" w:cs="仿宋"/>
          <w:color w:val="auto"/>
          <w:szCs w:val="32"/>
          <w:highlight w:val="none"/>
        </w:rPr>
        <w:t xml:space="preserve">  项目主管部门：</w:t>
      </w:r>
      <w:r>
        <w:rPr>
          <w:rFonts w:hint="eastAsia" w:hAnsi="仿宋" w:cs="仿宋"/>
          <w:color w:val="auto"/>
          <w:szCs w:val="32"/>
          <w:highlight w:val="none"/>
          <w:u w:val="single"/>
          <w:lang w:val="en-US" w:eastAsia="zh-CN"/>
        </w:rPr>
        <w:t xml:space="preserve">西宁市城中区教育局                </w:t>
      </w:r>
    </w:p>
    <w:p>
      <w:pPr>
        <w:keepNext w:val="0"/>
        <w:keepLines w:val="0"/>
        <w:pageBreakBefore w:val="0"/>
        <w:widowControl w:val="0"/>
        <w:kinsoku/>
        <w:overflowPunct/>
        <w:topLinePunct w:val="0"/>
        <w:autoSpaceDE/>
        <w:autoSpaceDN/>
        <w:bidi w:val="0"/>
        <w:spacing w:line="576" w:lineRule="exact"/>
        <w:ind w:left="0" w:leftChars="0" w:firstLine="0" w:firstLineChars="0"/>
        <w:rPr>
          <w:rFonts w:hint="default" w:hAnsi="仿宋" w:cs="仿宋"/>
          <w:color w:val="auto"/>
          <w:szCs w:val="32"/>
          <w:highlight w:val="none"/>
          <w:lang w:val="en-US"/>
        </w:rPr>
      </w:pPr>
      <w:r>
        <w:rPr>
          <w:rFonts w:hint="eastAsia" w:hAnsi="仿宋" w:cs="仿宋"/>
          <w:color w:val="auto"/>
          <w:szCs w:val="32"/>
          <w:highlight w:val="none"/>
        </w:rPr>
        <w:t xml:space="preserve">  </w:t>
      </w:r>
      <w:r>
        <w:rPr>
          <w:rFonts w:hint="eastAsia" w:hAnsi="仿宋" w:cs="仿宋"/>
          <w:color w:val="auto"/>
          <w:szCs w:val="32"/>
          <w:highlight w:val="none"/>
          <w:lang w:eastAsia="zh-CN"/>
        </w:rPr>
        <w:t>评价实施部门</w:t>
      </w:r>
      <w:r>
        <w:rPr>
          <w:rFonts w:hint="eastAsia" w:hAnsi="仿宋" w:cs="仿宋"/>
          <w:color w:val="auto"/>
          <w:szCs w:val="32"/>
          <w:highlight w:val="none"/>
        </w:rPr>
        <w:t>：</w:t>
      </w:r>
      <w:r>
        <w:rPr>
          <w:rFonts w:hint="eastAsia" w:hAnsi="仿宋" w:cs="仿宋"/>
          <w:color w:val="auto"/>
          <w:szCs w:val="32"/>
          <w:highlight w:val="none"/>
          <w:u w:val="single"/>
          <w:lang w:val="en-US" w:eastAsia="zh-CN"/>
        </w:rPr>
        <w:t xml:space="preserve">西宁市城中区财政局                </w:t>
      </w:r>
    </w:p>
    <w:p>
      <w:pPr>
        <w:keepNext w:val="0"/>
        <w:keepLines w:val="0"/>
        <w:pageBreakBefore w:val="0"/>
        <w:widowControl w:val="0"/>
        <w:kinsoku/>
        <w:overflowPunct/>
        <w:topLinePunct w:val="0"/>
        <w:autoSpaceDE/>
        <w:autoSpaceDN/>
        <w:bidi w:val="0"/>
        <w:spacing w:line="576" w:lineRule="exact"/>
        <w:ind w:left="1600" w:leftChars="0" w:hanging="1600" w:hangingChars="500"/>
        <w:rPr>
          <w:rFonts w:hint="default" w:hAnsi="仿宋" w:eastAsia="仿宋_GB2312" w:cs="仿宋"/>
          <w:color w:val="auto"/>
          <w:szCs w:val="32"/>
          <w:highlight w:val="none"/>
          <w:lang w:val="en-US" w:eastAsia="zh-CN"/>
        </w:rPr>
      </w:pPr>
      <w:r>
        <w:rPr>
          <w:rFonts w:hint="eastAsia" w:hAnsi="仿宋" w:cs="仿宋"/>
          <w:color w:val="auto"/>
          <w:szCs w:val="32"/>
          <w:highlight w:val="none"/>
        </w:rPr>
        <w:t xml:space="preserve"> </w:t>
      </w:r>
      <w:r>
        <w:rPr>
          <w:rFonts w:hAnsi="仿宋" w:cs="仿宋"/>
          <w:color w:val="auto"/>
          <w:szCs w:val="32"/>
          <w:highlight w:val="none"/>
        </w:rPr>
        <w:t xml:space="preserve"> </w:t>
      </w:r>
      <w:r>
        <w:rPr>
          <w:rFonts w:hint="eastAsia" w:hAnsi="仿宋" w:cs="仿宋"/>
          <w:color w:val="auto"/>
          <w:szCs w:val="32"/>
          <w:highlight w:val="none"/>
        </w:rPr>
        <w:t>评价机构</w:t>
      </w:r>
      <w:r>
        <w:rPr>
          <w:rFonts w:hint="eastAsia" w:hAnsi="仿宋" w:cs="仿宋"/>
          <w:color w:val="auto"/>
          <w:szCs w:val="32"/>
          <w:highlight w:val="none"/>
          <w:lang w:eastAsia="zh-CN"/>
        </w:rPr>
        <w:t>名称</w:t>
      </w:r>
      <w:r>
        <w:rPr>
          <w:rFonts w:hint="eastAsia" w:hAnsi="仿宋" w:cs="仿宋"/>
          <w:color w:val="auto"/>
          <w:szCs w:val="32"/>
          <w:highlight w:val="none"/>
        </w:rPr>
        <w:t>：</w:t>
      </w:r>
      <w:r>
        <w:rPr>
          <w:rFonts w:hint="eastAsia" w:hAnsi="仿宋" w:cs="仿宋"/>
          <w:color w:val="auto"/>
          <w:szCs w:val="32"/>
          <w:highlight w:val="none"/>
          <w:u w:val="single"/>
          <w:lang w:val="en-US" w:eastAsia="zh-CN"/>
        </w:rPr>
        <w:t xml:space="preserve">甘肃政泽绩效管理咨询服务有限公司  </w:t>
      </w:r>
    </w:p>
    <w:p>
      <w:pPr>
        <w:pageBreakBefore w:val="0"/>
        <w:overflowPunct/>
        <w:topLinePunct w:val="0"/>
        <w:bidi w:val="0"/>
        <w:spacing w:line="576" w:lineRule="exact"/>
        <w:ind w:left="0" w:leftChars="0"/>
      </w:pPr>
    </w:p>
    <w:p>
      <w:pPr>
        <w:pageBreakBefore w:val="0"/>
        <w:overflowPunct/>
        <w:topLinePunct w:val="0"/>
        <w:bidi w:val="0"/>
        <w:spacing w:line="576" w:lineRule="exact"/>
        <w:ind w:left="0" w:leftChars="0"/>
      </w:pPr>
    </w:p>
    <w:p>
      <w:pPr>
        <w:pageBreakBefore w:val="0"/>
        <w:overflowPunct/>
        <w:topLinePunct w:val="0"/>
        <w:bidi w:val="0"/>
        <w:spacing w:line="576" w:lineRule="exact"/>
        <w:ind w:left="0" w:leftChars="0"/>
        <w:rPr>
          <w:rFonts w:hint="eastAsia"/>
        </w:rPr>
      </w:pPr>
    </w:p>
    <w:p>
      <w:pPr>
        <w:pageBreakBefore w:val="0"/>
        <w:overflowPunct/>
        <w:topLinePunct w:val="0"/>
        <w:bidi w:val="0"/>
        <w:spacing w:line="576" w:lineRule="exact"/>
        <w:ind w:left="0" w:leftChars="0"/>
        <w:rPr>
          <w:rFonts w:hint="eastAsia"/>
        </w:rPr>
      </w:pPr>
    </w:p>
    <w:p>
      <w:pPr>
        <w:keepNext w:val="0"/>
        <w:keepLines w:val="0"/>
        <w:pageBreakBefore w:val="0"/>
        <w:widowControl w:val="0"/>
        <w:kinsoku/>
        <w:overflowPunct/>
        <w:topLinePunct w:val="0"/>
        <w:autoSpaceDE/>
        <w:autoSpaceDN/>
        <w:bidi w:val="0"/>
        <w:spacing w:line="576" w:lineRule="exact"/>
        <w:ind w:left="0" w:leftChars="0"/>
        <w:jc w:val="center"/>
        <w:rPr>
          <w:rFonts w:hint="eastAsia" w:hAnsi="仿宋" w:cs="仿宋"/>
          <w:b/>
          <w:bCs/>
          <w:color w:val="auto"/>
          <w:szCs w:val="32"/>
          <w:highlight w:val="none"/>
          <w:lang w:val="en-US" w:eastAsia="zh-CN"/>
        </w:rPr>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ageBreakBefore w:val="0"/>
        <w:overflowPunct/>
        <w:topLinePunct w:val="0"/>
        <w:bidi w:val="0"/>
        <w:spacing w:line="576" w:lineRule="exact"/>
        <w:ind w:left="0" w:leftChars="0"/>
        <w:rPr>
          <w:rFonts w:hint="eastAsia"/>
        </w:rPr>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outlineLvl w:val="0"/>
        <w:rPr>
          <w:rFonts w:hint="eastAsia" w:ascii="仿宋_GB2312" w:hAnsi="仿宋_GB2312" w:eastAsia="仿宋_GB2312" w:cs="仿宋_GB2312"/>
          <w:b/>
          <w:bCs/>
          <w:color w:val="auto"/>
          <w:sz w:val="24"/>
          <w:szCs w:val="24"/>
          <w:highlight w:val="none"/>
        </w:rPr>
      </w:pPr>
      <w:bookmarkStart w:id="135" w:name="_Toc14504"/>
      <w:bookmarkStart w:id="136" w:name="_Toc5332"/>
      <w:bookmarkStart w:id="137" w:name="_Toc13312"/>
      <w:bookmarkStart w:id="138" w:name="_Toc31705"/>
      <w:bookmarkStart w:id="139" w:name="_Toc6182"/>
      <w:bookmarkStart w:id="140" w:name="_Toc25791"/>
      <w:bookmarkStart w:id="141" w:name="_Toc30998"/>
      <w:bookmarkStart w:id="142" w:name="_Toc25098"/>
      <w:bookmarkStart w:id="143" w:name="_Toc29481"/>
      <w:bookmarkStart w:id="144" w:name="_Toc25778"/>
      <w:bookmarkStart w:id="145" w:name="_Toc29502"/>
      <w:bookmarkStart w:id="146" w:name="_Toc18742"/>
      <w:bookmarkStart w:id="147" w:name="_Toc29293"/>
      <w:bookmarkStart w:id="148" w:name="_Toc5750"/>
      <w:bookmarkStart w:id="149" w:name="_Toc4253"/>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outlineLvl w:val="0"/>
        <w:rPr>
          <w:rFonts w:hint="eastAsia" w:ascii="黑体" w:hAnsi="黑体" w:eastAsia="黑体"/>
          <w:b/>
          <w:bCs/>
          <w:color w:val="auto"/>
          <w:sz w:val="44"/>
          <w:szCs w:val="44"/>
          <w:highlight w:val="none"/>
        </w:rPr>
      </w:pPr>
      <w:bookmarkStart w:id="150" w:name="_Toc17654"/>
      <w:bookmarkStart w:id="151" w:name="_Toc6563"/>
      <w:bookmarkStart w:id="152" w:name="_Toc22800"/>
      <w:r>
        <w:rPr>
          <w:rFonts w:hint="eastAsia" w:ascii="黑体" w:hAnsi="黑体" w:eastAsia="黑体"/>
          <w:b/>
          <w:bCs/>
          <w:color w:val="auto"/>
          <w:sz w:val="44"/>
          <w:szCs w:val="44"/>
          <w:highlight w:val="none"/>
        </w:rPr>
        <w:fldChar w:fldCharType="begin"/>
      </w:r>
      <w:r>
        <w:rPr>
          <w:rFonts w:hint="eastAsia" w:ascii="黑体" w:hAnsi="黑体" w:eastAsia="黑体"/>
          <w:b/>
          <w:bCs/>
          <w:color w:val="auto"/>
          <w:sz w:val="44"/>
          <w:szCs w:val="44"/>
          <w:highlight w:val="none"/>
        </w:rPr>
        <w:instrText xml:space="preserve"> HYPERLINK \l _Toc29392 </w:instrText>
      </w:r>
      <w:r>
        <w:rPr>
          <w:rFonts w:hint="eastAsia" w:ascii="黑体" w:hAnsi="黑体" w:eastAsia="黑体"/>
          <w:b/>
          <w:bCs/>
          <w:color w:val="auto"/>
          <w:sz w:val="44"/>
          <w:szCs w:val="44"/>
          <w:highlight w:val="none"/>
        </w:rPr>
        <w:fldChar w:fldCharType="separate"/>
      </w:r>
      <w:r>
        <w:rPr>
          <w:rFonts w:hint="eastAsia" w:ascii="黑体" w:hAnsi="黑体" w:eastAsia="黑体"/>
          <w:b/>
          <w:bCs/>
          <w:color w:val="auto"/>
          <w:sz w:val="44"/>
          <w:szCs w:val="44"/>
          <w:highlight w:val="none"/>
        </w:rPr>
        <w:t>摘  要</w:t>
      </w:r>
      <w:r>
        <w:rPr>
          <w:rFonts w:hint="eastAsia" w:ascii="黑体" w:hAnsi="黑体" w:eastAsia="黑体"/>
          <w:b/>
          <w:bCs/>
          <w:color w:val="auto"/>
          <w:sz w:val="44"/>
          <w:szCs w:val="44"/>
          <w:highlight w:val="none"/>
        </w:rPr>
        <w:fldChar w:fldCharType="end"/>
      </w:r>
      <w:bookmarkEnd w:id="135"/>
      <w:bookmarkEnd w:id="136"/>
      <w:bookmarkEnd w:id="137"/>
      <w:bookmarkEnd w:id="138"/>
      <w:bookmarkEnd w:id="139"/>
      <w:bookmarkEnd w:id="140"/>
      <w:bookmarkEnd w:id="141"/>
      <w:bookmarkEnd w:id="142"/>
      <w:bookmarkEnd w:id="143"/>
      <w:bookmarkEnd w:id="150"/>
      <w:bookmarkEnd w:id="151"/>
      <w:bookmarkEnd w:id="152"/>
    </w:p>
    <w:bookmarkEnd w:id="144"/>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olor w:val="auto"/>
          <w:sz w:val="24"/>
          <w:szCs w:val="21"/>
          <w:highlight w:val="none"/>
        </w:rPr>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lang w:val="en-US" w:eastAsia="zh-CN"/>
        </w:rPr>
      </w:pPr>
      <w:r>
        <w:rPr>
          <w:rFonts w:hint="eastAsia"/>
        </w:rPr>
        <w:t>为深入贯彻落实《中共中央 国务院关于</w:t>
      </w:r>
      <w:r>
        <w:rPr>
          <w:rFonts w:hint="eastAsia" w:ascii="仿宋_GB2312" w:eastAsia="仿宋_GB2312"/>
          <w:lang w:val="en-US" w:eastAsia="zh-CN"/>
        </w:rPr>
        <w:t>&lt;</w:t>
      </w:r>
      <w:r>
        <w:rPr>
          <w:rFonts w:hint="eastAsia"/>
        </w:rPr>
        <w:t>全面实施预算绩效管理</w:t>
      </w:r>
      <w:r>
        <w:rPr>
          <w:rFonts w:hint="eastAsia" w:ascii="仿宋_GB2312" w:eastAsia="仿宋_GB2312"/>
          <w:lang w:val="en-US" w:eastAsia="zh-CN"/>
        </w:rPr>
        <w:t>&gt;</w:t>
      </w:r>
      <w:r>
        <w:rPr>
          <w:rFonts w:hint="eastAsia"/>
        </w:rPr>
        <w:t>的意见》</w:t>
      </w:r>
      <w:r>
        <w:rPr>
          <w:rFonts w:hint="eastAsia" w:eastAsia="仿宋_GB2312"/>
          <w:lang w:eastAsia="zh-CN"/>
        </w:rPr>
        <w:t>（</w:t>
      </w:r>
      <w:r>
        <w:rPr>
          <w:rFonts w:hint="eastAsia"/>
        </w:rPr>
        <w:t>中发</w:t>
      </w:r>
      <w:r>
        <w:rPr>
          <w:rFonts w:hint="default" w:ascii="Times New Roman" w:hAnsi="Times New Roman" w:cs="Times New Roman"/>
        </w:rPr>
        <w:t>〔2018〕34</w:t>
      </w:r>
      <w:r>
        <w:rPr>
          <w:rFonts w:hint="eastAsia"/>
        </w:rPr>
        <w:t>号</w:t>
      </w:r>
      <w:r>
        <w:rPr>
          <w:rFonts w:hint="eastAsia" w:eastAsia="仿宋_GB2312"/>
          <w:lang w:eastAsia="zh-CN"/>
        </w:rPr>
        <w:t>）、《中共</w:t>
      </w:r>
      <w:r>
        <w:rPr>
          <w:rFonts w:hint="eastAsia" w:ascii="仿宋_GB2312" w:eastAsia="仿宋_GB2312"/>
          <w:lang w:val="en-US" w:eastAsia="zh-CN"/>
        </w:rPr>
        <w:t>青海</w:t>
      </w:r>
      <w:r>
        <w:rPr>
          <w:rFonts w:hint="eastAsia" w:eastAsia="仿宋_GB2312"/>
          <w:lang w:eastAsia="zh-CN"/>
        </w:rPr>
        <w:t>省委</w:t>
      </w:r>
      <w:r>
        <w:rPr>
          <w:rFonts w:hint="eastAsia" w:ascii="仿宋_GB2312" w:eastAsia="仿宋_GB2312"/>
          <w:lang w:val="en-US" w:eastAsia="zh-CN"/>
        </w:rPr>
        <w:t xml:space="preserve"> 青海</w:t>
      </w:r>
      <w:r>
        <w:rPr>
          <w:rFonts w:hint="eastAsia" w:eastAsia="仿宋_GB2312"/>
          <w:lang w:eastAsia="zh-CN"/>
        </w:rPr>
        <w:t>省人民政府关于</w:t>
      </w:r>
      <w:r>
        <w:rPr>
          <w:rFonts w:hint="eastAsia" w:ascii="仿宋_GB2312" w:eastAsia="仿宋_GB2312"/>
          <w:lang w:val="en-US" w:eastAsia="zh-CN"/>
        </w:rPr>
        <w:t>&lt;</w:t>
      </w:r>
      <w:r>
        <w:rPr>
          <w:rFonts w:hint="eastAsia" w:eastAsia="仿宋_GB2312"/>
          <w:lang w:eastAsia="zh-CN"/>
        </w:rPr>
        <w:t>全面实施预算绩效管理</w:t>
      </w:r>
      <w:r>
        <w:rPr>
          <w:rFonts w:hint="eastAsia" w:ascii="仿宋_GB2312" w:eastAsia="仿宋_GB2312"/>
          <w:lang w:val="en-US" w:eastAsia="zh-CN"/>
        </w:rPr>
        <w:t>&gt;</w:t>
      </w:r>
      <w:r>
        <w:rPr>
          <w:rFonts w:hint="eastAsia" w:eastAsia="仿宋_GB2312"/>
          <w:lang w:eastAsia="zh-CN"/>
        </w:rPr>
        <w:t>的实施意见》（</w:t>
      </w:r>
      <w:r>
        <w:rPr>
          <w:rFonts w:hint="eastAsia" w:ascii="仿宋_GB2312" w:eastAsia="仿宋_GB2312"/>
          <w:lang w:val="en-US" w:eastAsia="zh-CN"/>
        </w:rPr>
        <w:t>青</w:t>
      </w:r>
      <w:r>
        <w:rPr>
          <w:rFonts w:hint="eastAsia" w:eastAsia="仿宋_GB2312"/>
          <w:lang w:eastAsia="zh-CN"/>
        </w:rPr>
        <w:t>发</w:t>
      </w:r>
      <w:r>
        <w:rPr>
          <w:rFonts w:hint="eastAsia" w:ascii="Times New Roman" w:hAnsi="Times New Roman" w:cs="Times New Roman"/>
          <w:lang w:eastAsia="zh-CN"/>
        </w:rPr>
        <w:t>〔201</w:t>
      </w:r>
      <w:r>
        <w:rPr>
          <w:rFonts w:hint="eastAsia" w:ascii="Times New Roman" w:hAnsi="Times New Roman" w:cs="Times New Roman"/>
          <w:lang w:val="en-US" w:eastAsia="zh-CN"/>
        </w:rPr>
        <w:t>9</w:t>
      </w:r>
      <w:r>
        <w:rPr>
          <w:rFonts w:hint="eastAsia" w:ascii="Times New Roman" w:hAnsi="Times New Roman" w:cs="Times New Roman"/>
          <w:lang w:eastAsia="zh-CN"/>
        </w:rPr>
        <w:t>〕</w:t>
      </w:r>
      <w:r>
        <w:rPr>
          <w:rFonts w:hint="eastAsia" w:ascii="Times New Roman" w:hAnsi="Times New Roman" w:cs="Times New Roman"/>
          <w:lang w:val="en-US" w:eastAsia="zh-CN"/>
        </w:rPr>
        <w:t>11</w:t>
      </w:r>
      <w:r>
        <w:rPr>
          <w:rFonts w:hint="eastAsia" w:ascii="Times New Roman" w:hAnsi="Times New Roman" w:cs="Times New Roman"/>
          <w:lang w:eastAsia="zh-CN"/>
        </w:rPr>
        <w:t>号</w:t>
      </w:r>
      <w:r>
        <w:rPr>
          <w:rFonts w:hint="eastAsia" w:eastAsia="仿宋_GB2312"/>
          <w:lang w:eastAsia="zh-CN"/>
        </w:rPr>
        <w:t>）</w:t>
      </w:r>
      <w:r>
        <w:rPr>
          <w:rFonts w:hint="eastAsia" w:ascii="仿宋_GB2312" w:eastAsia="仿宋_GB2312"/>
          <w:lang w:val="en-US" w:eastAsia="zh-CN"/>
        </w:rPr>
        <w:t>和</w:t>
      </w:r>
      <w:r>
        <w:rPr>
          <w:rFonts w:hint="eastAsia"/>
        </w:rPr>
        <w:t>《公安部</w:t>
      </w:r>
      <w:r>
        <w:rPr>
          <w:rFonts w:hint="eastAsia" w:ascii="仿宋_GB2312" w:eastAsia="仿宋_GB2312"/>
          <w:lang w:val="en-US" w:eastAsia="zh-CN"/>
        </w:rPr>
        <w:t xml:space="preserve"> </w:t>
      </w:r>
      <w:r>
        <w:rPr>
          <w:rFonts w:hint="eastAsia"/>
        </w:rPr>
        <w:t>教育部关于印发</w:t>
      </w:r>
      <w:r>
        <w:rPr>
          <w:rFonts w:hint="eastAsia" w:ascii="仿宋_GB2312" w:eastAsia="仿宋_GB2312"/>
          <w:lang w:val="en-US" w:eastAsia="zh-CN"/>
        </w:rPr>
        <w:t>&lt;</w:t>
      </w:r>
      <w:r>
        <w:rPr>
          <w:rFonts w:hint="eastAsia"/>
        </w:rPr>
        <w:t>加快推动全国中小学幼儿园安全防范建设三年行动计划</w:t>
      </w:r>
      <w:r>
        <w:rPr>
          <w:rFonts w:hint="eastAsia" w:ascii="仿宋_GB2312" w:eastAsia="仿宋_GB2312"/>
          <w:lang w:val="en-US" w:eastAsia="zh-CN"/>
        </w:rPr>
        <w:t>&gt;</w:t>
      </w:r>
      <w:r>
        <w:rPr>
          <w:rFonts w:hint="eastAsia"/>
        </w:rPr>
        <w:t>的通知》等文件相关要求</w:t>
      </w:r>
      <w:r>
        <w:rPr>
          <w:rFonts w:hint="eastAsia" w:eastAsia="仿宋_GB2312"/>
          <w:lang w:eastAsia="zh-CN"/>
        </w:rPr>
        <w:t>，</w:t>
      </w:r>
      <w:r>
        <w:rPr>
          <w:rFonts w:hint="eastAsia"/>
        </w:rPr>
        <w:t>进一步推进</w:t>
      </w:r>
      <w:r>
        <w:rPr>
          <w:rFonts w:hint="eastAsia" w:ascii="仿宋_GB2312" w:eastAsia="仿宋_GB2312"/>
          <w:lang w:val="en-US" w:eastAsia="zh-CN"/>
        </w:rPr>
        <w:t>西宁市城中区校园保安</w:t>
      </w:r>
      <w:r>
        <w:rPr>
          <w:rFonts w:hint="eastAsia"/>
        </w:rPr>
        <w:t>服务体系建设，规范</w:t>
      </w:r>
      <w:r>
        <w:rPr>
          <w:rFonts w:hint="eastAsia" w:ascii="仿宋_GB2312" w:eastAsia="仿宋_GB2312"/>
          <w:lang w:val="en-US" w:eastAsia="zh-CN"/>
        </w:rPr>
        <w:t>校园保安</w:t>
      </w:r>
      <w:r>
        <w:rPr>
          <w:rFonts w:hint="eastAsia"/>
        </w:rPr>
        <w:t>服务</w:t>
      </w:r>
      <w:r>
        <w:rPr>
          <w:rFonts w:hint="eastAsia" w:eastAsia="仿宋_GB2312"/>
          <w:lang w:eastAsia="zh-CN"/>
        </w:rPr>
        <w:t>管理和</w:t>
      </w:r>
      <w:r>
        <w:rPr>
          <w:rFonts w:hint="eastAsia"/>
        </w:rPr>
        <w:t>资金</w:t>
      </w:r>
      <w:r>
        <w:rPr>
          <w:rFonts w:hint="eastAsia" w:ascii="仿宋_GB2312" w:eastAsia="仿宋_GB2312"/>
          <w:lang w:val="en-US" w:eastAsia="zh-CN"/>
        </w:rPr>
        <w:t>使用</w:t>
      </w:r>
      <w:r>
        <w:rPr>
          <w:rFonts w:hint="eastAsia"/>
        </w:rPr>
        <w:t>，提高财政资金配置效率和使用效益</w:t>
      </w:r>
      <w:r>
        <w:rPr>
          <w:rFonts w:hint="eastAsia" w:eastAsia="仿宋_GB2312"/>
          <w:lang w:eastAsia="zh-CN"/>
        </w:rPr>
        <w:t>，</w:t>
      </w:r>
      <w:r>
        <w:rPr>
          <w:rFonts w:hint="eastAsia" w:ascii="仿宋_GB2312" w:eastAsia="仿宋_GB2312"/>
          <w:lang w:val="en-US" w:eastAsia="zh-CN"/>
        </w:rPr>
        <w:t>西宁市城中区</w:t>
      </w:r>
      <w:r>
        <w:rPr>
          <w:rFonts w:hint="eastAsia" w:eastAsia="仿宋_GB2312"/>
          <w:lang w:eastAsia="zh-CN"/>
        </w:rPr>
        <w:t>财政局委托第三方机构对</w:t>
      </w:r>
      <w:r>
        <w:rPr>
          <w:rFonts w:hint="eastAsia" w:ascii="仿宋_GB2312" w:eastAsia="仿宋_GB2312"/>
          <w:lang w:val="en-US" w:eastAsia="zh-CN"/>
        </w:rPr>
        <w:t>西宁市城中区教育局实施的</w:t>
      </w:r>
      <w:r>
        <w:rPr>
          <w:rFonts w:hint="eastAsia" w:ascii="Times New Roman" w:hAnsi="Times New Roman" w:cs="Times New Roman"/>
          <w:lang w:eastAsia="zh-CN"/>
        </w:rPr>
        <w:t>2021年</w:t>
      </w:r>
      <w:r>
        <w:rPr>
          <w:rFonts w:hint="eastAsia" w:eastAsia="仿宋_GB2312"/>
          <w:lang w:eastAsia="zh-CN"/>
        </w:rPr>
        <w:t>校园保安专项资金</w:t>
      </w:r>
      <w:r>
        <w:rPr>
          <w:rFonts w:hint="eastAsia"/>
        </w:rPr>
        <w:t>开展</w:t>
      </w:r>
      <w:r>
        <w:rPr>
          <w:rFonts w:hint="eastAsia" w:eastAsia="仿宋_GB2312"/>
          <w:lang w:eastAsia="zh-CN"/>
        </w:rPr>
        <w:t>绩效评价</w:t>
      </w:r>
      <w:r>
        <w:rPr>
          <w:rFonts w:hint="eastAsia" w:ascii="仿宋_GB2312" w:eastAsia="仿宋_GB2312"/>
          <w:lang w:val="en-US" w:eastAsia="zh-CN"/>
        </w:rPr>
        <w:t>工作</w:t>
      </w:r>
      <w:r>
        <w:rPr>
          <w:rFonts w:hint="eastAsia"/>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rPr>
      </w:pPr>
      <w:r>
        <w:rPr>
          <w:rFonts w:hint="eastAsia" w:ascii="仿宋_GB2312" w:eastAsia="仿宋_GB2312"/>
          <w:lang w:val="en-US" w:eastAsia="zh-CN"/>
        </w:rPr>
        <w:t>本项目绩效评价紧紧围绕申报、资金管理、组织实施、资金使用及目标实现情况等重要内容设计绩效评价指标体系，结合绩效评价方法，从项目决策、过程、产出、效益四个方面对资金使用实施情况进行综合评价。评价组</w:t>
      </w:r>
      <w:r>
        <w:rPr>
          <w:rFonts w:hint="eastAsia"/>
        </w:rPr>
        <w:t>通过核查佐证资料，</w:t>
      </w:r>
      <w:r>
        <w:rPr>
          <w:rFonts w:hint="eastAsia" w:eastAsia="仿宋_GB2312"/>
          <w:lang w:eastAsia="zh-CN"/>
        </w:rPr>
        <w:t>实地调研、访谈，</w:t>
      </w:r>
      <w:r>
        <w:rPr>
          <w:rFonts w:hint="eastAsia"/>
        </w:rPr>
        <w:t>结合问卷调查结果进行量化打分</w:t>
      </w:r>
      <w:r>
        <w:rPr>
          <w:rFonts w:hint="eastAsia" w:ascii="仿宋_GB2312" w:eastAsia="仿宋_GB2312"/>
          <w:lang w:val="en-US" w:eastAsia="zh-CN"/>
        </w:rPr>
        <w:t>，项目综合评价得分为</w:t>
      </w:r>
      <w:r>
        <w:rPr>
          <w:rFonts w:hint="eastAsia" w:ascii="Times New Roman" w:hAnsi="Times New Roman" w:cs="Times New Roman"/>
          <w:lang w:val="en-US" w:eastAsia="zh-CN"/>
        </w:rPr>
        <w:t>86.50分，根据《</w:t>
      </w:r>
      <w:r>
        <w:rPr>
          <w:rFonts w:hint="eastAsia" w:ascii="Times New Roman" w:hAnsi="Times New Roman" w:cs="Times New Roman"/>
        </w:rPr>
        <w:t>财政部关于印发</w:t>
      </w:r>
      <w:r>
        <w:rPr>
          <w:rFonts w:hint="eastAsia" w:ascii="Times New Roman" w:hAnsi="Times New Roman" w:cs="Times New Roman"/>
          <w:lang w:val="en-US" w:eastAsia="zh-CN"/>
        </w:rPr>
        <w:t>&lt;</w:t>
      </w:r>
      <w:r>
        <w:rPr>
          <w:rFonts w:hint="eastAsia" w:ascii="Times New Roman" w:hAnsi="Times New Roman" w:cs="Times New Roman"/>
        </w:rPr>
        <w:t>项目支出绩效评价管理办法</w:t>
      </w:r>
      <w:r>
        <w:rPr>
          <w:rFonts w:hint="eastAsia" w:ascii="Times New Roman" w:hAnsi="Times New Roman" w:cs="Times New Roman"/>
          <w:lang w:val="en-US" w:eastAsia="zh-CN"/>
        </w:rPr>
        <w:t>&gt;</w:t>
      </w:r>
      <w:r>
        <w:rPr>
          <w:rFonts w:hint="eastAsia" w:ascii="Times New Roman" w:hAnsi="Times New Roman" w:cs="Times New Roman"/>
        </w:rPr>
        <w:t>的通知</w:t>
      </w:r>
      <w:r>
        <w:rPr>
          <w:rFonts w:hint="eastAsia" w:ascii="Times New Roman" w:hAnsi="Times New Roman" w:cs="Times New Roman"/>
          <w:lang w:val="en-US" w:eastAsia="zh-CN"/>
        </w:rPr>
        <w:t>》（财预〔2020〕10号）</w:t>
      </w:r>
      <w:r>
        <w:rPr>
          <w:rFonts w:hint="eastAsia" w:ascii="仿宋_GB2312" w:eastAsia="仿宋_GB2312"/>
          <w:lang w:val="en-US" w:eastAsia="zh-CN"/>
        </w:rPr>
        <w:t>规定，绩效评价结果等级为：</w:t>
      </w:r>
      <w:r>
        <w:rPr>
          <w:rFonts w:hint="eastAsia" w:ascii="仿宋_GB2312" w:eastAsia="仿宋_GB2312"/>
          <w:b/>
          <w:bCs/>
          <w:lang w:val="en-US" w:eastAsia="zh-CN"/>
        </w:rPr>
        <w:t>良。</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lang w:val="en-US" w:eastAsia="zh-CN"/>
        </w:rPr>
      </w:pPr>
      <w:r>
        <w:rPr>
          <w:rFonts w:hint="eastAsia" w:ascii="仿宋_GB2312" w:eastAsia="仿宋_GB2312"/>
          <w:b/>
          <w:bCs/>
          <w:lang w:val="en-US" w:eastAsia="zh-CN"/>
        </w:rPr>
        <w:t>总体认为：</w:t>
      </w:r>
      <w:r>
        <w:rPr>
          <w:rFonts w:hint="eastAsia" w:eastAsia="仿宋_GB2312"/>
          <w:lang w:eastAsia="zh-CN"/>
        </w:rPr>
        <w:t>2021年校园保安专项资金</w:t>
      </w:r>
      <w:r>
        <w:rPr>
          <w:rFonts w:hint="eastAsia" w:ascii="仿宋_GB2312" w:eastAsia="仿宋_GB2312"/>
          <w:lang w:val="en-US" w:eastAsia="zh-CN"/>
        </w:rPr>
        <w:t>申请、设立程序合规，项目绩效目标与实际工作内容具有相关性，绩效指标与目标任务相对应，项目实施管理制度健全，项目的实施有效保障了城中区校园安全，减轻了学校资金压力，维持了学校学习秩序、保障了学校正常工作，提升了校园安全水平；但仍存在预算测算依据不充分、部分资金使用不合规、主管单位未制定保安服务实施细则等问题。</w:t>
      </w:r>
    </w:p>
    <w:p>
      <w:pPr>
        <w:pageBreakBefore w:val="0"/>
        <w:overflowPunct/>
        <w:topLinePunct w:val="0"/>
        <w:bidi w:val="0"/>
        <w:spacing w:line="576" w:lineRule="exact"/>
        <w:ind w:left="0" w:leftChars="0"/>
        <w:rPr>
          <w:rFonts w:hint="eastAsia" w:hAnsi="仿宋" w:cs="仿宋"/>
          <w:color w:val="auto"/>
          <w:szCs w:val="32"/>
          <w:highlight w:val="none"/>
          <w:u w:val="none"/>
          <w:lang w:val="en-US" w:eastAsia="zh-CN"/>
        </w:rPr>
      </w:pPr>
      <w:r>
        <w:rPr>
          <w:rFonts w:hint="eastAsia" w:hAnsi="仿宋" w:cs="仿宋"/>
          <w:color w:val="auto"/>
          <w:szCs w:val="32"/>
          <w:highlight w:val="none"/>
          <w:u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center"/>
        <w:textAlignment w:val="auto"/>
        <w:rPr>
          <w:rFonts w:hint="eastAsia" w:asciiTheme="minorEastAsia" w:hAnsiTheme="minorEastAsia" w:eastAsiaTheme="minorEastAsia" w:cstheme="minorEastAsia"/>
          <w:b/>
          <w:bCs/>
          <w:sz w:val="36"/>
          <w:szCs w:val="36"/>
          <w:lang w:val="en-US" w:eastAsia="zh-CN"/>
        </w:rPr>
      </w:pPr>
      <w:r>
        <w:rPr>
          <w:rFonts w:hint="eastAsia" w:asciiTheme="minorEastAsia" w:hAnsiTheme="minorEastAsia" w:eastAsiaTheme="minorEastAsia" w:cstheme="minorEastAsia"/>
          <w:b/>
          <w:bCs/>
          <w:sz w:val="36"/>
          <w:szCs w:val="36"/>
          <w:lang w:val="en-US" w:eastAsia="zh-CN"/>
        </w:rPr>
        <w:t>项目绩效评价结论表</w:t>
      </w:r>
    </w:p>
    <w:tbl>
      <w:tblPr>
        <w:tblStyle w:val="14"/>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1909"/>
        <w:gridCol w:w="1885"/>
        <w:gridCol w:w="2150"/>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exact"/>
          <w:jc w:val="center"/>
        </w:trPr>
        <w:tc>
          <w:tcPr>
            <w:tcW w:w="1089" w:type="dxa"/>
            <w:vMerge w:val="restart"/>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项目</w:t>
            </w:r>
          </w:p>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基本</w:t>
            </w:r>
          </w:p>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情况</w:t>
            </w:r>
          </w:p>
        </w:tc>
        <w:tc>
          <w:tcPr>
            <w:tcW w:w="1909" w:type="dxa"/>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项目名称</w:t>
            </w:r>
          </w:p>
        </w:tc>
        <w:tc>
          <w:tcPr>
            <w:tcW w:w="5733" w:type="dxa"/>
            <w:gridSpan w:val="3"/>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西宁市城中区2021年校园保安专项资金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主管单位</w:t>
            </w:r>
          </w:p>
        </w:tc>
        <w:tc>
          <w:tcPr>
            <w:tcW w:w="5733" w:type="dxa"/>
            <w:gridSpan w:val="3"/>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西宁市城中区教育局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实施单位</w:t>
            </w:r>
          </w:p>
        </w:tc>
        <w:tc>
          <w:tcPr>
            <w:tcW w:w="5733" w:type="dxa"/>
            <w:gridSpan w:val="3"/>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西宁市城中区教育局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项目起止时间</w:t>
            </w:r>
          </w:p>
        </w:tc>
        <w:tc>
          <w:tcPr>
            <w:tcW w:w="5733" w:type="dxa"/>
            <w:gridSpan w:val="3"/>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2021年1月1日至2021年12月31日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委托评价单位</w:t>
            </w:r>
          </w:p>
        </w:tc>
        <w:tc>
          <w:tcPr>
            <w:tcW w:w="5733" w:type="dxa"/>
            <w:gridSpan w:val="3"/>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西宁市城中区财政局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highlight w:val="none"/>
                <w:vertAlign w:val="baseline"/>
                <w:lang w:val="en-US" w:eastAsia="zh-CN"/>
              </w:rPr>
            </w:pPr>
            <w:r>
              <w:rPr>
                <w:rFonts w:hint="eastAsia" w:asciiTheme="minorEastAsia" w:hAnsiTheme="minorEastAsia" w:eastAsiaTheme="minorEastAsia" w:cstheme="minorEastAsia"/>
                <w:b/>
                <w:bCs/>
                <w:color w:val="auto"/>
                <w:sz w:val="24"/>
                <w:szCs w:val="24"/>
                <w:highlight w:val="none"/>
                <w:vertAlign w:val="baseline"/>
                <w:lang w:val="en-US" w:eastAsia="zh-CN"/>
              </w:rPr>
              <w:t>项目属性</w:t>
            </w:r>
          </w:p>
        </w:tc>
        <w:tc>
          <w:tcPr>
            <w:tcW w:w="5733" w:type="dxa"/>
            <w:gridSpan w:val="3"/>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□新增项目         ☑延续项目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highlight w:val="none"/>
                <w:vertAlign w:val="baseline"/>
                <w:lang w:val="en-US" w:eastAsia="zh-CN"/>
              </w:rPr>
            </w:pPr>
            <w:r>
              <w:rPr>
                <w:rFonts w:hint="eastAsia" w:asciiTheme="minorEastAsia" w:hAnsiTheme="minorEastAsia" w:eastAsiaTheme="minorEastAsia" w:cstheme="minorEastAsia"/>
                <w:b/>
                <w:bCs/>
                <w:color w:val="auto"/>
                <w:sz w:val="24"/>
                <w:szCs w:val="24"/>
                <w:highlight w:val="none"/>
                <w:vertAlign w:val="baseline"/>
                <w:lang w:val="en-US" w:eastAsia="zh-CN"/>
              </w:rPr>
              <w:t>项目类型</w:t>
            </w:r>
          </w:p>
        </w:tc>
        <w:tc>
          <w:tcPr>
            <w:tcW w:w="5733" w:type="dxa"/>
            <w:gridSpan w:val="3"/>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□经济建设类       ☑社会文教类</w:t>
            </w:r>
          </w:p>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□国防建设类       □行政管理类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exact"/>
          <w:jc w:val="center"/>
        </w:trPr>
        <w:tc>
          <w:tcPr>
            <w:tcW w:w="1089" w:type="dxa"/>
            <w:vMerge w:val="restart"/>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项目</w:t>
            </w:r>
          </w:p>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资金</w:t>
            </w:r>
          </w:p>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情况</w:t>
            </w:r>
          </w:p>
        </w:tc>
        <w:tc>
          <w:tcPr>
            <w:tcW w:w="19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预算安排资金</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（万元）</w:t>
            </w:r>
          </w:p>
        </w:tc>
        <w:tc>
          <w:tcPr>
            <w:tcW w:w="18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231.84</w:t>
            </w:r>
          </w:p>
        </w:tc>
        <w:tc>
          <w:tcPr>
            <w:tcW w:w="21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实际到位资金</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（万元）</w:t>
            </w:r>
          </w:p>
        </w:tc>
        <w:tc>
          <w:tcPr>
            <w:tcW w:w="1698" w:type="dxa"/>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231.84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其中：中央财政</w:t>
            </w:r>
          </w:p>
        </w:tc>
        <w:tc>
          <w:tcPr>
            <w:tcW w:w="18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0</w:t>
            </w:r>
          </w:p>
        </w:tc>
        <w:tc>
          <w:tcPr>
            <w:tcW w:w="21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其中：中央财政</w:t>
            </w:r>
          </w:p>
        </w:tc>
        <w:tc>
          <w:tcPr>
            <w:tcW w:w="1698" w:type="dxa"/>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 xml:space="preserve">      省级财政</w:t>
            </w:r>
          </w:p>
        </w:tc>
        <w:tc>
          <w:tcPr>
            <w:tcW w:w="18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0</w:t>
            </w:r>
          </w:p>
        </w:tc>
        <w:tc>
          <w:tcPr>
            <w:tcW w:w="21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 xml:space="preserve">       省级财政</w:t>
            </w:r>
          </w:p>
        </w:tc>
        <w:tc>
          <w:tcPr>
            <w:tcW w:w="1698" w:type="dxa"/>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 xml:space="preserve">    市区县财政</w:t>
            </w:r>
          </w:p>
        </w:tc>
        <w:tc>
          <w:tcPr>
            <w:tcW w:w="18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231.84</w:t>
            </w:r>
          </w:p>
        </w:tc>
        <w:tc>
          <w:tcPr>
            <w:tcW w:w="21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 xml:space="preserve">      市区县财政</w:t>
            </w:r>
          </w:p>
        </w:tc>
        <w:tc>
          <w:tcPr>
            <w:tcW w:w="1698" w:type="dxa"/>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231.84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实际支出资金</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（万元）</w:t>
            </w:r>
          </w:p>
        </w:tc>
        <w:tc>
          <w:tcPr>
            <w:tcW w:w="18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175.49</w:t>
            </w:r>
          </w:p>
        </w:tc>
        <w:tc>
          <w:tcPr>
            <w:tcW w:w="21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剩余资金</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（万元）</w:t>
            </w:r>
          </w:p>
        </w:tc>
        <w:tc>
          <w:tcPr>
            <w:tcW w:w="1698" w:type="dxa"/>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val="0"/>
                <w:bCs w:val="0"/>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vertAlign w:val="baseline"/>
                <w:lang w:val="en-US" w:eastAsia="zh-CN"/>
              </w:rPr>
              <w:t>56.35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预算执行率</w:t>
            </w:r>
          </w:p>
        </w:tc>
        <w:tc>
          <w:tcPr>
            <w:tcW w:w="5733" w:type="dxa"/>
            <w:gridSpan w:val="3"/>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val="0"/>
                <w:bCs w:val="0"/>
                <w:color w:val="auto"/>
                <w:sz w:val="24"/>
                <w:szCs w:val="24"/>
                <w:highlight w:val="none"/>
                <w:vertAlign w:val="baseline"/>
                <w:lang w:val="en-US" w:eastAsia="zh-CN"/>
              </w:rPr>
              <w:t>75.69%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exact"/>
          <w:jc w:val="center"/>
        </w:trPr>
        <w:tc>
          <w:tcPr>
            <w:tcW w:w="1089" w:type="dxa"/>
            <w:vMerge w:val="restart"/>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项目</w:t>
            </w:r>
          </w:p>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绩效</w:t>
            </w:r>
          </w:p>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目标</w:t>
            </w:r>
          </w:p>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完成</w:t>
            </w:r>
          </w:p>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情况</w:t>
            </w:r>
          </w:p>
        </w:tc>
        <w:tc>
          <w:tcPr>
            <w:tcW w:w="3794" w:type="dxa"/>
            <w:gridSpan w:val="2"/>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预期绩效目标</w:t>
            </w:r>
          </w:p>
        </w:tc>
        <w:tc>
          <w:tcPr>
            <w:tcW w:w="3848" w:type="dxa"/>
            <w:gridSpan w:val="2"/>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实际完成目标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4"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3794"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Theme="minorEastAsia" w:hAnsiTheme="minorEastAsia" w:eastAsiaTheme="minorEastAsia" w:cstheme="minorEastAsia"/>
                <w:b w:val="0"/>
                <w:bCs w:val="0"/>
                <w:color w:val="auto"/>
                <w:sz w:val="24"/>
                <w:szCs w:val="24"/>
                <w:highlight w:val="yellow"/>
                <w:vertAlign w:val="baseline"/>
                <w:lang w:val="en-US" w:eastAsia="zh-CN"/>
              </w:rPr>
            </w:pPr>
            <w:r>
              <w:rPr>
                <w:rFonts w:hint="eastAsia" w:asciiTheme="minorEastAsia" w:hAnsiTheme="minorEastAsia" w:eastAsiaTheme="minorEastAsia" w:cstheme="minorEastAsia"/>
                <w:b w:val="0"/>
                <w:bCs w:val="0"/>
                <w:color w:val="auto"/>
                <w:sz w:val="24"/>
                <w:szCs w:val="24"/>
                <w:highlight w:val="none"/>
                <w:vertAlign w:val="baseline"/>
                <w:lang w:val="en-US" w:eastAsia="zh-CN"/>
              </w:rPr>
              <w:t>落实西宁市城中区教育系统2021年保安工资231.84万元，为各学校配备保安84名，各保安负责城中区学校教学楼、食堂、院内设施、设备、车辆、消防等的日常秩序维护，并防范突发事件的发生，确保校园安全工作运转正常。</w:t>
            </w:r>
          </w:p>
        </w:tc>
        <w:tc>
          <w:tcPr>
            <w:tcW w:w="3848"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Theme="minorEastAsia" w:hAnsiTheme="minorEastAsia" w:eastAsiaTheme="minorEastAsia" w:cstheme="minorEastAsia"/>
                <w:b w:val="0"/>
                <w:bCs w:val="0"/>
                <w:color w:val="auto"/>
                <w:sz w:val="24"/>
                <w:szCs w:val="24"/>
                <w:highlight w:val="yellow"/>
                <w:vertAlign w:val="baseline"/>
                <w:lang w:val="en-US" w:eastAsia="zh-CN"/>
              </w:rPr>
            </w:pPr>
            <w:r>
              <w:rPr>
                <w:rFonts w:hint="eastAsia" w:asciiTheme="minorEastAsia" w:hAnsiTheme="minorEastAsia" w:eastAsiaTheme="minorEastAsia" w:cstheme="minorEastAsia"/>
                <w:b w:val="0"/>
                <w:bCs w:val="0"/>
                <w:color w:val="auto"/>
                <w:sz w:val="24"/>
                <w:szCs w:val="24"/>
                <w:highlight w:val="none"/>
                <w:vertAlign w:val="baseline"/>
                <w:lang w:val="en-US" w:eastAsia="zh-CN"/>
              </w:rPr>
              <w:t>截至2021年11月，第一季度至第三季度实际发放校园保安工资175.49万元，剩余资金56.35万元将在第四季度发放。通过校园保安项目的实施，有效保障城中区校园安全，减轻学校资金压力，维持学校学习秩序、保障学校正常工作，提升校园安全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exact"/>
          <w:jc w:val="center"/>
        </w:trPr>
        <w:tc>
          <w:tcPr>
            <w:tcW w:w="1089" w:type="dxa"/>
            <w:vMerge w:val="restart"/>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项目</w:t>
            </w:r>
          </w:p>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评价</w:t>
            </w:r>
          </w:p>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r>
              <w:rPr>
                <w:rFonts w:hint="eastAsia" w:asciiTheme="minorEastAsia" w:hAnsiTheme="minorEastAsia" w:eastAsiaTheme="minorEastAsia" w:cstheme="minorEastAsia"/>
                <w:b/>
                <w:bCs/>
                <w:color w:val="auto"/>
                <w:sz w:val="24"/>
                <w:szCs w:val="24"/>
                <w:vertAlign w:val="baseline"/>
                <w:lang w:val="en-US" w:eastAsia="zh-CN"/>
              </w:rPr>
              <w:t>情况</w:t>
            </w:r>
          </w:p>
        </w:tc>
        <w:tc>
          <w:tcPr>
            <w:tcW w:w="19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highlight w:val="none"/>
                <w:vertAlign w:val="baseline"/>
                <w:lang w:val="en-US" w:eastAsia="zh-CN"/>
              </w:rPr>
            </w:pPr>
            <w:r>
              <w:rPr>
                <w:rFonts w:hint="eastAsia" w:asciiTheme="minorEastAsia" w:hAnsiTheme="minorEastAsia" w:eastAsiaTheme="minorEastAsia" w:cstheme="minorEastAsia"/>
                <w:b/>
                <w:bCs/>
                <w:color w:val="auto"/>
                <w:sz w:val="24"/>
                <w:szCs w:val="24"/>
                <w:highlight w:val="none"/>
                <w:vertAlign w:val="baseline"/>
                <w:lang w:val="en-US" w:eastAsia="zh-CN"/>
              </w:rPr>
              <w:t>评价得分</w:t>
            </w:r>
          </w:p>
        </w:tc>
        <w:tc>
          <w:tcPr>
            <w:tcW w:w="1885"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highlight w:val="none"/>
                <w:vertAlign w:val="baseline"/>
                <w:lang w:val="en-US" w:eastAsia="zh-CN"/>
              </w:rPr>
            </w:pPr>
            <w:r>
              <w:rPr>
                <w:rFonts w:hint="eastAsia" w:asciiTheme="minorEastAsia" w:hAnsiTheme="minorEastAsia" w:eastAsiaTheme="minorEastAsia" w:cstheme="minorEastAsia"/>
                <w:b/>
                <w:bCs/>
                <w:color w:val="auto"/>
                <w:sz w:val="24"/>
                <w:szCs w:val="24"/>
                <w:highlight w:val="none"/>
                <w:vertAlign w:val="baseline"/>
                <w:lang w:val="en-US" w:eastAsia="zh-CN"/>
              </w:rPr>
              <w:t>86.50</w:t>
            </w:r>
          </w:p>
        </w:tc>
        <w:tc>
          <w:tcPr>
            <w:tcW w:w="215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highlight w:val="none"/>
                <w:vertAlign w:val="baseline"/>
                <w:lang w:val="en-US" w:eastAsia="zh-CN"/>
              </w:rPr>
            </w:pPr>
            <w:r>
              <w:rPr>
                <w:rFonts w:hint="eastAsia" w:asciiTheme="minorEastAsia" w:hAnsiTheme="minorEastAsia" w:eastAsiaTheme="minorEastAsia" w:cstheme="minorEastAsia"/>
                <w:b/>
                <w:bCs/>
                <w:color w:val="auto"/>
                <w:sz w:val="24"/>
                <w:szCs w:val="24"/>
                <w:highlight w:val="none"/>
                <w:vertAlign w:val="baseline"/>
                <w:lang w:val="en-US" w:eastAsia="zh-CN"/>
              </w:rPr>
              <w:t>评价等级</w:t>
            </w:r>
          </w:p>
        </w:tc>
        <w:tc>
          <w:tcPr>
            <w:tcW w:w="169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highlight w:val="none"/>
                <w:vertAlign w:val="baseline"/>
                <w:lang w:val="en-US" w:eastAsia="zh-CN"/>
              </w:rPr>
            </w:pPr>
            <w:r>
              <w:rPr>
                <w:rFonts w:hint="eastAsia" w:asciiTheme="minorEastAsia" w:hAnsiTheme="minorEastAsia" w:eastAsiaTheme="minorEastAsia" w:cstheme="minorEastAsia"/>
                <w:b/>
                <w:bCs/>
                <w:color w:val="auto"/>
                <w:sz w:val="24"/>
                <w:szCs w:val="24"/>
                <w:highlight w:val="none"/>
                <w:vertAlign w:val="baseline"/>
                <w:lang w:val="en-US" w:eastAsia="zh-CN"/>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4"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highlight w:val="none"/>
                <w:vertAlign w:val="baseline"/>
                <w:lang w:val="en-US" w:eastAsia="zh-CN"/>
              </w:rPr>
            </w:pPr>
            <w:r>
              <w:rPr>
                <w:rFonts w:hint="eastAsia" w:asciiTheme="minorEastAsia" w:hAnsiTheme="minorEastAsia" w:eastAsiaTheme="minorEastAsia" w:cstheme="minorEastAsia"/>
                <w:b/>
                <w:bCs/>
                <w:color w:val="auto"/>
                <w:sz w:val="24"/>
                <w:szCs w:val="24"/>
                <w:highlight w:val="none"/>
                <w:vertAlign w:val="baseline"/>
                <w:lang w:val="en-US" w:eastAsia="zh-CN"/>
              </w:rPr>
              <w:t>评价结论</w:t>
            </w:r>
          </w:p>
        </w:tc>
        <w:tc>
          <w:tcPr>
            <w:tcW w:w="5733"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pPr>
            <w:r>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t>2021年校园保安专项资金申请、设立程序合规，项目绩效目标与实际工作内容具有相关性，绩效指标与目标任务相对应，项目实施管理制度健全，项目的实施有效保障了城中区校园安全，减轻了学校资金压力，维持了学校学习秩序、保障了学校正常工作，提升了校园安全水平；但仍存在预算测算依据不充分、部分资金使用不合规、主管单位未制定保安服务实施细则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highlight w:val="yellow"/>
                <w:vertAlign w:val="baseline"/>
                <w:lang w:val="en-US" w:eastAsia="zh-CN"/>
              </w:rPr>
            </w:pPr>
            <w:r>
              <w:rPr>
                <w:rFonts w:hint="eastAsia" w:asciiTheme="minorEastAsia" w:hAnsiTheme="minorEastAsia" w:eastAsiaTheme="minorEastAsia" w:cstheme="minorEastAsia"/>
                <w:b/>
                <w:bCs/>
                <w:color w:val="auto"/>
                <w:sz w:val="24"/>
                <w:szCs w:val="24"/>
                <w:highlight w:val="none"/>
                <w:vertAlign w:val="baseline"/>
                <w:lang w:val="en-US" w:eastAsia="zh-CN"/>
              </w:rPr>
              <w:t>经验及做法</w:t>
            </w:r>
          </w:p>
        </w:tc>
        <w:tc>
          <w:tcPr>
            <w:tcW w:w="5733" w:type="dxa"/>
            <w:gridSpan w:val="3"/>
            <w:noWrap w:val="0"/>
            <w:vAlign w:val="center"/>
          </w:tcPr>
          <w:p>
            <w:pPr>
              <w:pStyle w:val="4"/>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pPr>
            <w:bookmarkStart w:id="153" w:name="_Toc8050"/>
            <w:bookmarkStart w:id="154" w:name="_Toc17800"/>
            <w:bookmarkStart w:id="155" w:name="_Toc8047"/>
            <w:bookmarkStart w:id="156" w:name="_Toc5345"/>
            <w:r>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t>1.监管有力，政府购买服务效益显著（详见29页）；</w:t>
            </w:r>
            <w:bookmarkEnd w:id="153"/>
            <w:bookmarkEnd w:id="154"/>
            <w:bookmarkEnd w:id="155"/>
            <w:bookmarkEnd w:id="156"/>
          </w:p>
          <w:p>
            <w:pPr>
              <w:pStyle w:val="4"/>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pPr>
            <w:bookmarkStart w:id="157" w:name="_Toc2642"/>
            <w:bookmarkStart w:id="158" w:name="_Toc30455"/>
            <w:bookmarkStart w:id="159" w:name="_Toc20705"/>
            <w:bookmarkStart w:id="160" w:name="_Toc4301"/>
            <w:r>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t>2.思想教育有效落实，保安人员工作态度端正（详见29-30页）。</w:t>
            </w:r>
            <w:bookmarkEnd w:id="157"/>
            <w:bookmarkEnd w:id="158"/>
            <w:bookmarkEnd w:id="159"/>
            <w:bookmarkEnd w:id="16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6"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highlight w:val="none"/>
                <w:vertAlign w:val="baseline"/>
                <w:lang w:val="en-US" w:eastAsia="zh-CN"/>
              </w:rPr>
            </w:pPr>
            <w:r>
              <w:rPr>
                <w:rFonts w:hint="eastAsia" w:asciiTheme="minorEastAsia" w:hAnsiTheme="minorEastAsia" w:eastAsiaTheme="minorEastAsia" w:cstheme="minorEastAsia"/>
                <w:b/>
                <w:bCs/>
                <w:color w:val="auto"/>
                <w:sz w:val="24"/>
                <w:szCs w:val="24"/>
                <w:highlight w:val="none"/>
                <w:vertAlign w:val="baseline"/>
                <w:lang w:val="en-US" w:eastAsia="zh-CN"/>
              </w:rPr>
              <w:t>存在问题</w:t>
            </w:r>
          </w:p>
        </w:tc>
        <w:tc>
          <w:tcPr>
            <w:tcW w:w="5733" w:type="dxa"/>
            <w:gridSpan w:val="3"/>
            <w:noWrap w:val="0"/>
            <w:vAlign w:val="center"/>
          </w:tcPr>
          <w:p>
            <w:pPr>
              <w:pStyle w:val="4"/>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pPr>
            <w:bookmarkStart w:id="161" w:name="_Toc9246"/>
            <w:bookmarkStart w:id="162" w:name="_Toc8368"/>
            <w:bookmarkStart w:id="163" w:name="_Toc18807"/>
            <w:bookmarkStart w:id="164" w:name="_Toc9855"/>
            <w:r>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t>1.财政预算测算依据不充分（详见30页）；</w:t>
            </w:r>
            <w:bookmarkEnd w:id="161"/>
            <w:bookmarkEnd w:id="162"/>
            <w:bookmarkEnd w:id="163"/>
            <w:bookmarkEnd w:id="164"/>
          </w:p>
          <w:p>
            <w:pPr>
              <w:pStyle w:val="4"/>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pPr>
            <w:bookmarkStart w:id="165" w:name="_Toc29999"/>
            <w:bookmarkStart w:id="166" w:name="_Toc8985"/>
            <w:bookmarkStart w:id="167" w:name="_Toc30881"/>
            <w:bookmarkStart w:id="168" w:name="_Toc21118"/>
            <w:r>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t>2.资金支出不合规（详见30页）；</w:t>
            </w:r>
            <w:bookmarkEnd w:id="165"/>
            <w:bookmarkEnd w:id="166"/>
            <w:bookmarkEnd w:id="167"/>
            <w:bookmarkEnd w:id="168"/>
          </w:p>
          <w:p>
            <w:pPr>
              <w:pStyle w:val="4"/>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pPr>
            <w:bookmarkStart w:id="169" w:name="_Toc11219"/>
            <w:bookmarkStart w:id="170" w:name="_Toc25038"/>
            <w:bookmarkStart w:id="171" w:name="_Toc8529"/>
            <w:bookmarkStart w:id="172" w:name="_Toc10993"/>
            <w:r>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t>3.未制定实施细则、专项资金管理办法（详见30-31页）；</w:t>
            </w:r>
            <w:bookmarkEnd w:id="169"/>
            <w:bookmarkEnd w:id="170"/>
            <w:bookmarkEnd w:id="171"/>
            <w:bookmarkEnd w:id="172"/>
          </w:p>
          <w:p>
            <w:pPr>
              <w:pStyle w:val="4"/>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pPr>
            <w:bookmarkStart w:id="173" w:name="_Toc2798"/>
            <w:bookmarkStart w:id="174" w:name="_Toc30135"/>
            <w:bookmarkStart w:id="175" w:name="_Toc16871"/>
            <w:bookmarkStart w:id="176" w:name="_Toc24886"/>
            <w:r>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t>4.保安工资未按预算批复标准足额发放（详见31页）</w:t>
            </w:r>
            <w:bookmarkEnd w:id="173"/>
            <w:bookmarkEnd w:id="174"/>
            <w:bookmarkEnd w:id="175"/>
            <w:bookmarkEnd w:id="176"/>
          </w:p>
          <w:p>
            <w:pPr>
              <w:pStyle w:val="4"/>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pPr>
            <w:bookmarkStart w:id="177" w:name="_Toc28673"/>
            <w:bookmarkStart w:id="178" w:name="_Toc22340"/>
            <w:bookmarkStart w:id="179" w:name="_Toc6303"/>
            <w:bookmarkStart w:id="180" w:name="_Toc16573"/>
            <w:r>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t>。</w:t>
            </w:r>
            <w:bookmarkEnd w:id="177"/>
            <w:bookmarkEnd w:id="178"/>
            <w:bookmarkEnd w:id="179"/>
            <w:bookmarkEnd w:id="18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7" w:hRule="exact"/>
          <w:jc w:val="center"/>
        </w:trPr>
        <w:tc>
          <w:tcPr>
            <w:tcW w:w="1089" w:type="dxa"/>
            <w:vMerge w:val="continue"/>
            <w:noWrap w:val="0"/>
            <w:vAlign w:val="center"/>
          </w:tcPr>
          <w:p>
            <w:pPr>
              <w:pageBreakBefore w:val="0"/>
              <w:numPr>
                <w:ilvl w:val="0"/>
                <w:numId w:val="0"/>
              </w:numPr>
              <w:overflowPunct/>
              <w:topLinePunct w:val="0"/>
              <w:bidi w:val="0"/>
              <w:spacing w:line="576" w:lineRule="exact"/>
              <w:ind w:left="0" w:leftChars="0" w:firstLine="0" w:firstLineChars="0"/>
              <w:jc w:val="center"/>
              <w:rPr>
                <w:rFonts w:hint="eastAsia" w:asciiTheme="minorEastAsia" w:hAnsiTheme="minorEastAsia" w:eastAsiaTheme="minorEastAsia" w:cstheme="minorEastAsia"/>
                <w:b/>
                <w:bCs/>
                <w:color w:val="auto"/>
                <w:sz w:val="24"/>
                <w:szCs w:val="24"/>
                <w:vertAlign w:val="baseline"/>
                <w:lang w:val="en-US" w:eastAsia="zh-CN"/>
              </w:rPr>
            </w:pPr>
          </w:p>
        </w:tc>
        <w:tc>
          <w:tcPr>
            <w:tcW w:w="19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inorEastAsia" w:hAnsiTheme="minorEastAsia" w:eastAsiaTheme="minorEastAsia" w:cstheme="minorEastAsia"/>
                <w:b/>
                <w:bCs/>
                <w:color w:val="auto"/>
                <w:sz w:val="24"/>
                <w:szCs w:val="24"/>
                <w:highlight w:val="none"/>
                <w:vertAlign w:val="baseline"/>
                <w:lang w:val="en-US" w:eastAsia="zh-CN"/>
              </w:rPr>
            </w:pPr>
            <w:r>
              <w:rPr>
                <w:rFonts w:hint="eastAsia" w:asciiTheme="minorEastAsia" w:hAnsiTheme="minorEastAsia" w:eastAsiaTheme="minorEastAsia" w:cstheme="minorEastAsia"/>
                <w:b/>
                <w:bCs/>
                <w:color w:val="auto"/>
                <w:sz w:val="24"/>
                <w:szCs w:val="24"/>
                <w:highlight w:val="none"/>
                <w:vertAlign w:val="baseline"/>
                <w:lang w:val="en-US" w:eastAsia="zh-CN"/>
              </w:rPr>
              <w:t>相关建议</w:t>
            </w:r>
          </w:p>
        </w:tc>
        <w:tc>
          <w:tcPr>
            <w:tcW w:w="5733" w:type="dxa"/>
            <w:gridSpan w:val="3"/>
            <w:noWrap w:val="0"/>
            <w:vAlign w:val="center"/>
          </w:tcPr>
          <w:p>
            <w:pPr>
              <w:pStyle w:val="4"/>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pPr>
            <w:bookmarkStart w:id="181" w:name="_Toc11440"/>
            <w:bookmarkStart w:id="182" w:name="_Toc7436"/>
            <w:bookmarkStart w:id="183" w:name="_Toc4539"/>
            <w:bookmarkStart w:id="184" w:name="_Toc6042"/>
            <w:r>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t>1.明确预算申请测算依据，提高资金使用效率（详见31页）；</w:t>
            </w:r>
            <w:bookmarkEnd w:id="181"/>
            <w:bookmarkEnd w:id="182"/>
            <w:bookmarkEnd w:id="183"/>
            <w:bookmarkEnd w:id="184"/>
          </w:p>
          <w:p>
            <w:pPr>
              <w:pStyle w:val="4"/>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pPr>
            <w:bookmarkStart w:id="185" w:name="_Toc1418"/>
            <w:bookmarkStart w:id="186" w:name="_Toc6571"/>
            <w:bookmarkStart w:id="187" w:name="_Toc31377"/>
            <w:bookmarkStart w:id="188" w:name="_Toc32088"/>
            <w:r>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t>2.合理使用资金，确保资金支出规范（详见31-32页）；</w:t>
            </w:r>
            <w:bookmarkEnd w:id="185"/>
            <w:bookmarkEnd w:id="186"/>
            <w:bookmarkEnd w:id="187"/>
            <w:bookmarkEnd w:id="188"/>
          </w:p>
          <w:p>
            <w:pPr>
              <w:pStyle w:val="4"/>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pPr>
            <w:bookmarkStart w:id="189" w:name="_Toc12287"/>
            <w:bookmarkStart w:id="190" w:name="_Toc14486"/>
            <w:bookmarkStart w:id="191" w:name="_Toc8129"/>
            <w:bookmarkStart w:id="192" w:name="_Toc27913"/>
            <w:r>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t>3.制定专项资金使用办法及实施细则，提高财政资金使用效益（详见32页）；</w:t>
            </w:r>
            <w:bookmarkEnd w:id="189"/>
            <w:bookmarkEnd w:id="190"/>
            <w:bookmarkEnd w:id="191"/>
            <w:bookmarkEnd w:id="192"/>
          </w:p>
          <w:p>
            <w:pPr>
              <w:pStyle w:val="4"/>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pPr>
            <w:bookmarkStart w:id="193" w:name="_Toc32116"/>
            <w:bookmarkStart w:id="194" w:name="_Toc4226"/>
            <w:bookmarkStart w:id="195" w:name="_Toc15493"/>
            <w:bookmarkStart w:id="196" w:name="_Toc23399"/>
            <w:r>
              <w:rPr>
                <w:rFonts w:hint="eastAsia" w:asciiTheme="minorEastAsia" w:hAnsiTheme="minorEastAsia" w:eastAsiaTheme="minorEastAsia" w:cstheme="minorEastAsia"/>
                <w:b w:val="0"/>
                <w:bCs w:val="0"/>
                <w:color w:val="auto"/>
                <w:kern w:val="2"/>
                <w:sz w:val="24"/>
                <w:szCs w:val="24"/>
                <w:highlight w:val="none"/>
                <w:vertAlign w:val="baseline"/>
                <w:lang w:val="en-US" w:eastAsia="zh-CN" w:bidi="ar-SA"/>
              </w:rPr>
              <w:t>4.按照预算标准发放工资，资金支出符合既定用途（详见32页）。</w:t>
            </w:r>
            <w:bookmarkEnd w:id="193"/>
            <w:bookmarkEnd w:id="194"/>
            <w:bookmarkEnd w:id="195"/>
            <w:bookmarkEnd w:id="1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7" w:hRule="exact"/>
          <w:jc w:val="center"/>
        </w:trPr>
        <w:tc>
          <w:tcPr>
            <w:tcW w:w="8731" w:type="dxa"/>
            <w:gridSpan w:val="5"/>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评价机构（盖章）：</w:t>
            </w:r>
            <w:r>
              <w:rPr>
                <w:rFonts w:hint="eastAsia" w:ascii="宋体" w:hAnsi="宋体" w:eastAsia="宋体" w:cs="宋体"/>
                <w:b w:val="0"/>
                <w:bCs w:val="0"/>
                <w:sz w:val="24"/>
                <w:szCs w:val="24"/>
                <w:vertAlign w:val="baseline"/>
                <w:lang w:val="en-US" w:eastAsia="zh-CN"/>
              </w:rPr>
              <w:t>甘肃政泽绩效管理咨询服务有限公司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bCs/>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jc w:val="both"/>
              <w:textAlignment w:val="auto"/>
              <w:rPr>
                <w:rFonts w:hint="eastAsia" w:asciiTheme="minorEastAsia" w:hAnsiTheme="minorEastAsia" w:eastAsiaTheme="minorEastAsia" w:cstheme="minorEastAsia"/>
                <w:b/>
                <w:bCs/>
                <w:sz w:val="24"/>
                <w:szCs w:val="24"/>
                <w:vertAlign w:val="baseline"/>
                <w:lang w:val="en-US" w:eastAsia="zh-CN"/>
              </w:rPr>
            </w:pPr>
            <w:r>
              <w:rPr>
                <w:rFonts w:hint="eastAsia" w:ascii="宋体" w:hAnsi="宋体" w:eastAsia="宋体" w:cs="宋体"/>
                <w:b/>
                <w:bCs/>
                <w:sz w:val="24"/>
                <w:szCs w:val="24"/>
                <w:vertAlign w:val="baseline"/>
                <w:lang w:val="en-US" w:eastAsia="zh-CN"/>
              </w:rPr>
              <w:t>主评人（签字）：</w:t>
            </w:r>
            <w:r>
              <w:rPr>
                <w:rFonts w:hint="eastAsia" w:ascii="宋体" w:hAnsi="宋体" w:eastAsia="宋体" w:cs="宋体"/>
                <w:b w:val="0"/>
                <w:bCs w:val="0"/>
                <w:sz w:val="24"/>
                <w:szCs w:val="24"/>
                <w:vertAlign w:val="baseline"/>
                <w:lang w:val="en-US" w:eastAsia="zh-CN"/>
              </w:rPr>
              <w:t>王守成</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2409" w:firstLineChars="1000"/>
              <w:jc w:val="center"/>
              <w:textAlignment w:val="auto"/>
              <w:rPr>
                <w:rFonts w:hint="eastAsia" w:asciiTheme="minorEastAsia" w:hAnsiTheme="minorEastAsia" w:eastAsiaTheme="minorEastAsia" w:cstheme="minorEastAsia"/>
                <w:b/>
                <w:bCs/>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2400" w:firstLineChars="1000"/>
              <w:jc w:val="center"/>
              <w:textAlignment w:val="auto"/>
              <w:rPr>
                <w:rFonts w:hint="eastAsia" w:asciiTheme="minorEastAsia" w:hAnsiTheme="minorEastAsia" w:eastAsiaTheme="minorEastAsia" w:cstheme="minorEastAsia"/>
                <w:b w:val="0"/>
                <w:bCs w:val="0"/>
                <w:sz w:val="24"/>
                <w:szCs w:val="24"/>
                <w:vertAlign w:val="baseline"/>
                <w:lang w:val="en-US" w:eastAsia="zh-CN"/>
              </w:rPr>
            </w:pPr>
          </w:p>
        </w:tc>
      </w:tr>
    </w:tbl>
    <w:p>
      <w:pPr>
        <w:pageBreakBefore w:val="0"/>
        <w:overflowPunct/>
        <w:topLinePunct w:val="0"/>
        <w:bidi w:val="0"/>
        <w:spacing w:line="576" w:lineRule="exact"/>
        <w:ind w:left="0" w:leftChars="0"/>
        <w:sectPr>
          <w:headerReference r:id="rId13" w:type="default"/>
          <w:footerReference r:id="rId15" w:type="default"/>
          <w:headerReference r:id="rId14" w:type="even"/>
          <w:footerReference r:id="rId16" w:type="even"/>
          <w:pgSz w:w="11906" w:h="16838"/>
          <w:pgMar w:top="2098" w:right="1474" w:bottom="1984" w:left="1587" w:header="737" w:footer="722" w:gutter="0"/>
          <w:pgBorders>
            <w:top w:val="none" w:sz="0" w:space="0"/>
            <w:left w:val="none" w:sz="0" w:space="0"/>
            <w:bottom w:val="none" w:sz="0" w:space="0"/>
            <w:right w:val="none" w:sz="0" w:space="0"/>
          </w:pgBorders>
          <w:pgNumType w:fmt="numberInDash"/>
          <w:cols w:space="425" w:num="1"/>
          <w:docGrid w:type="lines" w:linePitch="435" w:charSpace="0"/>
        </w:sectPr>
      </w:pPr>
    </w:p>
    <w:bookmarkEnd w:id="145"/>
    <w:bookmarkEnd w:id="146"/>
    <w:bookmarkEnd w:id="147"/>
    <w:bookmarkEnd w:id="148"/>
    <w:bookmarkEnd w:id="149"/>
    <w:sdt>
      <w:sdtPr>
        <w:rPr>
          <w:rFonts w:ascii="宋体" w:hAnsi="宋体" w:eastAsia="宋体" w:cs="Times New Roman"/>
          <w:b/>
          <w:bCs/>
          <w:color w:val="auto"/>
          <w:kern w:val="2"/>
          <w:sz w:val="21"/>
          <w:szCs w:val="24"/>
          <w:highlight w:val="none"/>
          <w:lang w:val="en-US" w:eastAsia="zh-CN" w:bidi="ar-SA"/>
        </w:rPr>
        <w:id w:val="147452768"/>
        <w15:color w:val="DBDBDB"/>
        <w:docPartObj>
          <w:docPartGallery w:val="Table of Contents"/>
          <w:docPartUnique/>
        </w:docPartObj>
      </w:sdtPr>
      <w:sdtEndPr>
        <w:rPr>
          <w:rFonts w:hint="eastAsia" w:ascii="仿宋_GB2312" w:hAnsi="仿宋_GB2312" w:eastAsia="仿宋_GB2312" w:cs="Times New Roman"/>
          <w:b w:val="0"/>
          <w:bCs w:val="0"/>
          <w:color w:val="auto"/>
          <w:kern w:val="2"/>
          <w:sz w:val="32"/>
          <w:szCs w:val="24"/>
          <w:highlight w:val="none"/>
          <w:lang w:val="en-US" w:eastAsia="zh-CN" w:bidi="ar-SA"/>
        </w:rPr>
      </w:sdtEndPr>
      <w:sdtContent>
        <w:p>
          <w:pPr>
            <w:keepNext w:val="0"/>
            <w:keepLines w:val="0"/>
            <w:pageBreakBefore w:val="0"/>
            <w:widowControl w:val="0"/>
            <w:kinsoku/>
            <w:wordWrap/>
            <w:overflowPunct/>
            <w:topLinePunct w:val="0"/>
            <w:autoSpaceDE/>
            <w:autoSpaceDN/>
            <w:bidi w:val="0"/>
            <w:adjustRightInd w:val="0"/>
            <w:snapToGrid w:val="0"/>
            <w:spacing w:before="0" w:line="576" w:lineRule="exact"/>
            <w:ind w:left="0" w:leftChars="0" w:right="0" w:rightChars="0" w:firstLine="0" w:firstLineChars="0"/>
            <w:jc w:val="center"/>
            <w:textAlignment w:val="auto"/>
            <w:rPr>
              <w:rFonts w:hint="eastAsia" w:ascii="仿宋_GB2312" w:hAnsi="仿宋_GB2312" w:eastAsia="仿宋_GB2312" w:cs="仿宋_GB2312"/>
              <w:b/>
              <w:bCs/>
              <w:color w:val="auto"/>
              <w:kern w:val="2"/>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napToGrid w:val="0"/>
            <w:spacing w:before="0" w:line="576" w:lineRule="exact"/>
            <w:ind w:left="0" w:leftChars="0" w:right="0" w:rightChars="0" w:firstLine="0" w:firstLineChars="0"/>
            <w:jc w:val="center"/>
            <w:textAlignment w:val="auto"/>
            <w:rPr>
              <w:rFonts w:hint="eastAsia" w:ascii="黑体" w:hAnsi="黑体" w:eastAsia="黑体" w:cs="黑体"/>
              <w:b/>
              <w:bCs/>
              <w:color w:val="auto"/>
              <w:sz w:val="44"/>
              <w:szCs w:val="44"/>
              <w:highlight w:val="none"/>
              <w:lang w:val="en-US" w:eastAsia="zh-CN"/>
            </w:rPr>
          </w:pPr>
          <w:r>
            <w:rPr>
              <w:rFonts w:hint="eastAsia" w:ascii="黑体" w:hAnsi="黑体" w:eastAsia="黑体" w:cs="黑体"/>
              <w:b/>
              <w:bCs/>
              <w:color w:val="auto"/>
              <w:sz w:val="44"/>
              <w:szCs w:val="44"/>
              <w:highlight w:val="none"/>
              <w:lang w:val="en-US" w:eastAsia="zh-CN"/>
            </w:rPr>
            <w:t>目  录</w:t>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bookmarkStart w:id="197" w:name="_Toc14946_WPSOffice_Level1"/>
          <w:bookmarkStart w:id="198" w:name="_Toc28650_WPSOffice_Level1"/>
          <w:bookmarkStart w:id="199" w:name="_Toc30799_WPSOffice_Level1"/>
          <w:bookmarkStart w:id="200" w:name="_Toc8882_WPSOffice_Level1"/>
          <w:bookmarkStart w:id="201" w:name="_Toc14205"/>
          <w:r>
            <w:fldChar w:fldCharType="begin"/>
          </w:r>
          <w:r>
            <w:instrText xml:space="preserve">TOC \o "1-2" \h \u </w:instrText>
          </w:r>
          <w:r>
            <w:fldChar w:fldCharType="separate"/>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HYPERLINK \l _Toc4204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highlight w:val="none"/>
              <w:lang w:val="en-US" w:eastAsia="zh-CN"/>
            </w:rPr>
            <w:t>一、项目基本情况</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_Toc4204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30</w:t>
          </w:r>
          <w:r>
            <w:rPr>
              <w:rFonts w:hint="eastAsia" w:ascii="黑体" w:hAnsi="黑体" w:eastAsia="黑体" w:cs="黑体"/>
              <w:b/>
              <w:bCs/>
              <w:sz w:val="28"/>
              <w:szCs w:val="28"/>
            </w:rPr>
            <w:fldChar w:fldCharType="end"/>
          </w:r>
          <w:r>
            <w:rPr>
              <w:rFonts w:hint="eastAsia" w:ascii="黑体" w:hAnsi="黑体" w:eastAsia="黑体" w:cs="黑体"/>
              <w:b/>
              <w:bCs/>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_Toc8059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rPr>
            <w:t>（一）项目</w:t>
          </w:r>
          <w:r>
            <w:rPr>
              <w:rFonts w:hint="eastAsia" w:ascii="黑体" w:hAnsi="黑体" w:eastAsia="黑体" w:cs="黑体"/>
              <w:b w:val="0"/>
              <w:bCs w:val="0"/>
              <w:sz w:val="28"/>
              <w:szCs w:val="28"/>
              <w:highlight w:val="none"/>
              <w:lang w:eastAsia="zh-CN"/>
            </w:rPr>
            <w:t>立项背景</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_Toc8059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30</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_Toc5213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rPr>
            <w:t>（</w:t>
          </w:r>
          <w:r>
            <w:rPr>
              <w:rFonts w:hint="eastAsia" w:ascii="黑体" w:hAnsi="黑体" w:eastAsia="黑体" w:cs="黑体"/>
              <w:b w:val="0"/>
              <w:bCs w:val="0"/>
              <w:sz w:val="28"/>
              <w:szCs w:val="28"/>
              <w:highlight w:val="none"/>
              <w:lang w:eastAsia="zh-CN"/>
            </w:rPr>
            <w:t>二</w:t>
          </w:r>
          <w:r>
            <w:rPr>
              <w:rFonts w:hint="eastAsia" w:ascii="黑体" w:hAnsi="黑体" w:eastAsia="黑体" w:cs="黑体"/>
              <w:b w:val="0"/>
              <w:bCs w:val="0"/>
              <w:sz w:val="28"/>
              <w:szCs w:val="28"/>
              <w:highlight w:val="none"/>
            </w:rPr>
            <w:t>）项目</w:t>
          </w:r>
          <w:r>
            <w:rPr>
              <w:rFonts w:hint="eastAsia" w:ascii="黑体" w:hAnsi="黑体" w:eastAsia="黑体" w:cs="黑体"/>
              <w:b w:val="0"/>
              <w:bCs w:val="0"/>
              <w:sz w:val="28"/>
              <w:szCs w:val="28"/>
              <w:highlight w:val="none"/>
              <w:lang w:eastAsia="zh-CN"/>
            </w:rPr>
            <w:t>预算安排及使用情况</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_Toc5213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31</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_Toc8633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eastAsia="zh-CN"/>
            </w:rPr>
            <w:t>（三）项目计划内容及实施情况</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_Toc8633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32</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HYPERLINK \l _Toc32523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highlight w:val="none"/>
              <w:lang w:val="en-US" w:eastAsia="zh-CN"/>
            </w:rPr>
            <w:t>二、项目绩效目标</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_Toc32523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33</w:t>
          </w:r>
          <w:r>
            <w:rPr>
              <w:rFonts w:hint="eastAsia" w:ascii="黑体" w:hAnsi="黑体" w:eastAsia="黑体" w:cs="黑体"/>
              <w:b/>
              <w:bCs/>
              <w:sz w:val="28"/>
              <w:szCs w:val="28"/>
            </w:rPr>
            <w:fldChar w:fldCharType="end"/>
          </w:r>
          <w:r>
            <w:rPr>
              <w:rFonts w:hint="eastAsia" w:ascii="黑体" w:hAnsi="黑体" w:eastAsia="黑体" w:cs="黑体"/>
              <w:b/>
              <w:bCs/>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_Toc14998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kern w:val="2"/>
              <w:sz w:val="28"/>
              <w:szCs w:val="28"/>
              <w:highlight w:val="none"/>
              <w:lang w:val="en-US" w:eastAsia="zh-CN" w:bidi="ar-SA"/>
            </w:rPr>
            <w:t>（一）项目总目标</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_Toc14998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33</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_Toc8801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kern w:val="2"/>
              <w:sz w:val="28"/>
              <w:szCs w:val="28"/>
              <w:highlight w:val="none"/>
              <w:lang w:val="en-US" w:eastAsia="zh-CN" w:bidi="ar-SA"/>
            </w:rPr>
            <w:t>（二）项目年度绩效目标</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_Toc8801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33</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HYPERLINK \l _Toc7397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highlight w:val="none"/>
              <w:lang w:val="en-US" w:eastAsia="zh-CN"/>
            </w:rPr>
            <w:t>三、评价基本情况</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_Toc7397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33</w:t>
          </w:r>
          <w:r>
            <w:rPr>
              <w:rFonts w:hint="eastAsia" w:ascii="黑体" w:hAnsi="黑体" w:eastAsia="黑体" w:cs="黑体"/>
              <w:b/>
              <w:bCs/>
              <w:sz w:val="28"/>
              <w:szCs w:val="28"/>
            </w:rPr>
            <w:fldChar w:fldCharType="end"/>
          </w:r>
          <w:r>
            <w:rPr>
              <w:rFonts w:hint="eastAsia" w:ascii="黑体" w:hAnsi="黑体" w:eastAsia="黑体" w:cs="黑体"/>
              <w:b/>
              <w:bCs/>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_Toc21534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val="en-US" w:eastAsia="zh-CN"/>
            </w:rPr>
            <w:t>（一）评价目的</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_Toc21534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33</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_Toc17625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val="en-US" w:eastAsia="zh-CN"/>
            </w:rPr>
            <w:t>（二）评价对象和范围</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_Toc17625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34</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_Toc20324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rPr>
            <w:t>（</w:t>
          </w:r>
          <w:r>
            <w:rPr>
              <w:rFonts w:hint="eastAsia" w:ascii="黑体" w:hAnsi="黑体" w:eastAsia="黑体" w:cs="黑体"/>
              <w:b w:val="0"/>
              <w:bCs w:val="0"/>
              <w:sz w:val="28"/>
              <w:szCs w:val="28"/>
              <w:highlight w:val="none"/>
              <w:lang w:eastAsia="zh-CN"/>
            </w:rPr>
            <w:t>三</w:t>
          </w:r>
          <w:r>
            <w:rPr>
              <w:rFonts w:hint="eastAsia" w:ascii="黑体" w:hAnsi="黑体" w:eastAsia="黑体" w:cs="黑体"/>
              <w:b w:val="0"/>
              <w:bCs w:val="0"/>
              <w:sz w:val="28"/>
              <w:szCs w:val="28"/>
              <w:highlight w:val="none"/>
            </w:rPr>
            <w:t>）评价</w:t>
          </w:r>
          <w:r>
            <w:rPr>
              <w:rFonts w:hint="eastAsia" w:ascii="黑体" w:hAnsi="黑体" w:eastAsia="黑体" w:cs="黑体"/>
              <w:b w:val="0"/>
              <w:bCs w:val="0"/>
              <w:sz w:val="28"/>
              <w:szCs w:val="28"/>
              <w:highlight w:val="none"/>
              <w:lang w:eastAsia="zh-CN"/>
            </w:rPr>
            <w:t>依据</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_Toc20324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34</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_Toc31172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val="en-US" w:eastAsia="zh-CN"/>
            </w:rPr>
            <w:t>（四）评价原则</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_Toc31172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35</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_Toc15376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val="en-US" w:eastAsia="zh-CN"/>
            </w:rPr>
            <w:t>（五）评价方法</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_Toc15376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36</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_Toc4758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eastAsia="zh-CN"/>
            </w:rPr>
            <w:t>（六）绩效</w:t>
          </w:r>
          <w:r>
            <w:rPr>
              <w:rFonts w:hint="eastAsia" w:ascii="黑体" w:hAnsi="黑体" w:eastAsia="黑体" w:cs="黑体"/>
              <w:b w:val="0"/>
              <w:bCs w:val="0"/>
              <w:sz w:val="28"/>
              <w:szCs w:val="28"/>
              <w:highlight w:val="none"/>
            </w:rPr>
            <w:t>评价指标体系</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_Toc4758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37</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_Toc20918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eastAsia="zh-CN"/>
            </w:rPr>
            <w:t>（七）评价人员组成</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_Toc20918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38</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_Toc15216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eastAsia="zh-CN"/>
            </w:rPr>
            <w:t>（八）绩效评价工作过程</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_Toc15216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39</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HYPERLINK \l _Toc31588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highlight w:val="none"/>
              <w:lang w:val="en-US" w:eastAsia="zh-CN"/>
            </w:rPr>
            <w:t>四、评价结论及分析</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_Toc31588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42</w:t>
          </w:r>
          <w:r>
            <w:rPr>
              <w:rFonts w:hint="eastAsia" w:ascii="黑体" w:hAnsi="黑体" w:eastAsia="黑体" w:cs="黑体"/>
              <w:b/>
              <w:bCs/>
              <w:sz w:val="28"/>
              <w:szCs w:val="28"/>
            </w:rPr>
            <w:fldChar w:fldCharType="end"/>
          </w:r>
          <w:r>
            <w:rPr>
              <w:rFonts w:hint="eastAsia" w:ascii="黑体" w:hAnsi="黑体" w:eastAsia="黑体" w:cs="黑体"/>
              <w:b/>
              <w:bCs/>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_Toc11473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eastAsia="zh-CN"/>
            </w:rPr>
            <w:t>（一）评价评分</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_Toc11473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42</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_Toc19103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eastAsia="zh-CN"/>
            </w:rPr>
            <w:t>（二）综合评价情况及评价结论</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_Toc19103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43</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HYPERLINK \l _Toc2338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highlight w:val="none"/>
              <w:lang w:val="en-US" w:eastAsia="zh-CN"/>
            </w:rPr>
            <w:t>五、绩效评价指标分析</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_Toc2338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46</w:t>
          </w:r>
          <w:r>
            <w:rPr>
              <w:rFonts w:hint="eastAsia" w:ascii="黑体" w:hAnsi="黑体" w:eastAsia="黑体" w:cs="黑体"/>
              <w:b/>
              <w:bCs/>
              <w:sz w:val="28"/>
              <w:szCs w:val="28"/>
            </w:rPr>
            <w:fldChar w:fldCharType="end"/>
          </w:r>
          <w:r>
            <w:rPr>
              <w:rFonts w:hint="eastAsia" w:ascii="黑体" w:hAnsi="黑体" w:eastAsia="黑体" w:cs="黑体"/>
              <w:b/>
              <w:bCs/>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_Toc15166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eastAsia="zh-CN"/>
            </w:rPr>
            <w:t>（一）决策情况</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_Toc15166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46</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_Toc31663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val="en-US" w:eastAsia="zh-CN"/>
            </w:rPr>
            <w:t>（二）过程情况</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_Toc31663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50</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_Toc5890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val="en-US" w:eastAsia="zh-CN"/>
            </w:rPr>
            <w:t>（三）产出情况</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_Toc5890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53</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bCs/>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_Toc19529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val="en-US" w:eastAsia="zh-CN"/>
            </w:rPr>
            <w:t>（四）效益情况</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_Toc19529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56</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HYPERLINK \l _Toc32549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highlight w:val="none"/>
              <w:lang w:val="en-US" w:eastAsia="zh-CN"/>
            </w:rPr>
            <w:t>六、项目主要经验及做法</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_Toc32549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58</w:t>
          </w:r>
          <w:r>
            <w:rPr>
              <w:rFonts w:hint="eastAsia" w:ascii="黑体" w:hAnsi="黑体" w:eastAsia="黑体" w:cs="黑体"/>
              <w:b/>
              <w:bCs/>
              <w:sz w:val="28"/>
              <w:szCs w:val="28"/>
            </w:rPr>
            <w:fldChar w:fldCharType="end"/>
          </w:r>
          <w:r>
            <w:rPr>
              <w:rFonts w:hint="eastAsia" w:ascii="黑体" w:hAnsi="黑体" w:eastAsia="黑体" w:cs="黑体"/>
              <w:b/>
              <w:bCs/>
              <w:sz w:val="28"/>
              <w:szCs w:val="28"/>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HYPERLINK \l _Toc29913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lang w:val="en-US" w:eastAsia="zh-CN"/>
            </w:rPr>
            <w:t>七、</w:t>
          </w:r>
          <w:r>
            <w:rPr>
              <w:rFonts w:hint="eastAsia" w:ascii="黑体" w:hAnsi="黑体" w:eastAsia="黑体" w:cs="黑体"/>
              <w:b/>
              <w:bCs/>
              <w:sz w:val="28"/>
              <w:szCs w:val="28"/>
              <w:highlight w:val="none"/>
              <w:lang w:val="en-US" w:eastAsia="zh-CN"/>
            </w:rPr>
            <w:t>存在的问题及原因分析</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_Toc29913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59</w:t>
          </w:r>
          <w:r>
            <w:rPr>
              <w:rFonts w:hint="eastAsia" w:ascii="黑体" w:hAnsi="黑体" w:eastAsia="黑体" w:cs="黑体"/>
              <w:b/>
              <w:bCs/>
              <w:sz w:val="28"/>
              <w:szCs w:val="28"/>
            </w:rPr>
            <w:fldChar w:fldCharType="end"/>
          </w:r>
          <w:r>
            <w:rPr>
              <w:rFonts w:hint="eastAsia" w:ascii="黑体" w:hAnsi="黑体" w:eastAsia="黑体" w:cs="黑体"/>
              <w:b/>
              <w:bCs/>
              <w:sz w:val="28"/>
              <w:szCs w:val="28"/>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HYPERLINK \l _Toc10365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highlight w:val="none"/>
              <w:lang w:val="en-US" w:eastAsia="zh-CN"/>
            </w:rPr>
            <w:t>八、有关建议</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_Toc10365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60</w:t>
          </w:r>
          <w:r>
            <w:rPr>
              <w:rFonts w:hint="eastAsia" w:ascii="黑体" w:hAnsi="黑体" w:eastAsia="黑体" w:cs="黑体"/>
              <w:b/>
              <w:bCs/>
              <w:sz w:val="28"/>
              <w:szCs w:val="28"/>
            </w:rPr>
            <w:fldChar w:fldCharType="end"/>
          </w:r>
          <w:r>
            <w:rPr>
              <w:rFonts w:hint="eastAsia" w:ascii="黑体" w:hAnsi="黑体" w:eastAsia="黑体" w:cs="黑体"/>
              <w:b/>
              <w:bCs/>
              <w:sz w:val="28"/>
              <w:szCs w:val="28"/>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HYPERLINK \l _Toc10360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highlight w:val="none"/>
              <w:lang w:val="en-US" w:eastAsia="zh-CN"/>
            </w:rPr>
            <w:t>九、需要说明的问题</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_Toc10360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62</w:t>
          </w:r>
          <w:r>
            <w:rPr>
              <w:rFonts w:hint="eastAsia" w:ascii="黑体" w:hAnsi="黑体" w:eastAsia="黑体" w:cs="黑体"/>
              <w:b/>
              <w:bCs/>
              <w:sz w:val="28"/>
              <w:szCs w:val="28"/>
            </w:rPr>
            <w:fldChar w:fldCharType="end"/>
          </w:r>
          <w:r>
            <w:rPr>
              <w:rFonts w:hint="eastAsia" w:ascii="黑体" w:hAnsi="黑体" w:eastAsia="黑体" w:cs="黑体"/>
              <w:b/>
              <w:bCs/>
              <w:sz w:val="28"/>
              <w:szCs w:val="28"/>
            </w:rPr>
            <w:fldChar w:fldCharType="end"/>
          </w:r>
        </w:p>
        <w:p>
          <w:pPr>
            <w:pStyle w:val="10"/>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textAlignment w:val="auto"/>
            <w:rPr>
              <w:rFonts w:hint="eastAsia" w:ascii="黑体" w:hAnsi="黑体" w:eastAsia="黑体" w:cs="黑体"/>
              <w:b/>
              <w:bCs/>
              <w:sz w:val="28"/>
              <w:szCs w:val="28"/>
            </w:rPr>
          </w:pP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HYPERLINK \l _Toc14240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highlight w:val="none"/>
              <w:lang w:val="en-US" w:eastAsia="zh-CN"/>
            </w:rPr>
            <w:t>十、其他附件</w:t>
          </w:r>
          <w:r>
            <w:rPr>
              <w:rFonts w:hint="eastAsia" w:ascii="黑体" w:hAnsi="黑体" w:eastAsia="黑体" w:cs="黑体"/>
              <w:b/>
              <w:bCs/>
              <w:sz w:val="28"/>
              <w:szCs w:val="28"/>
            </w:rPr>
            <w:tab/>
          </w:r>
          <w:r>
            <w:rPr>
              <w:rFonts w:hint="eastAsia" w:ascii="黑体" w:hAnsi="黑体" w:eastAsia="黑体" w:cs="黑体"/>
              <w:b/>
              <w:bCs/>
              <w:sz w:val="28"/>
              <w:szCs w:val="28"/>
            </w:rPr>
            <w:fldChar w:fldCharType="begin"/>
          </w:r>
          <w:r>
            <w:rPr>
              <w:rFonts w:hint="eastAsia" w:ascii="黑体" w:hAnsi="黑体" w:eastAsia="黑体" w:cs="黑体"/>
              <w:b/>
              <w:bCs/>
              <w:sz w:val="28"/>
              <w:szCs w:val="28"/>
            </w:rPr>
            <w:instrText xml:space="preserve"> PAGEREF _Toc14240 \h </w:instrText>
          </w:r>
          <w:r>
            <w:rPr>
              <w:rFonts w:hint="eastAsia" w:ascii="黑体" w:hAnsi="黑体" w:eastAsia="黑体" w:cs="黑体"/>
              <w:b/>
              <w:bCs/>
              <w:sz w:val="28"/>
              <w:szCs w:val="28"/>
            </w:rPr>
            <w:fldChar w:fldCharType="separate"/>
          </w:r>
          <w:r>
            <w:rPr>
              <w:rFonts w:hint="eastAsia" w:ascii="黑体" w:hAnsi="黑体" w:eastAsia="黑体" w:cs="黑体"/>
              <w:b/>
              <w:bCs/>
              <w:sz w:val="28"/>
              <w:szCs w:val="28"/>
            </w:rPr>
            <w:t>62</w:t>
          </w:r>
          <w:r>
            <w:rPr>
              <w:rFonts w:hint="eastAsia" w:ascii="黑体" w:hAnsi="黑体" w:eastAsia="黑体" w:cs="黑体"/>
              <w:b/>
              <w:bCs/>
              <w:sz w:val="28"/>
              <w:szCs w:val="28"/>
            </w:rPr>
            <w:fldChar w:fldCharType="end"/>
          </w:r>
          <w:r>
            <w:rPr>
              <w:rFonts w:hint="eastAsia" w:ascii="黑体" w:hAnsi="黑体" w:eastAsia="黑体" w:cs="黑体"/>
              <w:b/>
              <w:bCs/>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_Toc27266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rPr>
            <w:t>附件1</w:t>
          </w:r>
          <w:r>
            <w:rPr>
              <w:rFonts w:hint="eastAsia" w:ascii="黑体" w:hAnsi="黑体" w:eastAsia="黑体" w:cs="黑体"/>
              <w:b w:val="0"/>
              <w:bCs w:val="0"/>
              <w:sz w:val="28"/>
              <w:szCs w:val="28"/>
              <w:highlight w:val="none"/>
              <w:lang w:val="en-US" w:eastAsia="zh-CN"/>
            </w:rPr>
            <w:t xml:space="preserve"> </w:t>
          </w:r>
          <w:r>
            <w:rPr>
              <w:rFonts w:hint="eastAsia" w:ascii="黑体" w:hAnsi="黑体" w:eastAsia="黑体" w:cs="黑体"/>
              <w:b w:val="0"/>
              <w:bCs w:val="0"/>
              <w:sz w:val="28"/>
              <w:szCs w:val="28"/>
              <w:highlight w:val="none"/>
            </w:rPr>
            <w:t>绩效评价指标体系</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_Toc27266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63</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_Toc17726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highlight w:val="none"/>
              <w:lang w:val="en-US" w:eastAsia="zh-CN"/>
            </w:rPr>
            <w:t>附件2 项目资金使用情况表</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_Toc17726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69</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_Toc23959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附件</w:t>
          </w:r>
          <w:r>
            <w:rPr>
              <w:rFonts w:hint="eastAsia" w:ascii="黑体" w:hAnsi="黑体" w:eastAsia="黑体" w:cs="黑体"/>
              <w:b w:val="0"/>
              <w:bCs w:val="0"/>
              <w:sz w:val="28"/>
              <w:szCs w:val="28"/>
              <w:lang w:val="en-US" w:eastAsia="zh-CN"/>
            </w:rPr>
            <w:t>3</w:t>
          </w:r>
          <w:r>
            <w:rPr>
              <w:rFonts w:hint="eastAsia" w:ascii="黑体" w:hAnsi="黑体" w:eastAsia="黑体" w:cs="黑体"/>
              <w:b w:val="0"/>
              <w:bCs w:val="0"/>
              <w:sz w:val="28"/>
              <w:szCs w:val="28"/>
            </w:rPr>
            <w:t xml:space="preserve"> </w:t>
          </w:r>
          <w:r>
            <w:rPr>
              <w:rFonts w:hint="eastAsia" w:ascii="黑体" w:hAnsi="黑体" w:eastAsia="黑体" w:cs="黑体"/>
              <w:b w:val="0"/>
              <w:bCs w:val="0"/>
              <w:sz w:val="28"/>
              <w:szCs w:val="28"/>
              <w:lang w:eastAsia="zh-CN"/>
            </w:rPr>
            <w:t>问卷调查满意度分析</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_Toc23959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70</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Style w:val="11"/>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textAlignment w:val="auto"/>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_Toc21203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附件</w:t>
          </w:r>
          <w:r>
            <w:rPr>
              <w:rFonts w:hint="eastAsia" w:ascii="黑体" w:hAnsi="黑体" w:eastAsia="黑体" w:cs="黑体"/>
              <w:b w:val="0"/>
              <w:bCs w:val="0"/>
              <w:sz w:val="28"/>
              <w:szCs w:val="28"/>
              <w:lang w:val="en-US" w:eastAsia="zh-CN"/>
            </w:rPr>
            <w:t>4</w:t>
          </w:r>
          <w:r>
            <w:rPr>
              <w:rFonts w:hint="eastAsia" w:ascii="黑体" w:hAnsi="黑体" w:eastAsia="黑体" w:cs="黑体"/>
              <w:b w:val="0"/>
              <w:bCs w:val="0"/>
              <w:sz w:val="28"/>
              <w:szCs w:val="28"/>
            </w:rPr>
            <w:t xml:space="preserve"> </w:t>
          </w:r>
          <w:r>
            <w:rPr>
              <w:rFonts w:hint="eastAsia" w:ascii="黑体" w:hAnsi="黑体" w:eastAsia="黑体" w:cs="黑体"/>
              <w:b w:val="0"/>
              <w:bCs w:val="0"/>
              <w:sz w:val="28"/>
              <w:szCs w:val="28"/>
              <w:lang w:eastAsia="zh-CN"/>
            </w:rPr>
            <w:t>主评人资质</w:t>
          </w:r>
          <w:r>
            <w:rPr>
              <w:rFonts w:hint="eastAsia" w:ascii="黑体" w:hAnsi="黑体" w:eastAsia="黑体" w:cs="黑体"/>
              <w:b w:val="0"/>
              <w:bCs w:val="0"/>
              <w:sz w:val="28"/>
              <w:szCs w:val="28"/>
            </w:rPr>
            <w:tab/>
          </w: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PAGEREF _Toc21203 \h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z w:val="28"/>
              <w:szCs w:val="28"/>
            </w:rPr>
            <w:t>73</w:t>
          </w:r>
          <w:r>
            <w:rPr>
              <w:rFonts w:hint="eastAsia" w:ascii="黑体" w:hAnsi="黑体" w:eastAsia="黑体" w:cs="黑体"/>
              <w:b w:val="0"/>
              <w:bCs w:val="0"/>
              <w:sz w:val="28"/>
              <w:szCs w:val="28"/>
            </w:rPr>
            <w:fldChar w:fldCharType="end"/>
          </w:r>
          <w:r>
            <w:rPr>
              <w:rFonts w:hint="eastAsia" w:ascii="黑体" w:hAnsi="黑体" w:eastAsia="黑体" w:cs="黑体"/>
              <w:b w:val="0"/>
              <w:bCs w:val="0"/>
              <w:sz w:val="28"/>
              <w:szCs w:val="28"/>
            </w:rPr>
            <w:fldChar w:fldCharType="end"/>
          </w:r>
        </w:p>
        <w:p>
          <w:pPr>
            <w:pageBreakBefore w:val="0"/>
            <w:overflowPunct/>
            <w:topLinePunct w:val="0"/>
            <w:bidi w:val="0"/>
            <w:spacing w:line="576" w:lineRule="exact"/>
            <w:ind w:left="0" w:leftChars="0"/>
          </w:pPr>
          <w:r>
            <w:fldChar w:fldCharType="end"/>
          </w:r>
        </w:p>
        <w:p>
          <w:pPr>
            <w:keepNext w:val="0"/>
            <w:keepLines w:val="0"/>
            <w:pageBreakBefore w:val="0"/>
            <w:widowControl w:val="0"/>
            <w:kinsoku/>
            <w:overflowPunct/>
            <w:topLinePunct w:val="0"/>
            <w:autoSpaceDE/>
            <w:autoSpaceDN/>
            <w:bidi w:val="0"/>
            <w:spacing w:before="0" w:line="576" w:lineRule="exact"/>
            <w:ind w:left="0" w:leftChars="0" w:right="0" w:rightChars="0" w:firstLine="0" w:firstLineChars="0"/>
            <w:jc w:val="both"/>
            <w:rPr>
              <w:b w:val="0"/>
              <w:bCs w:val="0"/>
              <w:color w:val="auto"/>
              <w:highlight w:val="none"/>
            </w:rPr>
          </w:pPr>
        </w:p>
      </w:sdtContent>
    </w:sdt>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方正小标宋简体" w:hAnsi="华文中宋" w:eastAsia="方正小标宋简体" w:cs="华文中宋"/>
          <w:b w:val="0"/>
          <w:bCs w:val="0"/>
          <w:color w:val="auto"/>
          <w:sz w:val="36"/>
          <w:szCs w:val="36"/>
          <w:highlight w:val="none"/>
          <w:lang w:eastAsia="zh-CN"/>
        </w:rPr>
        <w:sectPr>
          <w:footerReference r:id="rId17" w:type="default"/>
          <w:footerReference r:id="rId18" w:type="even"/>
          <w:pgSz w:w="11906" w:h="16838"/>
          <w:pgMar w:top="2098" w:right="1474" w:bottom="1984" w:left="1587" w:header="737" w:footer="722" w:gutter="0"/>
          <w:pgBorders>
            <w:top w:val="none" w:sz="0" w:space="0"/>
            <w:left w:val="none" w:sz="0" w:space="0"/>
            <w:bottom w:val="none" w:sz="0" w:space="0"/>
            <w:right w:val="none" w:sz="0" w:space="0"/>
          </w:pgBorders>
          <w:pgNumType w:fmt="numberInDash"/>
          <w:cols w:space="425" w:num="1"/>
          <w:docGrid w:type="lines" w:linePitch="435" w:charSpace="0"/>
        </w:sectPr>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仿宋_GB2312" w:hAnsi="仿宋_GB2312" w:eastAsia="仿宋_GB2312" w:cs="仿宋_GB2312"/>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方正小标宋简体" w:hAnsi="华文中宋" w:eastAsia="方正小标宋简体" w:cs="华文中宋"/>
          <w:b w:val="0"/>
          <w:bCs/>
          <w:color w:val="auto"/>
          <w:sz w:val="44"/>
          <w:szCs w:val="44"/>
          <w:highlight w:val="none"/>
          <w:lang w:val="en-US" w:eastAsia="zh-CN"/>
        </w:rPr>
      </w:pPr>
      <w:r>
        <w:rPr>
          <w:rFonts w:hint="eastAsia" w:ascii="方正小标宋简体" w:hAnsi="华文中宋" w:eastAsia="方正小标宋简体" w:cs="华文中宋"/>
          <w:b w:val="0"/>
          <w:bCs/>
          <w:color w:val="auto"/>
          <w:sz w:val="44"/>
          <w:szCs w:val="44"/>
          <w:highlight w:val="none"/>
          <w:lang w:val="en-US" w:eastAsia="zh-CN"/>
        </w:rPr>
        <w:t>西宁市城中区2021年校园保安专项资金</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方正小标宋简体" w:hAnsi="华文中宋" w:eastAsia="方正小标宋简体" w:cs="华文中宋"/>
          <w:b w:val="0"/>
          <w:bCs/>
          <w:color w:val="auto"/>
          <w:sz w:val="44"/>
          <w:szCs w:val="44"/>
          <w:highlight w:val="none"/>
        </w:rPr>
      </w:pPr>
      <w:r>
        <w:rPr>
          <w:rFonts w:hint="eastAsia" w:ascii="方正小标宋简体" w:hAnsi="华文中宋" w:eastAsia="方正小标宋简体" w:cs="华文中宋"/>
          <w:b w:val="0"/>
          <w:bCs/>
          <w:color w:val="auto"/>
          <w:sz w:val="44"/>
          <w:szCs w:val="44"/>
          <w:highlight w:val="none"/>
        </w:rPr>
        <w:t>绩效评价报告</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Ansi="华文中宋" w:cs="华文中宋"/>
          <w:color w:val="auto"/>
          <w:sz w:val="24"/>
          <w:szCs w:val="24"/>
          <w:highlight w:val="none"/>
        </w:rPr>
      </w:pPr>
    </w:p>
    <w:bookmarkEnd w:id="197"/>
    <w:bookmarkEnd w:id="198"/>
    <w:bookmarkEnd w:id="199"/>
    <w:bookmarkEnd w:id="200"/>
    <w:p>
      <w:pPr>
        <w:pStyle w:val="3"/>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firstLine="643" w:firstLineChars="200"/>
        <w:jc w:val="both"/>
        <w:textAlignment w:val="auto"/>
        <w:outlineLvl w:val="1"/>
        <w:rPr>
          <w:rFonts w:hint="eastAsia" w:ascii="黑体" w:hAnsi="黑体" w:eastAsia="黑体" w:cs="黑体"/>
          <w:b/>
          <w:bCs/>
          <w:color w:val="auto"/>
          <w:sz w:val="32"/>
          <w:szCs w:val="32"/>
          <w:highlight w:val="none"/>
          <w:lang w:val="en-US" w:eastAsia="zh-CN"/>
        </w:rPr>
      </w:pPr>
      <w:bookmarkStart w:id="202" w:name="_Toc14186"/>
      <w:bookmarkStart w:id="203" w:name="_Toc27714"/>
      <w:bookmarkStart w:id="204" w:name="_Toc32493"/>
      <w:bookmarkStart w:id="205" w:name="_Toc4204"/>
      <w:r>
        <w:rPr>
          <w:rFonts w:hint="eastAsia" w:ascii="黑体" w:hAnsi="黑体" w:eastAsia="黑体" w:cs="黑体"/>
          <w:b/>
          <w:bCs/>
          <w:color w:val="auto"/>
          <w:sz w:val="32"/>
          <w:szCs w:val="32"/>
          <w:highlight w:val="none"/>
          <w:lang w:val="en-US" w:eastAsia="zh-CN"/>
        </w:rPr>
        <w:fldChar w:fldCharType="begin"/>
      </w:r>
      <w:r>
        <w:rPr>
          <w:rFonts w:hint="eastAsia" w:ascii="黑体" w:hAnsi="黑体" w:eastAsia="黑体" w:cs="黑体"/>
          <w:b/>
          <w:bCs/>
          <w:color w:val="auto"/>
          <w:sz w:val="32"/>
          <w:szCs w:val="32"/>
          <w:highlight w:val="none"/>
          <w:lang w:val="en-US" w:eastAsia="zh-CN"/>
        </w:rPr>
        <w:instrText xml:space="preserve"> HYPERLINK \l "_Toc32527" </w:instrText>
      </w:r>
      <w:r>
        <w:rPr>
          <w:rFonts w:hint="eastAsia" w:ascii="黑体" w:hAnsi="黑体" w:eastAsia="黑体" w:cs="黑体"/>
          <w:b/>
          <w:bCs/>
          <w:color w:val="auto"/>
          <w:sz w:val="32"/>
          <w:szCs w:val="32"/>
          <w:highlight w:val="none"/>
          <w:lang w:val="en-US" w:eastAsia="zh-CN"/>
        </w:rPr>
        <w:fldChar w:fldCharType="separate"/>
      </w:r>
      <w:r>
        <w:rPr>
          <w:rFonts w:hint="eastAsia" w:ascii="黑体" w:hAnsi="黑体" w:eastAsia="黑体" w:cs="黑体"/>
          <w:b/>
          <w:bCs/>
          <w:color w:val="auto"/>
          <w:sz w:val="32"/>
          <w:szCs w:val="32"/>
          <w:highlight w:val="none"/>
          <w:lang w:val="en-US" w:eastAsia="zh-CN"/>
        </w:rPr>
        <w:t>一、项目基本情况</w:t>
      </w:r>
      <w:r>
        <w:rPr>
          <w:rFonts w:hint="eastAsia" w:ascii="黑体" w:hAnsi="黑体" w:eastAsia="黑体" w:cs="黑体"/>
          <w:b/>
          <w:bCs/>
          <w:color w:val="auto"/>
          <w:sz w:val="32"/>
          <w:szCs w:val="32"/>
          <w:highlight w:val="none"/>
          <w:lang w:val="en-US" w:eastAsia="zh-CN"/>
        </w:rPr>
        <w:fldChar w:fldCharType="end"/>
      </w:r>
      <w:bookmarkEnd w:id="201"/>
      <w:bookmarkEnd w:id="202"/>
      <w:bookmarkEnd w:id="203"/>
      <w:bookmarkEnd w:id="204"/>
      <w:bookmarkEnd w:id="205"/>
    </w:p>
    <w:p>
      <w:pPr>
        <w:pStyle w:val="4"/>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firstLine="643" w:firstLineChars="200"/>
        <w:jc w:val="both"/>
        <w:textAlignment w:val="auto"/>
        <w:outlineLvl w:val="1"/>
        <w:rPr>
          <w:rFonts w:hint="eastAsia" w:eastAsia="楷体"/>
          <w:b/>
          <w:color w:val="auto"/>
          <w:highlight w:val="none"/>
          <w:lang w:eastAsia="zh-CN"/>
        </w:rPr>
      </w:pPr>
      <w:bookmarkStart w:id="206" w:name="_Toc11088"/>
      <w:bookmarkStart w:id="207" w:name="_Toc19032"/>
      <w:bookmarkStart w:id="208" w:name="_Toc8059"/>
      <w:bookmarkStart w:id="209" w:name="_Toc29830"/>
      <w:bookmarkStart w:id="210" w:name="_Toc20411"/>
      <w:r>
        <w:rPr>
          <w:rFonts w:hint="eastAsia" w:ascii="楷体" w:hAnsi="楷体" w:eastAsia="楷体"/>
          <w:b/>
          <w:color w:val="auto"/>
          <w:highlight w:val="none"/>
        </w:rPr>
        <w:fldChar w:fldCharType="begin"/>
      </w:r>
      <w:r>
        <w:rPr>
          <w:rFonts w:hint="eastAsia" w:ascii="楷体" w:hAnsi="楷体" w:eastAsia="楷体"/>
          <w:b/>
          <w:color w:val="auto"/>
          <w:highlight w:val="none"/>
        </w:rPr>
        <w:instrText xml:space="preserve"> HYPERLINK \l _Toc7405 </w:instrText>
      </w:r>
      <w:r>
        <w:rPr>
          <w:rFonts w:hint="eastAsia" w:ascii="楷体" w:hAnsi="楷体" w:eastAsia="楷体"/>
          <w:b/>
          <w:color w:val="auto"/>
          <w:highlight w:val="none"/>
        </w:rPr>
        <w:fldChar w:fldCharType="separate"/>
      </w:r>
      <w:r>
        <w:rPr>
          <w:rFonts w:hint="eastAsia" w:ascii="楷体" w:hAnsi="楷体" w:eastAsia="楷体"/>
          <w:b/>
          <w:color w:val="auto"/>
          <w:highlight w:val="none"/>
        </w:rPr>
        <w:t>（一）项目</w:t>
      </w:r>
      <w:r>
        <w:rPr>
          <w:rFonts w:hint="eastAsia" w:ascii="楷体" w:hAnsi="楷体" w:eastAsia="楷体"/>
          <w:b/>
          <w:color w:val="auto"/>
          <w:highlight w:val="none"/>
          <w:lang w:eastAsia="zh-CN"/>
        </w:rPr>
        <w:t>立</w:t>
      </w:r>
      <w:r>
        <w:rPr>
          <w:rFonts w:hint="eastAsia" w:ascii="楷体" w:hAnsi="楷体" w:eastAsia="楷体"/>
          <w:b/>
          <w:color w:val="auto"/>
          <w:highlight w:val="none"/>
        </w:rPr>
        <w:fldChar w:fldCharType="end"/>
      </w:r>
      <w:bookmarkEnd w:id="206"/>
      <w:r>
        <w:rPr>
          <w:rFonts w:hint="eastAsia" w:ascii="楷体" w:hAnsi="楷体" w:eastAsia="楷体"/>
          <w:b/>
          <w:color w:val="auto"/>
          <w:highlight w:val="none"/>
          <w:lang w:eastAsia="zh-CN"/>
        </w:rPr>
        <w:t>项背景</w:t>
      </w:r>
      <w:bookmarkEnd w:id="207"/>
      <w:bookmarkEnd w:id="208"/>
      <w:bookmarkEnd w:id="209"/>
      <w:bookmarkEnd w:id="210"/>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lang w:val="en-US" w:eastAsia="zh-CN"/>
        </w:rPr>
      </w:pPr>
      <w:r>
        <w:rPr>
          <w:rFonts w:hint="eastAsia" w:ascii="仿宋_GB2312" w:eastAsia="仿宋_GB2312"/>
          <w:lang w:val="en-US" w:eastAsia="zh-CN"/>
        </w:rPr>
        <w:t>校园安全关系广大师生的人身安全，是办学的底线，是保障学生健康成长、全面发展的前提和基础，事关亿万家庭幸福和社会和谐稳定。认真贯彻《中华人民共和国未成年人保护法》《学生伤害事故处理办法》《中小学幼儿园安全管理办法》《中小学校园环境管理的暂行规定》等法律法规，落实安全管理主体责任，加强学校安全工作，对师生安康、科学发展、社会和谐、起到重要的保障作用。</w:t>
      </w:r>
    </w:p>
    <w:p>
      <w:pPr>
        <w:pStyle w:val="6"/>
        <w:keepNext w:val="0"/>
        <w:keepLines w:val="0"/>
        <w:pageBreakBefore w:val="0"/>
        <w:widowControl/>
        <w:kinsoku/>
        <w:wordWrap/>
        <w:overflowPunct/>
        <w:topLinePunct w:val="0"/>
        <w:autoSpaceDE/>
        <w:autoSpaceDN/>
        <w:bidi w:val="0"/>
        <w:adjustRightInd w:val="0"/>
        <w:snapToGrid w:val="0"/>
        <w:spacing w:line="576" w:lineRule="exact"/>
        <w:ind w:left="0" w:leftChars="0"/>
        <w:jc w:val="both"/>
        <w:textAlignment w:val="auto"/>
        <w:rPr>
          <w:rFonts w:hint="eastAsia"/>
          <w:lang w:val="en-US" w:eastAsia="zh-CN"/>
        </w:rPr>
      </w:pPr>
      <w:r>
        <w:rPr>
          <w:rFonts w:hint="eastAsia"/>
          <w:lang w:val="en-US" w:eastAsia="zh-CN"/>
        </w:rPr>
        <w:t>西宁市城中区教育局依据国务院办公厅《关于加强中小学幼儿园安全风险防控体系建设的意见》《中小学幼儿园安全管理办法》（教育部令第</w:t>
      </w:r>
      <w:r>
        <w:rPr>
          <w:rFonts w:hint="eastAsia" w:ascii="Times New Roman" w:hAnsi="Times New Roman" w:eastAsia="仿宋_GB2312" w:cs="Times New Roman"/>
          <w:kern w:val="2"/>
          <w:sz w:val="32"/>
          <w:szCs w:val="24"/>
          <w:lang w:val="en-US" w:eastAsia="zh-CN" w:bidi="ar-SA"/>
        </w:rPr>
        <w:t>23号）、《国务院教育督导委员会办公室关于进一步加强中小学（幼儿园）安全工作的紧急通知》（国教督办〔2018〕4号）、《公安部 教育部关于印发加快推动全国中小学幼儿园安全防范建设三年行动计划》的通知、《保安服务管理条例》（2020年修订）、《对十三届全国人大三次会议第6578号建议的答复》（教督建议〔2020〕306号）等相关文件要求，向城中区财政局申请财政专项资金，用于购买保安服务，以满足学校安全防范工</w:t>
      </w:r>
      <w:r>
        <w:rPr>
          <w:rFonts w:hint="eastAsia"/>
          <w:lang w:val="en-US" w:eastAsia="zh-CN"/>
        </w:rPr>
        <w:t>作的需要。</w:t>
      </w:r>
      <w:r>
        <w:rPr>
          <w:rFonts w:hint="eastAsia" w:ascii="Times New Roman" w:hAnsi="Times New Roman" w:eastAsia="仿宋_GB2312" w:cs="Times New Roman"/>
          <w:kern w:val="2"/>
          <w:sz w:val="32"/>
          <w:szCs w:val="24"/>
          <w:lang w:val="en-US" w:eastAsia="zh-CN" w:bidi="ar-SA"/>
        </w:rPr>
        <w:t>2021</w:t>
      </w:r>
      <w:r>
        <w:rPr>
          <w:rFonts w:hint="eastAsia"/>
          <w:lang w:val="en-US" w:eastAsia="zh-CN"/>
        </w:rPr>
        <w:t>年校园保安专项资金为着力建设城中区安全校园环境，深化平安校园创建，形成“广泛参与、科学预防、系统应对”的学校安全保护工作网络格局提供</w:t>
      </w:r>
      <w:r>
        <w:rPr>
          <w:rFonts w:hint="eastAsia"/>
          <w:highlight w:val="none"/>
          <w:lang w:val="en-US" w:eastAsia="zh-CN"/>
        </w:rPr>
        <w:t>有力地保障</w:t>
      </w:r>
      <w:r>
        <w:rPr>
          <w:rFonts w:hint="eastAsia"/>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firstLine="643" w:firstLineChars="200"/>
        <w:jc w:val="both"/>
        <w:textAlignment w:val="auto"/>
        <w:outlineLvl w:val="1"/>
        <w:rPr>
          <w:rFonts w:hint="eastAsia" w:eastAsia="楷体"/>
          <w:b/>
          <w:color w:val="auto"/>
          <w:highlight w:val="none"/>
          <w:lang w:eastAsia="zh-CN"/>
        </w:rPr>
      </w:pPr>
      <w:bookmarkStart w:id="211" w:name="_Toc23722"/>
      <w:bookmarkStart w:id="212" w:name="_Toc24708"/>
      <w:bookmarkStart w:id="213" w:name="_Toc5213"/>
      <w:bookmarkStart w:id="214" w:name="_Toc2168"/>
      <w:r>
        <w:rPr>
          <w:rFonts w:hint="eastAsia" w:ascii="楷体" w:hAnsi="楷体" w:eastAsia="楷体"/>
          <w:b/>
          <w:color w:val="auto"/>
          <w:highlight w:val="none"/>
        </w:rPr>
        <w:fldChar w:fldCharType="begin"/>
      </w:r>
      <w:r>
        <w:rPr>
          <w:rFonts w:hint="eastAsia" w:ascii="楷体" w:hAnsi="楷体" w:eastAsia="楷体"/>
          <w:b/>
          <w:color w:val="auto"/>
          <w:highlight w:val="none"/>
        </w:rPr>
        <w:instrText xml:space="preserve"> HYPERLINK \l _Toc7405 </w:instrText>
      </w:r>
      <w:r>
        <w:rPr>
          <w:rFonts w:hint="eastAsia" w:ascii="楷体" w:hAnsi="楷体" w:eastAsia="楷体"/>
          <w:b/>
          <w:color w:val="auto"/>
          <w:highlight w:val="none"/>
        </w:rPr>
        <w:fldChar w:fldCharType="separate"/>
      </w:r>
      <w:r>
        <w:rPr>
          <w:rFonts w:hint="eastAsia" w:ascii="楷体" w:hAnsi="楷体" w:eastAsia="楷体"/>
          <w:b/>
          <w:color w:val="auto"/>
          <w:highlight w:val="none"/>
        </w:rPr>
        <w:t>（</w:t>
      </w:r>
      <w:r>
        <w:rPr>
          <w:rFonts w:hint="eastAsia" w:ascii="楷体" w:hAnsi="楷体" w:eastAsia="楷体"/>
          <w:b/>
          <w:color w:val="auto"/>
          <w:highlight w:val="none"/>
          <w:lang w:eastAsia="zh-CN"/>
        </w:rPr>
        <w:t>二</w:t>
      </w:r>
      <w:r>
        <w:rPr>
          <w:rFonts w:hint="eastAsia" w:ascii="楷体" w:hAnsi="楷体" w:eastAsia="楷体"/>
          <w:b/>
          <w:color w:val="auto"/>
          <w:highlight w:val="none"/>
        </w:rPr>
        <w:t>）项目</w:t>
      </w:r>
      <w:r>
        <w:rPr>
          <w:rFonts w:hint="eastAsia" w:ascii="楷体" w:hAnsi="楷体" w:eastAsia="楷体"/>
          <w:b/>
          <w:color w:val="auto"/>
          <w:highlight w:val="none"/>
          <w:lang w:eastAsia="zh-CN"/>
        </w:rPr>
        <w:t>预</w:t>
      </w:r>
      <w:r>
        <w:rPr>
          <w:rFonts w:hint="eastAsia" w:ascii="楷体" w:hAnsi="楷体" w:eastAsia="楷体"/>
          <w:b/>
          <w:color w:val="auto"/>
          <w:highlight w:val="none"/>
        </w:rPr>
        <w:fldChar w:fldCharType="end"/>
      </w:r>
      <w:r>
        <w:rPr>
          <w:rFonts w:hint="eastAsia" w:ascii="楷体" w:hAnsi="楷体" w:eastAsia="楷体"/>
          <w:b/>
          <w:color w:val="auto"/>
          <w:highlight w:val="none"/>
          <w:lang w:eastAsia="zh-CN"/>
        </w:rPr>
        <w:t>算安排及使用情况</w:t>
      </w:r>
      <w:bookmarkEnd w:id="211"/>
      <w:bookmarkEnd w:id="212"/>
      <w:bookmarkEnd w:id="213"/>
      <w:bookmarkEnd w:id="214"/>
    </w:p>
    <w:p>
      <w:pPr>
        <w:pStyle w:val="5"/>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lang w:val="en-US" w:eastAsia="zh-CN"/>
        </w:rPr>
      </w:pPr>
      <w:bookmarkStart w:id="215" w:name="_Toc11484"/>
      <w:bookmarkStart w:id="216" w:name="_Toc25448"/>
      <w:r>
        <w:rPr>
          <w:rFonts w:hint="eastAsia"/>
          <w:lang w:val="en-US" w:eastAsia="zh-CN"/>
        </w:rPr>
        <w:t>1.预算安排情况</w:t>
      </w:r>
      <w:bookmarkEnd w:id="215"/>
      <w:bookmarkEnd w:id="216"/>
    </w:p>
    <w:p>
      <w:pPr>
        <w:pStyle w:val="6"/>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kern w:val="2"/>
          <w:sz w:val="32"/>
          <w:szCs w:val="24"/>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根据西宁市城中区财政局</w:t>
      </w:r>
      <w:r>
        <w:rPr>
          <w:rFonts w:hint="eastAsia" w:ascii="Times New Roman" w:hAnsi="Times New Roman" w:eastAsia="仿宋_GB2312" w:cs="Times New Roman"/>
          <w:kern w:val="2"/>
          <w:sz w:val="32"/>
          <w:szCs w:val="24"/>
          <w:lang w:val="en-US" w:eastAsia="zh-CN" w:bidi="ar-SA"/>
        </w:rPr>
        <w:t>《关于批复2021年区级部门预算的通知》（城中财字（2021）025号），城中区财政局向教育局安排城中区教育局2021年购买保安服务预算资金231.84万元，用于84名保安工资支出，每名保安2300元/月。具体资金安排如下：</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rPr>
          <w:rFonts w:hint="eastAsia" w:ascii="仿宋" w:hAnsi="仿宋" w:eastAsia="仿宋" w:cs="仿宋"/>
          <w:b/>
          <w:bCs/>
          <w:color w:val="auto"/>
          <w:kern w:val="2"/>
          <w:sz w:val="28"/>
          <w:szCs w:val="28"/>
          <w:highlight w:val="none"/>
          <w:lang w:val="en-US" w:eastAsia="zh-CN" w:bidi="ar-SA"/>
        </w:rPr>
      </w:pPr>
      <w:r>
        <w:rPr>
          <w:rFonts w:hint="eastAsia" w:asciiTheme="majorEastAsia" w:hAnsiTheme="majorEastAsia" w:eastAsiaTheme="majorEastAsia" w:cstheme="majorEastAsia"/>
          <w:b/>
          <w:bCs/>
          <w:color w:val="auto"/>
          <w:kern w:val="2"/>
          <w:sz w:val="28"/>
          <w:szCs w:val="28"/>
          <w:highlight w:val="none"/>
          <w:lang w:val="en-US" w:eastAsia="zh-CN" w:bidi="ar-SA"/>
        </w:rPr>
        <w:t>表1 西宁市城中区2021年校园保安专项资金安排明细表</w:t>
      </w:r>
    </w:p>
    <w:tbl>
      <w:tblPr>
        <w:tblStyle w:val="13"/>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203"/>
        <w:gridCol w:w="1509"/>
        <w:gridCol w:w="2668"/>
        <w:gridCol w:w="26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 w:hRule="atLeast"/>
          <w:jc w:val="center"/>
        </w:trPr>
        <w:tc>
          <w:tcPr>
            <w:tcW w:w="1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年度</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保安数</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工资标准</w:t>
            </w:r>
          </w:p>
        </w:tc>
        <w:tc>
          <w:tcPr>
            <w:tcW w:w="1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12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Times New Roman" w:hAnsi="Times New Roman" w:eastAsia="仿宋_GB2312" w:cs="Times New Roman"/>
                <w:kern w:val="2"/>
                <w:sz w:val="32"/>
                <w:szCs w:val="24"/>
                <w:lang w:val="en-US" w:eastAsia="zh-CN" w:bidi="ar-SA"/>
              </w:rPr>
              <w:t>2021年</w:t>
            </w: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Times New Roman" w:hAnsi="Times New Roman" w:eastAsia="仿宋_GB2312" w:cs="Times New Roman"/>
                <w:kern w:val="2"/>
                <w:sz w:val="32"/>
                <w:szCs w:val="24"/>
                <w:lang w:val="en-US" w:eastAsia="zh-CN" w:bidi="ar-SA"/>
              </w:rPr>
              <w:t>84</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Times New Roman" w:hAnsi="Times New Roman" w:eastAsia="仿宋_GB2312" w:cs="Times New Roman"/>
                <w:kern w:val="2"/>
                <w:sz w:val="32"/>
                <w:szCs w:val="24"/>
                <w:lang w:val="en-US" w:eastAsia="zh-CN" w:bidi="ar-SA"/>
              </w:rPr>
              <w:t>2300元/月</w:t>
            </w:r>
          </w:p>
        </w:tc>
        <w:tc>
          <w:tcPr>
            <w:tcW w:w="14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Times New Roman" w:hAnsi="Times New Roman" w:eastAsia="仿宋_GB2312" w:cs="Times New Roman"/>
                <w:kern w:val="2"/>
                <w:sz w:val="32"/>
                <w:szCs w:val="24"/>
                <w:lang w:val="en-US" w:eastAsia="zh-CN" w:bidi="ar-SA"/>
              </w:rPr>
              <w:t>231.84</w:t>
            </w:r>
          </w:p>
        </w:tc>
      </w:tr>
    </w:tbl>
    <w:p>
      <w:pPr>
        <w:pStyle w:val="5"/>
        <w:keepNext/>
        <w:keepLines/>
        <w:pageBreakBefore w:val="0"/>
        <w:widowControl w:val="0"/>
        <w:kinsoku/>
        <w:wordWrap/>
        <w:overflowPunct/>
        <w:topLinePunct w:val="0"/>
        <w:autoSpaceDE/>
        <w:autoSpaceDN/>
        <w:bidi w:val="0"/>
        <w:adjustRightInd w:val="0"/>
        <w:snapToGrid/>
        <w:spacing w:line="576" w:lineRule="exact"/>
        <w:ind w:left="0" w:leftChars="0"/>
        <w:jc w:val="both"/>
        <w:textAlignment w:val="auto"/>
        <w:rPr>
          <w:rFonts w:hint="default"/>
          <w:lang w:val="en-US" w:eastAsia="zh-CN"/>
        </w:rPr>
      </w:pPr>
      <w:bookmarkStart w:id="217" w:name="_Toc30977"/>
      <w:bookmarkStart w:id="218" w:name="_Toc9141"/>
      <w:r>
        <w:rPr>
          <w:rFonts w:hint="eastAsia"/>
          <w:lang w:val="en-US" w:eastAsia="zh-CN"/>
        </w:rPr>
        <w:t>2.预算资金分配下拨情况</w:t>
      </w:r>
      <w:bookmarkEnd w:id="217"/>
      <w:bookmarkEnd w:id="218"/>
    </w:p>
    <w:p>
      <w:pPr>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lang w:val="en-US" w:eastAsia="zh-CN"/>
        </w:rPr>
      </w:pPr>
      <w:r>
        <w:rPr>
          <w:rFonts w:hint="eastAsia" w:cs="仿宋_GB2312"/>
          <w:b w:val="0"/>
          <w:color w:val="auto"/>
          <w:kern w:val="2"/>
          <w:sz w:val="32"/>
          <w:szCs w:val="32"/>
          <w:highlight w:val="none"/>
          <w:lang w:val="en-US" w:eastAsia="zh-CN" w:bidi="ar-SA"/>
        </w:rPr>
        <w:t>西宁市城中区财政局下达预算资金后，归口部门为西宁市城中区教育局，城中区教育局将预算资金按季度拨付给青海宏创保安服务有限责任公司，由青海宏创保安服务有限责任公司进行学校保安工资的具体发放。具体资金分配下拨如下：</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表2 西宁市城中区2021年校园保安专项资金分配下拨明细表</w:t>
      </w:r>
    </w:p>
    <w:p>
      <w:pPr>
        <w:pageBreakBefore w:val="0"/>
        <w:overflowPunct/>
        <w:topLinePunct w:val="0"/>
        <w:bidi w:val="0"/>
        <w:spacing w:line="576" w:lineRule="exact"/>
        <w:ind w:left="0" w:leftChars="0"/>
        <w:jc w:val="right"/>
        <w:rPr>
          <w:rFonts w:hint="eastAsia" w:ascii="宋体" w:hAnsi="宋体" w:eastAsia="宋体" w:cs="宋体"/>
          <w:sz w:val="28"/>
          <w:szCs w:val="28"/>
          <w:lang w:val="en-US" w:eastAsia="zh-CN"/>
        </w:rPr>
      </w:pPr>
      <w:r>
        <w:rPr>
          <w:rFonts w:hint="eastAsia" w:ascii="宋体" w:hAnsi="宋体" w:eastAsia="宋体" w:cs="宋体"/>
          <w:b/>
          <w:bCs/>
          <w:color w:val="auto"/>
          <w:kern w:val="2"/>
          <w:sz w:val="28"/>
          <w:szCs w:val="28"/>
          <w:highlight w:val="none"/>
          <w:lang w:val="en-US" w:eastAsia="zh-CN" w:bidi="ar-SA"/>
        </w:rPr>
        <w:t>单位：万元</w:t>
      </w:r>
    </w:p>
    <w:tbl>
      <w:tblPr>
        <w:tblStyle w:val="1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8"/>
        <w:gridCol w:w="2061"/>
        <w:gridCol w:w="4106"/>
        <w:gridCol w:w="1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72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年度</w:t>
            </w:r>
          </w:p>
        </w:tc>
        <w:tc>
          <w:tcPr>
            <w:tcW w:w="113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季度</w:t>
            </w:r>
          </w:p>
        </w:tc>
        <w:tc>
          <w:tcPr>
            <w:tcW w:w="313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资金分配下拨情况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72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bCs/>
                <w:color w:val="auto"/>
                <w:kern w:val="0"/>
                <w:sz w:val="24"/>
                <w:szCs w:val="24"/>
                <w:highlight w:val="none"/>
                <w:lang w:val="en-US" w:eastAsia="zh-CN"/>
              </w:rPr>
            </w:pPr>
          </w:p>
        </w:tc>
        <w:tc>
          <w:tcPr>
            <w:tcW w:w="11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bCs/>
                <w:color w:val="auto"/>
                <w:kern w:val="0"/>
                <w:sz w:val="24"/>
                <w:szCs w:val="24"/>
                <w:highlight w:val="none"/>
                <w:lang w:eastAsia="zh-CN"/>
              </w:rPr>
            </w:pPr>
          </w:p>
        </w:tc>
        <w:tc>
          <w:tcPr>
            <w:tcW w:w="2266"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下拨单位</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本级</w:t>
            </w:r>
            <w:r>
              <w:rPr>
                <w:rFonts w:hint="eastAsia" w:ascii="宋体" w:hAnsi="宋体" w:eastAsia="宋体" w:cs="宋体"/>
                <w:b/>
                <w:bCs/>
                <w:color w:val="auto"/>
                <w:kern w:val="0"/>
                <w:sz w:val="24"/>
                <w:szCs w:val="24"/>
                <w:highlight w:val="none"/>
                <w:lang w:val="en-US" w:eastAsia="zh-CN"/>
              </w:rPr>
              <w:t>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27" w:type="pct"/>
            <w:vMerge w:val="restart"/>
            <w:noWrap w:val="0"/>
            <w:vAlign w:val="center"/>
          </w:tcPr>
          <w:p>
            <w:pPr>
              <w:pageBreakBefore w:val="0"/>
              <w:overflowPunct/>
              <w:topLinePunct w:val="0"/>
              <w:bidi w:val="0"/>
              <w:spacing w:line="576" w:lineRule="exact"/>
              <w:ind w:left="0" w:leftChars="0" w:firstLine="0" w:firstLineChars="0"/>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color w:val="auto"/>
                <w:sz w:val="24"/>
                <w:szCs w:val="24"/>
                <w:highlight w:val="none"/>
                <w:vertAlign w:val="baseline"/>
                <w:lang w:val="en-US" w:eastAsia="zh-CN"/>
              </w:rPr>
              <w:t>2021年</w:t>
            </w:r>
          </w:p>
        </w:tc>
        <w:tc>
          <w:tcPr>
            <w:tcW w:w="1137"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第一季度</w:t>
            </w:r>
          </w:p>
        </w:tc>
        <w:tc>
          <w:tcPr>
            <w:tcW w:w="2266"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青海宏创保安服务有限责任公司</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57.96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7" w:type="pct"/>
            <w:vMerge w:val="continue"/>
            <w:noWrap w:val="0"/>
            <w:vAlign w:val="center"/>
          </w:tcPr>
          <w:p>
            <w:pPr>
              <w:pageBreakBefore w:val="0"/>
              <w:overflowPunct/>
              <w:topLinePunct w:val="0"/>
              <w:bidi w:val="0"/>
              <w:spacing w:line="576" w:lineRule="exact"/>
              <w:ind w:left="0" w:leftChars="0"/>
              <w:jc w:val="center"/>
              <w:rPr>
                <w:rFonts w:hint="eastAsia" w:ascii="宋体" w:hAnsi="宋体" w:eastAsia="宋体" w:cs="宋体"/>
                <w:b/>
                <w:bCs/>
                <w:sz w:val="24"/>
                <w:szCs w:val="24"/>
                <w:vertAlign w:val="baseline"/>
              </w:rPr>
            </w:pPr>
          </w:p>
        </w:tc>
        <w:tc>
          <w:tcPr>
            <w:tcW w:w="1137"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第二季度</w:t>
            </w:r>
          </w:p>
        </w:tc>
        <w:tc>
          <w:tcPr>
            <w:tcW w:w="2266"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青海宏创保安服务有限责任公司</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57.96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pct"/>
            <w:vMerge w:val="continue"/>
            <w:noWrap w:val="0"/>
            <w:vAlign w:val="center"/>
          </w:tcPr>
          <w:p>
            <w:pPr>
              <w:pageBreakBefore w:val="0"/>
              <w:overflowPunct/>
              <w:topLinePunct w:val="0"/>
              <w:bidi w:val="0"/>
              <w:spacing w:line="576" w:lineRule="exact"/>
              <w:ind w:left="0" w:leftChars="0"/>
              <w:jc w:val="center"/>
              <w:rPr>
                <w:rFonts w:hint="eastAsia" w:ascii="宋体" w:hAnsi="宋体" w:eastAsia="宋体" w:cs="宋体"/>
                <w:b/>
                <w:bCs/>
                <w:sz w:val="24"/>
                <w:szCs w:val="24"/>
                <w:vertAlign w:val="baseline"/>
              </w:rPr>
            </w:pPr>
          </w:p>
        </w:tc>
        <w:tc>
          <w:tcPr>
            <w:tcW w:w="1137"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第三季度</w:t>
            </w:r>
          </w:p>
        </w:tc>
        <w:tc>
          <w:tcPr>
            <w:tcW w:w="2266"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青海宏创保安服务有限责任公司</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57.96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7" w:type="pct"/>
            <w:vMerge w:val="continue"/>
            <w:noWrap w:val="0"/>
            <w:vAlign w:val="center"/>
          </w:tcPr>
          <w:p>
            <w:pPr>
              <w:pageBreakBefore w:val="0"/>
              <w:overflowPunct/>
              <w:topLinePunct w:val="0"/>
              <w:bidi w:val="0"/>
              <w:spacing w:line="576" w:lineRule="exact"/>
              <w:ind w:left="0" w:leftChars="0"/>
              <w:jc w:val="center"/>
              <w:rPr>
                <w:rFonts w:hint="eastAsia" w:ascii="宋体" w:hAnsi="宋体" w:eastAsia="宋体" w:cs="宋体"/>
                <w:b/>
                <w:bCs/>
                <w:sz w:val="24"/>
                <w:szCs w:val="24"/>
                <w:vertAlign w:val="baseline"/>
              </w:rPr>
            </w:pPr>
          </w:p>
        </w:tc>
        <w:tc>
          <w:tcPr>
            <w:tcW w:w="1137"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第四季度</w:t>
            </w:r>
          </w:p>
        </w:tc>
        <w:tc>
          <w:tcPr>
            <w:tcW w:w="2266"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青海宏创保安服务有限责任公司</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57.96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7" w:type="pct"/>
            <w:vMerge w:val="continue"/>
            <w:noWrap w:val="0"/>
            <w:vAlign w:val="center"/>
          </w:tcPr>
          <w:p>
            <w:pPr>
              <w:pageBreakBefore w:val="0"/>
              <w:overflowPunct/>
              <w:topLinePunct w:val="0"/>
              <w:bidi w:val="0"/>
              <w:spacing w:line="576" w:lineRule="exact"/>
              <w:ind w:left="0" w:leftChars="0"/>
              <w:jc w:val="center"/>
              <w:rPr>
                <w:rFonts w:hint="eastAsia" w:ascii="宋体" w:hAnsi="宋体" w:eastAsia="宋体" w:cs="宋体"/>
                <w:b/>
                <w:bCs/>
                <w:sz w:val="24"/>
                <w:szCs w:val="24"/>
                <w:vertAlign w:val="baseline"/>
              </w:rPr>
            </w:pPr>
          </w:p>
        </w:tc>
        <w:tc>
          <w:tcPr>
            <w:tcW w:w="340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合计</w:t>
            </w:r>
          </w:p>
        </w:tc>
        <w:tc>
          <w:tcPr>
            <w:tcW w:w="867" w:type="pct"/>
            <w:noWrap w:val="0"/>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231.84</w:t>
            </w:r>
          </w:p>
        </w:tc>
      </w:tr>
    </w:tbl>
    <w:p>
      <w:pPr>
        <w:pStyle w:val="5"/>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lang w:val="en-US" w:eastAsia="zh-CN"/>
        </w:rPr>
      </w:pPr>
      <w:bookmarkStart w:id="219" w:name="_Toc25453"/>
      <w:bookmarkStart w:id="220" w:name="_Toc17677"/>
      <w:r>
        <w:rPr>
          <w:rFonts w:hint="eastAsia"/>
          <w:lang w:val="en-US" w:eastAsia="zh-CN"/>
        </w:rPr>
        <w:t>3.预算资金执行情况</w:t>
      </w:r>
      <w:bookmarkEnd w:id="219"/>
      <w:bookmarkEnd w:id="220"/>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仿宋_GB2312" w:eastAsia="仿宋_GB2312"/>
          <w:lang w:val="en-US" w:eastAsia="zh-CN"/>
        </w:rPr>
        <w:t>截至</w:t>
      </w:r>
      <w:r>
        <w:rPr>
          <w:rFonts w:hint="eastAsia" w:ascii="Times New Roman" w:hAnsi="Times New Roman" w:eastAsia="仿宋_GB2312" w:cs="Times New Roman"/>
          <w:kern w:val="2"/>
          <w:sz w:val="32"/>
          <w:szCs w:val="24"/>
          <w:lang w:val="en-US" w:eastAsia="zh-CN" w:bidi="ar-SA"/>
        </w:rPr>
        <w:t>2021年11月30日，西宁市城中区财政局向青海宏创保安服务有限责任公司拨付2021年校园保安专项资金175.49万元，由青海宏创保安服务有限责任公司负责各校园保安工资的发放。剩余资金56.35万元将在第四季度末发放，预算执行率为75.69%。</w:t>
      </w:r>
    </w:p>
    <w:p>
      <w:pPr>
        <w:pStyle w:val="4"/>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firstLine="643" w:firstLineChars="200"/>
        <w:jc w:val="both"/>
        <w:textAlignment w:val="auto"/>
        <w:outlineLvl w:val="1"/>
        <w:rPr>
          <w:rFonts w:hint="eastAsia" w:eastAsia="楷体"/>
          <w:b/>
          <w:color w:val="auto"/>
          <w:highlight w:val="none"/>
          <w:lang w:eastAsia="zh-CN"/>
        </w:rPr>
      </w:pPr>
      <w:bookmarkStart w:id="221" w:name="_Toc8633"/>
      <w:bookmarkStart w:id="222" w:name="_Toc16232"/>
      <w:bookmarkStart w:id="223" w:name="_Toc31112"/>
      <w:bookmarkStart w:id="224" w:name="_Toc26735"/>
      <w:r>
        <w:rPr>
          <w:rFonts w:hint="eastAsia" w:eastAsia="楷体"/>
          <w:b/>
          <w:color w:val="auto"/>
          <w:highlight w:val="none"/>
          <w:lang w:eastAsia="zh-CN"/>
        </w:rPr>
        <w:t>（三）项目计划内容及实施情况</w:t>
      </w:r>
      <w:bookmarkEnd w:id="221"/>
      <w:bookmarkEnd w:id="222"/>
      <w:bookmarkEnd w:id="223"/>
      <w:bookmarkEnd w:id="224"/>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lang w:val="en-US" w:eastAsia="zh-CN"/>
        </w:rPr>
      </w:pPr>
      <w:r>
        <w:rPr>
          <w:rFonts w:hint="eastAsia" w:ascii="仿宋_GB2312" w:eastAsia="仿宋_GB2312"/>
          <w:lang w:val="en-US" w:eastAsia="zh-CN"/>
        </w:rPr>
        <w:t>西宁市城中区教育局作为西宁市城中区</w:t>
      </w:r>
      <w:r>
        <w:rPr>
          <w:rFonts w:hint="eastAsia" w:ascii="Times New Roman" w:hAnsi="Times New Roman" w:eastAsia="仿宋_GB2312" w:cs="Times New Roman"/>
          <w:kern w:val="2"/>
          <w:sz w:val="32"/>
          <w:szCs w:val="24"/>
          <w:lang w:val="en-US" w:eastAsia="zh-CN" w:bidi="ar-SA"/>
        </w:rPr>
        <w:t>2021年校园保安工作主管部门负责购买保安服务，由第三方保安公司配备城中区教育系统21所学校、3所教学点、1所保育院、2所幼儿园保安84名，每名保安2300元/月，以确</w:t>
      </w:r>
      <w:r>
        <w:rPr>
          <w:rFonts w:hint="eastAsia" w:ascii="仿宋_GB2312" w:eastAsia="仿宋_GB2312"/>
          <w:lang w:val="en-US" w:eastAsia="zh-CN"/>
        </w:rPr>
        <w:t>保校园安全工作的正常开展。通过校园保安项目的实施，有效保障了城中区校园安全，减轻了学校资金压力，维持了学校学习秩序、保障了学校正常工作，提升了校园安全水平。</w:t>
      </w:r>
      <w:bookmarkStart w:id="225" w:name="_Toc26225"/>
    </w:p>
    <w:p>
      <w:pPr>
        <w:pStyle w:val="3"/>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firstLine="643" w:firstLineChars="200"/>
        <w:jc w:val="both"/>
        <w:textAlignment w:val="auto"/>
        <w:outlineLvl w:val="1"/>
        <w:rPr>
          <w:rFonts w:hint="eastAsia" w:ascii="黑体" w:hAnsi="黑体" w:eastAsia="黑体" w:cs="黑体"/>
          <w:b/>
          <w:bCs/>
          <w:color w:val="auto"/>
          <w:sz w:val="32"/>
          <w:szCs w:val="32"/>
          <w:highlight w:val="none"/>
          <w:lang w:val="en-US" w:eastAsia="zh-CN"/>
        </w:rPr>
      </w:pPr>
      <w:bookmarkStart w:id="226" w:name="_Toc32523"/>
      <w:bookmarkStart w:id="227" w:name="_Toc21507"/>
      <w:bookmarkStart w:id="228" w:name="_Toc31431"/>
      <w:r>
        <w:rPr>
          <w:rFonts w:hint="eastAsia" w:ascii="黑体" w:hAnsi="黑体" w:eastAsia="黑体" w:cs="黑体"/>
          <w:b/>
          <w:bCs/>
          <w:color w:val="auto"/>
          <w:sz w:val="32"/>
          <w:szCs w:val="32"/>
          <w:highlight w:val="none"/>
          <w:lang w:val="en-US" w:eastAsia="zh-CN"/>
        </w:rPr>
        <w:t>二、项目绩效目标</w:t>
      </w:r>
      <w:bookmarkEnd w:id="225"/>
      <w:bookmarkEnd w:id="226"/>
      <w:bookmarkEnd w:id="227"/>
      <w:bookmarkEnd w:id="228"/>
    </w:p>
    <w:p>
      <w:pPr>
        <w:pStyle w:val="4"/>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仿宋_GB2312" w:hAnsi="仿宋_GB2312" w:eastAsia="楷体" w:cs="Times New Roman"/>
          <w:b/>
          <w:bCs w:val="0"/>
          <w:color w:val="auto"/>
          <w:kern w:val="2"/>
          <w:sz w:val="32"/>
          <w:szCs w:val="24"/>
          <w:highlight w:val="none"/>
          <w:lang w:val="en-US" w:eastAsia="zh-CN" w:bidi="ar-SA"/>
        </w:rPr>
      </w:pPr>
      <w:bookmarkStart w:id="229" w:name="_Toc28266"/>
      <w:bookmarkStart w:id="230" w:name="_Toc14998"/>
      <w:bookmarkStart w:id="231" w:name="_Toc22657"/>
      <w:bookmarkStart w:id="232" w:name="_Toc21779"/>
      <w:r>
        <w:rPr>
          <w:rFonts w:hint="eastAsia" w:ascii="仿宋_GB2312" w:hAnsi="仿宋_GB2312" w:eastAsia="楷体" w:cs="Times New Roman"/>
          <w:b/>
          <w:bCs w:val="0"/>
          <w:color w:val="auto"/>
          <w:kern w:val="2"/>
          <w:sz w:val="32"/>
          <w:szCs w:val="24"/>
          <w:highlight w:val="none"/>
          <w:lang w:val="en-US" w:eastAsia="zh-CN" w:bidi="ar-SA"/>
        </w:rPr>
        <w:t>（一）项目总目标</w:t>
      </w:r>
      <w:bookmarkEnd w:id="229"/>
      <w:bookmarkEnd w:id="230"/>
      <w:bookmarkEnd w:id="231"/>
      <w:bookmarkEnd w:id="232"/>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仿宋_GB2312" w:hAnsi="仿宋_GB2312" w:eastAsia="仿宋_GB2312" w:cs="仿宋_GB2312"/>
          <w:b w:val="0"/>
          <w:color w:val="auto"/>
          <w:kern w:val="2"/>
          <w:sz w:val="32"/>
          <w:szCs w:val="32"/>
          <w:highlight w:val="none"/>
          <w:lang w:val="en-US" w:eastAsia="zh-CN" w:bidi="ar-SA"/>
        </w:rPr>
      </w:pPr>
      <w:r>
        <w:rPr>
          <w:rFonts w:hint="eastAsia" w:ascii="Times New Roman" w:hAnsi="Times New Roman" w:eastAsia="仿宋_GB2312" w:cs="Times New Roman"/>
          <w:kern w:val="2"/>
          <w:sz w:val="32"/>
          <w:szCs w:val="24"/>
          <w:lang w:val="en-US" w:eastAsia="zh-CN" w:bidi="ar-SA"/>
        </w:rPr>
        <w:t>2020年11月，城中区教育局向财政局申请部门预算，其中包括2021-2025年购买保安服务1159.20万元，231.84万元/年。2021年各学校配备保安84名，</w:t>
      </w:r>
      <w:r>
        <w:rPr>
          <w:rFonts w:hint="eastAsia" w:cs="仿宋_GB2312"/>
          <w:b w:val="0"/>
          <w:color w:val="auto"/>
          <w:kern w:val="2"/>
          <w:sz w:val="32"/>
          <w:szCs w:val="32"/>
          <w:highlight w:val="none"/>
          <w:lang w:val="en-US" w:eastAsia="zh-CN" w:bidi="ar-SA"/>
        </w:rPr>
        <w:t>各保安</w:t>
      </w:r>
      <w:r>
        <w:rPr>
          <w:rFonts w:hint="eastAsia" w:ascii="仿宋_GB2312" w:hAnsi="仿宋_GB2312" w:eastAsia="仿宋_GB2312" w:cs="仿宋_GB2312"/>
          <w:b w:val="0"/>
          <w:color w:val="auto"/>
          <w:kern w:val="2"/>
          <w:sz w:val="32"/>
          <w:szCs w:val="32"/>
          <w:highlight w:val="none"/>
          <w:lang w:val="en-US" w:eastAsia="zh-CN" w:bidi="ar-SA"/>
        </w:rPr>
        <w:t>负责城中区</w:t>
      </w:r>
      <w:r>
        <w:rPr>
          <w:rFonts w:hint="eastAsia" w:cs="仿宋_GB2312"/>
          <w:b w:val="0"/>
          <w:color w:val="auto"/>
          <w:kern w:val="2"/>
          <w:sz w:val="32"/>
          <w:szCs w:val="32"/>
          <w:highlight w:val="none"/>
          <w:lang w:val="en-US" w:eastAsia="zh-CN" w:bidi="ar-SA"/>
        </w:rPr>
        <w:t>学校</w:t>
      </w:r>
      <w:r>
        <w:rPr>
          <w:rFonts w:hint="eastAsia" w:ascii="仿宋_GB2312" w:hAnsi="仿宋_GB2312" w:eastAsia="仿宋_GB2312" w:cs="仿宋_GB2312"/>
          <w:b w:val="0"/>
          <w:color w:val="auto"/>
          <w:kern w:val="2"/>
          <w:sz w:val="32"/>
          <w:szCs w:val="32"/>
          <w:highlight w:val="none"/>
          <w:lang w:val="en-US" w:eastAsia="zh-CN" w:bidi="ar-SA"/>
        </w:rPr>
        <w:t>教学楼、食堂、院内设施、设备、车辆、消防等</w:t>
      </w:r>
      <w:r>
        <w:rPr>
          <w:rFonts w:hint="eastAsia" w:cs="仿宋_GB2312"/>
          <w:b w:val="0"/>
          <w:color w:val="auto"/>
          <w:kern w:val="2"/>
          <w:sz w:val="32"/>
          <w:szCs w:val="32"/>
          <w:highlight w:val="none"/>
          <w:lang w:val="en-US" w:eastAsia="zh-CN" w:bidi="ar-SA"/>
        </w:rPr>
        <w:t>的</w:t>
      </w:r>
      <w:r>
        <w:rPr>
          <w:rFonts w:hint="eastAsia" w:ascii="仿宋_GB2312" w:hAnsi="仿宋_GB2312" w:eastAsia="仿宋_GB2312" w:cs="仿宋_GB2312"/>
          <w:b w:val="0"/>
          <w:color w:val="auto"/>
          <w:kern w:val="2"/>
          <w:sz w:val="32"/>
          <w:szCs w:val="32"/>
          <w:highlight w:val="none"/>
          <w:lang w:val="en-US" w:eastAsia="zh-CN" w:bidi="ar-SA"/>
        </w:rPr>
        <w:t>日常秩序维护</w:t>
      </w:r>
      <w:r>
        <w:rPr>
          <w:rFonts w:hint="eastAsia" w:cs="仿宋_GB2312"/>
          <w:b w:val="0"/>
          <w:color w:val="auto"/>
          <w:kern w:val="2"/>
          <w:sz w:val="32"/>
          <w:szCs w:val="32"/>
          <w:highlight w:val="none"/>
          <w:lang w:val="en-US" w:eastAsia="zh-CN" w:bidi="ar-SA"/>
        </w:rPr>
        <w:t>，并</w:t>
      </w:r>
      <w:r>
        <w:rPr>
          <w:rFonts w:hint="eastAsia" w:ascii="仿宋_GB2312" w:hAnsi="仿宋_GB2312" w:eastAsia="仿宋_GB2312" w:cs="仿宋_GB2312"/>
          <w:b w:val="0"/>
          <w:color w:val="auto"/>
          <w:kern w:val="2"/>
          <w:sz w:val="32"/>
          <w:szCs w:val="32"/>
          <w:highlight w:val="none"/>
          <w:lang w:val="en-US" w:eastAsia="zh-CN" w:bidi="ar-SA"/>
        </w:rPr>
        <w:t>防范突发事件的</w:t>
      </w:r>
      <w:r>
        <w:rPr>
          <w:rFonts w:hint="eastAsia" w:cs="仿宋_GB2312"/>
          <w:b w:val="0"/>
          <w:color w:val="auto"/>
          <w:kern w:val="2"/>
          <w:sz w:val="32"/>
          <w:szCs w:val="32"/>
          <w:highlight w:val="none"/>
          <w:lang w:val="en-US" w:eastAsia="zh-CN" w:bidi="ar-SA"/>
        </w:rPr>
        <w:t>发生</w:t>
      </w:r>
      <w:r>
        <w:rPr>
          <w:rFonts w:hint="eastAsia" w:ascii="仿宋_GB2312" w:hAnsi="仿宋_GB2312" w:eastAsia="仿宋_GB2312" w:cs="仿宋_GB2312"/>
          <w:b w:val="0"/>
          <w:color w:val="auto"/>
          <w:kern w:val="2"/>
          <w:sz w:val="32"/>
          <w:szCs w:val="32"/>
          <w:highlight w:val="none"/>
          <w:lang w:val="en-US" w:eastAsia="zh-CN" w:bidi="ar-SA"/>
        </w:rPr>
        <w:t>。</w:t>
      </w:r>
    </w:p>
    <w:p>
      <w:pPr>
        <w:pStyle w:val="4"/>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仿宋_GB2312" w:hAnsi="仿宋_GB2312" w:eastAsia="楷体" w:cs="Times New Roman"/>
          <w:b/>
          <w:bCs w:val="0"/>
          <w:color w:val="auto"/>
          <w:kern w:val="2"/>
          <w:sz w:val="32"/>
          <w:szCs w:val="24"/>
          <w:highlight w:val="none"/>
          <w:lang w:val="en-US" w:eastAsia="zh-CN" w:bidi="ar-SA"/>
        </w:rPr>
      </w:pPr>
      <w:bookmarkStart w:id="233" w:name="_Toc18101"/>
      <w:bookmarkStart w:id="234" w:name="_Toc8801"/>
      <w:bookmarkStart w:id="235" w:name="_Toc23595"/>
      <w:bookmarkStart w:id="236" w:name="_Toc29155"/>
      <w:r>
        <w:rPr>
          <w:rFonts w:hint="eastAsia" w:ascii="仿宋_GB2312" w:hAnsi="仿宋_GB2312" w:eastAsia="楷体" w:cs="Times New Roman"/>
          <w:b/>
          <w:bCs w:val="0"/>
          <w:color w:val="auto"/>
          <w:kern w:val="2"/>
          <w:sz w:val="32"/>
          <w:szCs w:val="24"/>
          <w:highlight w:val="none"/>
          <w:lang w:val="en-US" w:eastAsia="zh-CN" w:bidi="ar-SA"/>
        </w:rPr>
        <w:t>（二）项目年度绩效目标</w:t>
      </w:r>
      <w:bookmarkEnd w:id="233"/>
      <w:bookmarkEnd w:id="234"/>
      <w:bookmarkEnd w:id="235"/>
      <w:bookmarkEnd w:id="236"/>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仿宋_GB2312" w:hAnsi="仿宋_GB2312" w:eastAsia="仿宋_GB2312" w:cs="仿宋_GB2312"/>
          <w:b w:val="0"/>
          <w:color w:val="auto"/>
          <w:kern w:val="2"/>
          <w:sz w:val="32"/>
          <w:szCs w:val="32"/>
          <w:highlight w:val="none"/>
          <w:lang w:val="en-US" w:eastAsia="zh-CN" w:bidi="ar-SA"/>
        </w:rPr>
      </w:pPr>
      <w:bookmarkStart w:id="237" w:name="_Toc28951"/>
      <w:r>
        <w:rPr>
          <w:rFonts w:hint="eastAsia" w:ascii="Times New Roman" w:hAnsi="Times New Roman" w:eastAsia="仿宋_GB2312" w:cs="Times New Roman"/>
          <w:kern w:val="2"/>
          <w:sz w:val="32"/>
          <w:szCs w:val="24"/>
          <w:lang w:val="en-US" w:eastAsia="zh-CN" w:bidi="ar-SA"/>
        </w:rPr>
        <w:t>2021年计划向各学校安置保安84</w:t>
      </w:r>
      <w:r>
        <w:rPr>
          <w:rFonts w:hint="eastAsia" w:ascii="仿宋_GB2312" w:hAnsi="仿宋_GB2312" w:eastAsia="仿宋_GB2312" w:cs="仿宋_GB2312"/>
          <w:b w:val="0"/>
          <w:color w:val="auto"/>
          <w:kern w:val="2"/>
          <w:sz w:val="32"/>
          <w:szCs w:val="32"/>
          <w:highlight w:val="none"/>
          <w:lang w:val="en-US" w:eastAsia="zh-CN" w:bidi="ar-SA"/>
        </w:rPr>
        <w:t>名；保安公司邀请城中区公安分局定期对派遣到各学校的保安人员进行培训，各学校保安开展夜间巡查，对出入学校区域的人员证件、出入的车辆和物品进行登记；</w:t>
      </w:r>
      <w:r>
        <w:rPr>
          <w:rFonts w:hint="eastAsia" w:cs="仿宋_GB2312"/>
          <w:b w:val="0"/>
          <w:color w:val="auto"/>
          <w:kern w:val="2"/>
          <w:sz w:val="32"/>
          <w:szCs w:val="32"/>
          <w:highlight w:val="none"/>
          <w:lang w:val="en-US" w:eastAsia="zh-CN" w:bidi="ar-SA"/>
        </w:rPr>
        <w:t>保安</w:t>
      </w:r>
      <w:r>
        <w:rPr>
          <w:rFonts w:hint="eastAsia" w:ascii="仿宋_GB2312" w:hAnsi="仿宋_GB2312" w:eastAsia="仿宋_GB2312" w:cs="仿宋_GB2312"/>
          <w:b w:val="0"/>
          <w:color w:val="auto"/>
          <w:kern w:val="2"/>
          <w:sz w:val="32"/>
          <w:szCs w:val="32"/>
          <w:highlight w:val="none"/>
          <w:lang w:val="en-US" w:eastAsia="zh-CN" w:bidi="ar-SA"/>
        </w:rPr>
        <w:t>工资按标准足额发放；工资发放完成及时率</w:t>
      </w:r>
      <w:r>
        <w:rPr>
          <w:rFonts w:hint="eastAsia" w:ascii="Times New Roman" w:hAnsi="Times New Roman" w:eastAsia="仿宋_GB2312" w:cs="Times New Roman"/>
          <w:kern w:val="2"/>
          <w:sz w:val="32"/>
          <w:szCs w:val="24"/>
          <w:lang w:val="en-US" w:eastAsia="zh-CN" w:bidi="ar-SA"/>
        </w:rPr>
        <w:t>为100%；</w:t>
      </w:r>
      <w:r>
        <w:rPr>
          <w:rFonts w:hint="eastAsia" w:ascii="仿宋_GB2312" w:hAnsi="仿宋_GB2312" w:eastAsia="仿宋_GB2312" w:cs="仿宋_GB2312"/>
          <w:b w:val="0"/>
          <w:color w:val="auto"/>
          <w:kern w:val="2"/>
          <w:sz w:val="32"/>
          <w:szCs w:val="32"/>
          <w:highlight w:val="none"/>
          <w:lang w:val="en-US" w:eastAsia="zh-CN" w:bidi="ar-SA"/>
        </w:rPr>
        <w:t>校园保安对于犯罪分子具有一定的防治作用，维持学校学习秩序，保障学校正常工作，提升校园安全水平，维护校园周边良好的治安秩序；解决当地富余劳动力就业问题，为当地部分居民提供长期、稳定的就业机会；校园师生对校园保安提供的相关服务满意率</w:t>
      </w:r>
      <w:r>
        <w:rPr>
          <w:rFonts w:hint="eastAsia" w:ascii="Times New Roman" w:hAnsi="Times New Roman" w:eastAsia="仿宋_GB2312" w:cs="Times New Roman"/>
          <w:kern w:val="2"/>
          <w:sz w:val="32"/>
          <w:szCs w:val="24"/>
          <w:lang w:val="en-US" w:eastAsia="zh-CN" w:bidi="ar-SA"/>
        </w:rPr>
        <w:t>≥95%。</w:t>
      </w:r>
    </w:p>
    <w:p>
      <w:pPr>
        <w:pStyle w:val="3"/>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firstLine="643" w:firstLineChars="200"/>
        <w:jc w:val="both"/>
        <w:textAlignment w:val="auto"/>
        <w:outlineLvl w:val="1"/>
        <w:rPr>
          <w:rFonts w:hint="eastAsia" w:ascii="黑体" w:hAnsi="黑体" w:eastAsia="黑体" w:cs="黑体"/>
          <w:b/>
          <w:bCs/>
          <w:color w:val="auto"/>
          <w:sz w:val="32"/>
          <w:szCs w:val="32"/>
          <w:highlight w:val="none"/>
          <w:lang w:val="en-US" w:eastAsia="zh-CN"/>
        </w:rPr>
      </w:pPr>
      <w:bookmarkStart w:id="238" w:name="_Toc30433"/>
      <w:bookmarkStart w:id="239" w:name="_Toc7397"/>
      <w:bookmarkStart w:id="240" w:name="_Toc30446"/>
      <w:bookmarkStart w:id="241" w:name="_Toc14666"/>
      <w:r>
        <w:rPr>
          <w:rFonts w:hint="eastAsia" w:ascii="黑体" w:hAnsi="黑体" w:eastAsia="黑体" w:cs="黑体"/>
          <w:b/>
          <w:bCs/>
          <w:color w:val="auto"/>
          <w:sz w:val="32"/>
          <w:szCs w:val="32"/>
          <w:highlight w:val="none"/>
          <w:lang w:val="en-US" w:eastAsia="zh-CN"/>
        </w:rPr>
        <w:fldChar w:fldCharType="begin"/>
      </w:r>
      <w:r>
        <w:rPr>
          <w:rFonts w:hint="eastAsia" w:ascii="黑体" w:hAnsi="黑体" w:eastAsia="黑体" w:cs="黑体"/>
          <w:b/>
          <w:bCs/>
          <w:color w:val="auto"/>
          <w:sz w:val="32"/>
          <w:szCs w:val="32"/>
          <w:highlight w:val="none"/>
          <w:lang w:val="en-US" w:eastAsia="zh-CN"/>
        </w:rPr>
        <w:instrText xml:space="preserve"> HYPERLINK \l _Toc8441 </w:instrText>
      </w:r>
      <w:r>
        <w:rPr>
          <w:rFonts w:hint="eastAsia" w:ascii="黑体" w:hAnsi="黑体" w:eastAsia="黑体" w:cs="黑体"/>
          <w:b/>
          <w:bCs/>
          <w:color w:val="auto"/>
          <w:sz w:val="32"/>
          <w:szCs w:val="32"/>
          <w:highlight w:val="none"/>
          <w:lang w:val="en-US" w:eastAsia="zh-CN"/>
        </w:rPr>
        <w:fldChar w:fldCharType="separate"/>
      </w:r>
      <w:r>
        <w:rPr>
          <w:rFonts w:hint="eastAsia" w:cs="黑体"/>
          <w:b/>
          <w:bCs/>
          <w:color w:val="auto"/>
          <w:sz w:val="32"/>
          <w:szCs w:val="32"/>
          <w:highlight w:val="none"/>
          <w:lang w:val="en-US" w:eastAsia="zh-CN"/>
        </w:rPr>
        <w:t>三</w:t>
      </w:r>
      <w:r>
        <w:rPr>
          <w:rFonts w:hint="eastAsia" w:ascii="黑体" w:hAnsi="黑体" w:eastAsia="黑体" w:cs="黑体"/>
          <w:b/>
          <w:bCs/>
          <w:color w:val="auto"/>
          <w:sz w:val="32"/>
          <w:szCs w:val="32"/>
          <w:highlight w:val="none"/>
          <w:lang w:val="en-US" w:eastAsia="zh-CN"/>
        </w:rPr>
        <w:t>、评价</w:t>
      </w:r>
      <w:r>
        <w:rPr>
          <w:rFonts w:hint="eastAsia" w:cs="黑体"/>
          <w:b/>
          <w:bCs/>
          <w:color w:val="auto"/>
          <w:sz w:val="32"/>
          <w:szCs w:val="32"/>
          <w:highlight w:val="none"/>
          <w:lang w:val="en-US" w:eastAsia="zh-CN"/>
        </w:rPr>
        <w:t>基本</w:t>
      </w:r>
      <w:r>
        <w:rPr>
          <w:rFonts w:hint="eastAsia" w:ascii="黑体" w:hAnsi="黑体" w:eastAsia="黑体" w:cs="黑体"/>
          <w:b/>
          <w:bCs/>
          <w:color w:val="auto"/>
          <w:sz w:val="32"/>
          <w:szCs w:val="32"/>
          <w:highlight w:val="none"/>
          <w:lang w:val="en-US" w:eastAsia="zh-CN"/>
        </w:rPr>
        <w:t>情况</w:t>
      </w:r>
      <w:r>
        <w:rPr>
          <w:rFonts w:hint="eastAsia" w:ascii="黑体" w:hAnsi="黑体" w:eastAsia="黑体" w:cs="黑体"/>
          <w:b/>
          <w:bCs/>
          <w:color w:val="auto"/>
          <w:sz w:val="32"/>
          <w:szCs w:val="32"/>
          <w:highlight w:val="none"/>
          <w:lang w:val="en-US" w:eastAsia="zh-CN"/>
        </w:rPr>
        <w:fldChar w:fldCharType="end"/>
      </w:r>
      <w:bookmarkEnd w:id="237"/>
      <w:bookmarkEnd w:id="238"/>
      <w:bookmarkEnd w:id="239"/>
      <w:bookmarkEnd w:id="240"/>
      <w:bookmarkEnd w:id="241"/>
    </w:p>
    <w:p>
      <w:pPr>
        <w:pStyle w:val="4"/>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楷体" w:hAnsi="楷体" w:eastAsia="楷体" w:cs="楷体"/>
          <w:color w:val="auto"/>
          <w:highlight w:val="none"/>
          <w:lang w:val="en-US" w:eastAsia="zh-CN"/>
        </w:rPr>
      </w:pPr>
      <w:bookmarkStart w:id="242" w:name="_Toc24104"/>
      <w:bookmarkStart w:id="243" w:name="_Toc32319"/>
      <w:bookmarkStart w:id="244" w:name="_Toc21534"/>
      <w:bookmarkStart w:id="245" w:name="_Toc27086"/>
      <w:bookmarkStart w:id="246" w:name="_Toc26308"/>
      <w:r>
        <w:rPr>
          <w:rFonts w:hint="eastAsia" w:ascii="楷体" w:hAnsi="楷体" w:eastAsia="楷体" w:cs="楷体"/>
          <w:color w:val="auto"/>
          <w:highlight w:val="none"/>
          <w:lang w:val="en-US" w:eastAsia="zh-CN"/>
        </w:rPr>
        <w:fldChar w:fldCharType="begin"/>
      </w:r>
      <w:r>
        <w:rPr>
          <w:rFonts w:hint="eastAsia" w:ascii="楷体" w:hAnsi="楷体" w:eastAsia="楷体" w:cs="楷体"/>
          <w:color w:val="auto"/>
          <w:highlight w:val="none"/>
          <w:lang w:val="en-US" w:eastAsia="zh-CN"/>
        </w:rPr>
        <w:instrText xml:space="preserve"> HYPERLINK \l _Toc14927 </w:instrText>
      </w:r>
      <w:r>
        <w:rPr>
          <w:rFonts w:hint="eastAsia" w:ascii="楷体" w:hAnsi="楷体" w:eastAsia="楷体" w:cs="楷体"/>
          <w:color w:val="auto"/>
          <w:highlight w:val="none"/>
          <w:lang w:val="en-US" w:eastAsia="zh-CN"/>
        </w:rPr>
        <w:fldChar w:fldCharType="separate"/>
      </w:r>
      <w:r>
        <w:rPr>
          <w:rFonts w:hint="eastAsia" w:ascii="楷体" w:hAnsi="楷体" w:eastAsia="楷体" w:cs="楷体"/>
          <w:color w:val="auto"/>
          <w:highlight w:val="none"/>
          <w:lang w:val="en-US" w:eastAsia="zh-CN"/>
        </w:rPr>
        <w:t>（一）评价目的</w:t>
      </w:r>
      <w:bookmarkEnd w:id="242"/>
      <w:bookmarkEnd w:id="243"/>
      <w:bookmarkEnd w:id="244"/>
      <w:bookmarkEnd w:id="245"/>
      <w:bookmarkEnd w:id="246"/>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auto"/>
        <w:outlineLvl w:val="9"/>
        <w:rPr>
          <w:rFonts w:hint="eastAsia" w:ascii="仿宋_GB2312" w:hAnsi="仿宋_GB2312" w:eastAsia="仿宋_GB2312" w:cs="仿宋_GB2312"/>
          <w:b w:val="0"/>
          <w:color w:val="auto"/>
          <w:kern w:val="2"/>
          <w:sz w:val="32"/>
          <w:szCs w:val="32"/>
          <w:highlight w:val="none"/>
          <w:lang w:val="en-US" w:eastAsia="zh-CN" w:bidi="ar-SA"/>
        </w:rPr>
      </w:pPr>
      <w:r>
        <w:rPr>
          <w:rFonts w:hint="eastAsia" w:ascii="楷体" w:hAnsi="楷体" w:eastAsia="楷体" w:cs="楷体"/>
          <w:color w:val="auto"/>
          <w:highlight w:val="none"/>
          <w:lang w:val="en-US" w:eastAsia="zh-CN"/>
        </w:rPr>
        <w:fldChar w:fldCharType="end"/>
      </w:r>
      <w:r>
        <w:rPr>
          <w:rFonts w:hint="eastAsia" w:ascii="仿宋_GB2312" w:hAnsi="仿宋_GB2312" w:eastAsia="仿宋_GB2312" w:cs="仿宋_GB2312"/>
          <w:b w:val="0"/>
          <w:color w:val="auto"/>
          <w:kern w:val="2"/>
          <w:sz w:val="32"/>
          <w:szCs w:val="32"/>
          <w:highlight w:val="none"/>
          <w:lang w:val="en-US" w:eastAsia="zh-CN" w:bidi="ar-SA"/>
        </w:rPr>
        <w:t>绩效评价工作以结果为导向，采用绩效评价方法，运用量化指标从决策-</w:t>
      </w:r>
      <w:r>
        <w:rPr>
          <w:rFonts w:hint="eastAsia" w:cs="仿宋_GB2312"/>
          <w:b w:val="0"/>
          <w:color w:val="auto"/>
          <w:kern w:val="2"/>
          <w:sz w:val="32"/>
          <w:szCs w:val="32"/>
          <w:highlight w:val="none"/>
          <w:lang w:val="en-US" w:eastAsia="zh-CN" w:bidi="ar-SA"/>
        </w:rPr>
        <w:t>过程</w:t>
      </w:r>
      <w:r>
        <w:rPr>
          <w:rFonts w:hint="eastAsia" w:ascii="仿宋_GB2312" w:hAnsi="仿宋_GB2312" w:eastAsia="仿宋_GB2312" w:cs="仿宋_GB2312"/>
          <w:b w:val="0"/>
          <w:color w:val="auto"/>
          <w:kern w:val="2"/>
          <w:sz w:val="32"/>
          <w:szCs w:val="32"/>
          <w:highlight w:val="none"/>
          <w:lang w:val="en-US" w:eastAsia="zh-CN" w:bidi="ar-SA"/>
        </w:rPr>
        <w:t>-产出-效</w:t>
      </w:r>
      <w:r>
        <w:rPr>
          <w:rFonts w:hint="eastAsia" w:cs="仿宋_GB2312"/>
          <w:b w:val="0"/>
          <w:color w:val="auto"/>
          <w:kern w:val="2"/>
          <w:sz w:val="32"/>
          <w:szCs w:val="32"/>
          <w:highlight w:val="none"/>
          <w:lang w:val="en-US" w:eastAsia="zh-CN" w:bidi="ar-SA"/>
        </w:rPr>
        <w:t>益</w:t>
      </w:r>
      <w:r>
        <w:rPr>
          <w:rFonts w:hint="eastAsia" w:ascii="仿宋_GB2312" w:hAnsi="仿宋_GB2312" w:eastAsia="仿宋_GB2312" w:cs="仿宋_GB2312"/>
          <w:b w:val="0"/>
          <w:color w:val="auto"/>
          <w:kern w:val="2"/>
          <w:sz w:val="32"/>
          <w:szCs w:val="32"/>
          <w:highlight w:val="none"/>
          <w:lang w:val="en-US" w:eastAsia="zh-CN" w:bidi="ar-SA"/>
        </w:rPr>
        <w:t>四个维度对</w:t>
      </w:r>
      <w:r>
        <w:rPr>
          <w:rFonts w:hint="eastAsia" w:cs="仿宋_GB2312"/>
          <w:b w:val="0"/>
          <w:color w:val="auto"/>
          <w:kern w:val="2"/>
          <w:sz w:val="32"/>
          <w:szCs w:val="32"/>
          <w:highlight w:val="none"/>
          <w:lang w:val="en-US" w:eastAsia="zh-CN" w:bidi="ar-SA"/>
        </w:rPr>
        <w:t>西宁市城中区</w:t>
      </w:r>
      <w:r>
        <w:rPr>
          <w:rFonts w:hint="eastAsia" w:ascii="Times New Roman" w:hAnsi="Times New Roman" w:eastAsia="仿宋_GB2312" w:cs="Times New Roman"/>
          <w:kern w:val="2"/>
          <w:sz w:val="32"/>
          <w:szCs w:val="24"/>
          <w:lang w:val="en-US" w:eastAsia="zh-CN" w:bidi="ar-SA"/>
        </w:rPr>
        <w:t>2021年</w:t>
      </w:r>
      <w:r>
        <w:rPr>
          <w:rFonts w:hint="eastAsia" w:cs="仿宋_GB2312"/>
          <w:b w:val="0"/>
          <w:color w:val="auto"/>
          <w:kern w:val="2"/>
          <w:sz w:val="32"/>
          <w:szCs w:val="32"/>
          <w:highlight w:val="none"/>
          <w:lang w:val="en-US" w:eastAsia="zh-CN" w:bidi="ar-SA"/>
        </w:rPr>
        <w:t>校园保安专项资金</w:t>
      </w:r>
      <w:r>
        <w:rPr>
          <w:rFonts w:hint="eastAsia" w:ascii="仿宋_GB2312" w:hAnsi="仿宋_GB2312" w:eastAsia="仿宋_GB2312" w:cs="仿宋_GB2312"/>
          <w:b w:val="0"/>
          <w:color w:val="auto"/>
          <w:kern w:val="2"/>
          <w:sz w:val="32"/>
          <w:szCs w:val="32"/>
          <w:highlight w:val="none"/>
          <w:lang w:val="en-US" w:eastAsia="zh-CN" w:bidi="ar-SA"/>
        </w:rPr>
        <w:t>的</w:t>
      </w:r>
      <w:r>
        <w:rPr>
          <w:rFonts w:hint="eastAsia" w:cs="仿宋_GB2312"/>
          <w:b w:val="0"/>
          <w:color w:val="auto"/>
          <w:kern w:val="2"/>
          <w:sz w:val="32"/>
          <w:szCs w:val="32"/>
          <w:highlight w:val="none"/>
          <w:lang w:val="en-US" w:eastAsia="zh-CN" w:bidi="ar-SA"/>
        </w:rPr>
        <w:t>支出</w:t>
      </w:r>
      <w:r>
        <w:rPr>
          <w:rFonts w:hint="eastAsia" w:ascii="仿宋_GB2312" w:hAnsi="仿宋_GB2312" w:eastAsia="仿宋_GB2312" w:cs="仿宋_GB2312"/>
          <w:b w:val="0"/>
          <w:color w:val="auto"/>
          <w:kern w:val="2"/>
          <w:sz w:val="32"/>
          <w:szCs w:val="32"/>
          <w:highlight w:val="none"/>
          <w:lang w:val="en-US" w:eastAsia="zh-CN" w:bidi="ar-SA"/>
        </w:rPr>
        <w:t>效果进行评价，全面反映资金支出的效率和效益。对项目实施情况、资金使用情况、管理情况以及实施效果进行评价，发现项目实施中存在的问题和不足，并针对存在的问题和不足提出具体建议，以提高资金的管理水平，保障资金支出的效益，进而科学评价资金的使用成效，为今后规范项目管理和财政资金安排提供参考依据。同时以全面推进建立“预算编制有目标、预算执行有监控、预算完成有评价、评价结果有反馈、反馈结果有应用”的预算绩效管理机制。</w:t>
      </w:r>
    </w:p>
    <w:p>
      <w:pPr>
        <w:pStyle w:val="4"/>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楷体" w:hAnsi="楷体" w:eastAsia="楷体" w:cs="楷体"/>
          <w:color w:val="auto"/>
          <w:highlight w:val="none"/>
          <w:lang w:eastAsia="zh-CN"/>
        </w:rPr>
      </w:pPr>
      <w:bookmarkStart w:id="247" w:name="_Toc27598"/>
      <w:bookmarkStart w:id="248" w:name="_Toc6176"/>
      <w:bookmarkStart w:id="249" w:name="_Toc17625"/>
      <w:bookmarkStart w:id="250" w:name="_Toc27235"/>
      <w:bookmarkStart w:id="251" w:name="_Toc31671"/>
      <w:r>
        <w:rPr>
          <w:rFonts w:hint="eastAsia" w:ascii="楷体" w:hAnsi="楷体" w:eastAsia="楷体" w:cs="楷体"/>
          <w:color w:val="auto"/>
          <w:highlight w:val="none"/>
          <w:lang w:val="en-US" w:eastAsia="zh-CN"/>
        </w:rPr>
        <w:fldChar w:fldCharType="begin"/>
      </w:r>
      <w:r>
        <w:rPr>
          <w:rFonts w:hint="eastAsia" w:ascii="楷体" w:hAnsi="楷体" w:eastAsia="楷体" w:cs="楷体"/>
          <w:color w:val="auto"/>
          <w:highlight w:val="none"/>
          <w:lang w:val="en-US" w:eastAsia="zh-CN"/>
        </w:rPr>
        <w:instrText xml:space="preserve"> HYPERLINK \l _Toc22735 </w:instrText>
      </w:r>
      <w:r>
        <w:rPr>
          <w:rFonts w:hint="eastAsia" w:ascii="楷体" w:hAnsi="楷体" w:eastAsia="楷体" w:cs="楷体"/>
          <w:color w:val="auto"/>
          <w:highlight w:val="none"/>
          <w:lang w:val="en-US" w:eastAsia="zh-CN"/>
        </w:rPr>
        <w:fldChar w:fldCharType="separate"/>
      </w:r>
      <w:r>
        <w:rPr>
          <w:rFonts w:hint="eastAsia" w:ascii="楷体" w:hAnsi="楷体" w:eastAsia="楷体" w:cs="楷体"/>
          <w:color w:val="auto"/>
          <w:highlight w:val="none"/>
          <w:lang w:val="en-US" w:eastAsia="zh-CN"/>
        </w:rPr>
        <w:t>（二）评价对象</w:t>
      </w:r>
      <w:r>
        <w:rPr>
          <w:rFonts w:hint="eastAsia" w:ascii="楷体" w:hAnsi="楷体" w:eastAsia="楷体" w:cs="楷体"/>
          <w:color w:val="auto"/>
          <w:highlight w:val="none"/>
          <w:lang w:val="en-US" w:eastAsia="zh-CN"/>
        </w:rPr>
        <w:fldChar w:fldCharType="end"/>
      </w:r>
      <w:bookmarkEnd w:id="247"/>
      <w:r>
        <w:rPr>
          <w:rFonts w:hint="eastAsia" w:ascii="楷体" w:hAnsi="楷体" w:eastAsia="楷体" w:cs="楷体"/>
          <w:color w:val="auto"/>
          <w:highlight w:val="none"/>
          <w:lang w:val="en-US" w:eastAsia="zh-CN"/>
        </w:rPr>
        <w:t>和范围</w:t>
      </w:r>
      <w:bookmarkEnd w:id="248"/>
      <w:bookmarkEnd w:id="249"/>
      <w:bookmarkEnd w:id="250"/>
      <w:bookmarkEnd w:id="251"/>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仿宋_GB2312" w:eastAsia="仿宋_GB2312"/>
          <w:b w:val="0"/>
          <w:bCs/>
          <w:color w:val="auto"/>
          <w:sz w:val="32"/>
          <w:szCs w:val="32"/>
          <w:highlight w:val="none"/>
          <w:lang w:val="en-US" w:eastAsia="zh-CN"/>
        </w:rPr>
        <w:t>本次绩效评价对象为西宁市城中</w:t>
      </w:r>
      <w:r>
        <w:rPr>
          <w:rFonts w:hint="eastAsia" w:ascii="Times New Roman" w:hAnsi="Times New Roman" w:eastAsia="仿宋_GB2312" w:cs="Times New Roman"/>
          <w:kern w:val="2"/>
          <w:sz w:val="32"/>
          <w:szCs w:val="24"/>
          <w:lang w:val="en-US" w:eastAsia="zh-CN" w:bidi="ar-SA"/>
        </w:rPr>
        <w:t>区2021年校园保安专项资金231.84万元。</w:t>
      </w:r>
    </w:p>
    <w:p>
      <w:pPr>
        <w:pStyle w:val="4"/>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楷体" w:hAnsi="楷体" w:eastAsia="楷体" w:cs="楷体"/>
          <w:color w:val="auto"/>
          <w:highlight w:val="none"/>
          <w:lang w:eastAsia="zh-CN"/>
        </w:rPr>
      </w:pPr>
      <w:bookmarkStart w:id="252" w:name="_Toc21827"/>
      <w:bookmarkStart w:id="253" w:name="_Toc20324"/>
      <w:bookmarkStart w:id="254" w:name="_Toc13556"/>
      <w:bookmarkStart w:id="255" w:name="_Toc11112"/>
      <w:r>
        <w:rPr>
          <w:rFonts w:hint="eastAsia" w:ascii="楷体" w:hAnsi="楷体" w:eastAsia="楷体" w:cs="楷体"/>
          <w:color w:val="auto"/>
          <w:highlight w:val="none"/>
        </w:rPr>
        <w:t>（</w:t>
      </w:r>
      <w:r>
        <w:rPr>
          <w:rFonts w:hint="eastAsia" w:ascii="楷体" w:hAnsi="楷体" w:eastAsia="楷体" w:cs="楷体"/>
          <w:color w:val="auto"/>
          <w:highlight w:val="none"/>
          <w:lang w:eastAsia="zh-CN"/>
        </w:rPr>
        <w:t>三</w:t>
      </w:r>
      <w:r>
        <w:rPr>
          <w:rFonts w:hint="eastAsia" w:ascii="楷体" w:hAnsi="楷体" w:eastAsia="楷体" w:cs="楷体"/>
          <w:color w:val="auto"/>
          <w:highlight w:val="none"/>
        </w:rPr>
        <w:t>）评价</w:t>
      </w:r>
      <w:r>
        <w:rPr>
          <w:rFonts w:hint="eastAsia" w:ascii="楷体" w:hAnsi="楷体" w:eastAsia="楷体" w:cs="楷体"/>
          <w:color w:val="auto"/>
          <w:highlight w:val="none"/>
          <w:lang w:eastAsia="zh-CN"/>
        </w:rPr>
        <w:t>依据</w:t>
      </w:r>
      <w:bookmarkEnd w:id="252"/>
      <w:bookmarkEnd w:id="253"/>
      <w:bookmarkEnd w:id="254"/>
      <w:bookmarkEnd w:id="255"/>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rPr>
      </w:pPr>
      <w:r>
        <w:rPr>
          <w:rFonts w:hint="eastAsia" w:ascii="仿宋_GB2312" w:eastAsia="仿宋_GB2312"/>
          <w:b w:val="0"/>
          <w:bCs/>
          <w:color w:val="auto"/>
          <w:sz w:val="32"/>
          <w:szCs w:val="32"/>
          <w:highlight w:val="none"/>
          <w:lang w:val="en-US" w:eastAsia="zh-CN"/>
        </w:rPr>
        <w:t>西宁市城中区</w:t>
      </w:r>
      <w:r>
        <w:rPr>
          <w:rFonts w:hint="eastAsia" w:ascii="Times New Roman" w:hAnsi="Times New Roman" w:eastAsia="仿宋_GB2312" w:cs="Times New Roman"/>
          <w:kern w:val="2"/>
          <w:sz w:val="32"/>
          <w:szCs w:val="24"/>
          <w:lang w:val="en-US" w:eastAsia="zh-CN" w:bidi="ar-SA"/>
        </w:rPr>
        <w:t>2021年</w:t>
      </w:r>
      <w:r>
        <w:rPr>
          <w:rFonts w:hint="eastAsia" w:ascii="仿宋_GB2312" w:eastAsia="仿宋_GB2312"/>
          <w:b w:val="0"/>
          <w:bCs/>
          <w:color w:val="auto"/>
          <w:sz w:val="32"/>
          <w:szCs w:val="32"/>
          <w:highlight w:val="none"/>
          <w:lang w:val="en-US" w:eastAsia="zh-CN"/>
        </w:rPr>
        <w:t>校园保安专项资金</w:t>
      </w:r>
      <w:r>
        <w:rPr>
          <w:rFonts w:hint="eastAsia"/>
        </w:rPr>
        <w:t>绩效评价依据如下：</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jc w:val="both"/>
        <w:textAlignment w:val="auto"/>
        <w:outlineLvl w:val="2"/>
        <w:rPr>
          <w:rFonts w:hint="eastAsia"/>
        </w:rPr>
      </w:pPr>
      <w:bookmarkStart w:id="256" w:name="_Toc10370"/>
      <w:bookmarkStart w:id="257" w:name="_Toc15528"/>
      <w:r>
        <w:rPr>
          <w:rFonts w:hint="eastAsia" w:ascii="仿宋_GB2312" w:hAnsi="仿宋_GB2312" w:eastAsia="仿宋_GB2312" w:cs="仿宋_GB2312"/>
          <w:b/>
          <w:bCs/>
          <w:color w:val="auto"/>
          <w:kern w:val="0"/>
          <w:lang w:val="en-US" w:eastAsia="zh-CN"/>
        </w:rPr>
        <w:t>1.</w:t>
      </w:r>
      <w:r>
        <w:rPr>
          <w:rFonts w:hint="eastAsia" w:ascii="仿宋_GB2312" w:hAnsi="仿宋_GB2312" w:eastAsia="仿宋_GB2312" w:cs="仿宋_GB2312"/>
          <w:b/>
          <w:bCs/>
          <w:color w:val="auto"/>
          <w:kern w:val="0"/>
        </w:rPr>
        <w:t>预算绩效管理相关依据</w:t>
      </w:r>
      <w:bookmarkEnd w:id="256"/>
      <w:bookmarkEnd w:id="257"/>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（1）《中华人民共和国预算法》；</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（2）</w:t>
      </w:r>
      <w:r>
        <w:rPr>
          <w:rFonts w:hint="eastAsia" w:ascii="仿宋_GB2312" w:hAnsi="仿宋_GB2312" w:eastAsia="仿宋_GB2312" w:cs="仿宋_GB2312"/>
          <w:bCs/>
          <w:color w:val="auto"/>
          <w:sz w:val="32"/>
          <w:szCs w:val="32"/>
          <w:highlight w:val="none"/>
        </w:rPr>
        <w:t>《中华人民共和国预算法实施条例》（中华人民共和国国务院令第</w:t>
      </w:r>
      <w:r>
        <w:rPr>
          <w:rFonts w:hint="eastAsia" w:ascii="Times New Roman" w:hAnsi="Times New Roman" w:eastAsia="仿宋_GB2312" w:cs="Times New Roman"/>
          <w:kern w:val="2"/>
          <w:sz w:val="32"/>
          <w:szCs w:val="24"/>
          <w:lang w:val="en-US" w:eastAsia="zh-CN" w:bidi="ar-SA"/>
        </w:rPr>
        <w:t>729号）；</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（3）《中共中央 国务院关于全面实施预算绩效管理的意见》（中发〔2018〕34号）；</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（4）《财政部关于贯彻落实〈中共中央 国务院关于全面实施预算绩效管理的意见〉的通知》（财预〔2018〕167号）；</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（5）财政部关于印发《项目支出绩效评价管理办法》的通知（财预〔2020〕10号）（财预〔2020〕10号）；</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（6）《中共青海省委 青海省人民政府关于全面实施预算绩效管理的实施意见》（青发〔2019〕11号）。</w:t>
      </w:r>
    </w:p>
    <w:p>
      <w:pPr>
        <w:pageBreakBefore w:val="0"/>
        <w:widowControl w:val="0"/>
        <w:kinsoku/>
        <w:wordWrap/>
        <w:overflowPunct/>
        <w:topLinePunct w:val="0"/>
        <w:autoSpaceDE/>
        <w:autoSpaceDN/>
        <w:bidi w:val="0"/>
        <w:adjustRightInd w:val="0"/>
        <w:snapToGrid w:val="0"/>
        <w:spacing w:line="576" w:lineRule="exact"/>
        <w:ind w:left="0" w:leftChars="0" w:firstLine="643"/>
        <w:jc w:val="both"/>
        <w:outlineLvl w:val="2"/>
        <w:rPr>
          <w:rFonts w:hint="eastAsia"/>
          <w:lang w:val="en-US" w:eastAsia="zh-CN"/>
        </w:rPr>
      </w:pPr>
      <w:bookmarkStart w:id="258" w:name="_Toc27529"/>
      <w:bookmarkStart w:id="259" w:name="_Toc9252"/>
      <w:r>
        <w:rPr>
          <w:rFonts w:hint="eastAsia" w:cs="仿宋_GB2312"/>
          <w:b/>
          <w:bCs/>
          <w:color w:val="auto"/>
          <w:kern w:val="0"/>
          <w:lang w:val="en-US" w:eastAsia="zh-CN"/>
        </w:rPr>
        <w:t>2.其他</w:t>
      </w:r>
      <w:r>
        <w:rPr>
          <w:rFonts w:hint="eastAsia" w:ascii="仿宋_GB2312" w:hAnsi="仿宋_GB2312" w:eastAsia="仿宋_GB2312" w:cs="仿宋_GB2312"/>
          <w:b/>
          <w:bCs/>
          <w:color w:val="auto"/>
          <w:kern w:val="0"/>
        </w:rPr>
        <w:t>相关依据</w:t>
      </w:r>
      <w:bookmarkEnd w:id="258"/>
      <w:bookmarkEnd w:id="259"/>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（1）《保安服务管理条例》（2020年修订）；</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（2）《中小学幼儿园安全管理办法》（教育部令第23号）；</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（3）《国务院教育督导委员会办公室关于进一步加强中小学（幼儿园）安全工作的紧急通知》（国教督办〔2018〕4号）；</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（4）《公安部 教育部关于印发加快推动全国中小学幼儿园安全防范建设三年行动计划的通知》；</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（5）《对十三届全国人大三次会议第6578号建议的答复》（教督建议〔2020〕306号）；</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default"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（6）其他相关资料。</w:t>
      </w:r>
    </w:p>
    <w:p>
      <w:pPr>
        <w:pStyle w:val="4"/>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楷体" w:hAnsi="楷体" w:eastAsia="楷体" w:cs="楷体"/>
          <w:color w:val="auto"/>
          <w:highlight w:val="none"/>
          <w:lang w:val="en-US" w:eastAsia="zh-CN"/>
        </w:rPr>
      </w:pPr>
      <w:bookmarkStart w:id="260" w:name="_Toc28006"/>
      <w:bookmarkStart w:id="261" w:name="_Toc31172"/>
      <w:bookmarkStart w:id="262" w:name="_Toc17164"/>
      <w:bookmarkStart w:id="263" w:name="_Toc26475"/>
      <w:r>
        <w:rPr>
          <w:rFonts w:hint="eastAsia" w:ascii="楷体" w:hAnsi="楷体" w:eastAsia="楷体" w:cs="楷体"/>
          <w:color w:val="auto"/>
          <w:highlight w:val="none"/>
          <w:lang w:val="en-US" w:eastAsia="zh-CN"/>
        </w:rPr>
        <w:t>（四）评价原则</w:t>
      </w:r>
      <w:bookmarkEnd w:id="260"/>
      <w:bookmarkEnd w:id="261"/>
      <w:bookmarkEnd w:id="262"/>
      <w:bookmarkEnd w:id="263"/>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仿宋_GB2312" w:hAnsi="仿宋_GB2312" w:eastAsia="仿宋_GB2312" w:cs="Times New Roman"/>
          <w:b w:val="0"/>
          <w:kern w:val="2"/>
          <w:sz w:val="32"/>
          <w:szCs w:val="24"/>
          <w:lang w:val="en-US" w:eastAsia="zh-CN" w:bidi="ar-SA"/>
        </w:rPr>
      </w:pPr>
      <w:r>
        <w:rPr>
          <w:rFonts w:hint="eastAsia" w:ascii="仿宋_GB2312" w:hAnsi="仿宋_GB2312" w:eastAsia="仿宋_GB2312" w:cs="Times New Roman"/>
          <w:b w:val="0"/>
          <w:kern w:val="2"/>
          <w:sz w:val="32"/>
          <w:szCs w:val="24"/>
          <w:lang w:val="en-US" w:eastAsia="zh-CN" w:bidi="ar-SA"/>
        </w:rPr>
        <w:t>本次绩效评价遵循以下原则：</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Times New Roman"/>
          <w:b/>
          <w:bCs/>
          <w:kern w:val="2"/>
          <w:sz w:val="32"/>
          <w:szCs w:val="24"/>
          <w:lang w:val="en-US" w:eastAsia="zh-CN" w:bidi="ar-SA"/>
        </w:rPr>
      </w:pPr>
      <w:r>
        <w:rPr>
          <w:rFonts w:hint="eastAsia" w:ascii="仿宋_GB2312" w:hAnsi="仿宋_GB2312" w:eastAsia="仿宋_GB2312" w:cs="Times New Roman"/>
          <w:b/>
          <w:bCs/>
          <w:kern w:val="2"/>
          <w:sz w:val="32"/>
          <w:szCs w:val="24"/>
          <w:lang w:val="en-US" w:eastAsia="zh-CN" w:bidi="ar-SA"/>
        </w:rPr>
        <w:t>1.科学规范原则</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bookmarkStart w:id="264" w:name="_Toc17204"/>
      <w:r>
        <w:rPr>
          <w:rFonts w:hint="eastAsia" w:ascii="Times New Roman" w:hAnsi="Times New Roman" w:eastAsia="仿宋_GB2312" w:cs="Times New Roman"/>
          <w:kern w:val="2"/>
          <w:sz w:val="32"/>
          <w:szCs w:val="24"/>
          <w:lang w:val="en-US" w:eastAsia="zh-CN" w:bidi="ar-SA"/>
        </w:rPr>
        <w:t>此次绩效评价运用科学合理的方法，按照规范的程序，对西宁市城中区2021年校园保安专项资金使用情况进行客观、公正的反映。</w:t>
      </w:r>
      <w:bookmarkEnd w:id="264"/>
    </w:p>
    <w:p>
      <w:pPr>
        <w:pageBreakBefore w:val="0"/>
        <w:widowControl w:val="0"/>
        <w:kinsoku/>
        <w:wordWrap/>
        <w:overflowPunct/>
        <w:topLinePunct w:val="0"/>
        <w:autoSpaceDE/>
        <w:autoSpaceDN/>
        <w:bidi w:val="0"/>
        <w:adjustRightInd w:val="0"/>
        <w:snapToGrid w:val="0"/>
        <w:spacing w:line="576" w:lineRule="exact"/>
        <w:ind w:left="0" w:leftChars="0"/>
        <w:jc w:val="both"/>
        <w:rPr>
          <w:rFonts w:hint="eastAsia"/>
          <w:b/>
          <w:bCs/>
          <w:lang w:val="en-US" w:eastAsia="zh-CN"/>
        </w:rPr>
      </w:pPr>
      <w:bookmarkStart w:id="265" w:name="_Toc21373"/>
      <w:r>
        <w:rPr>
          <w:rFonts w:hint="eastAsia" w:ascii="仿宋_GB2312" w:eastAsia="仿宋_GB2312"/>
          <w:b/>
          <w:bCs/>
          <w:lang w:val="en-US" w:eastAsia="zh-CN"/>
        </w:rPr>
        <w:t>2.统筹兼顾原则</w:t>
      </w:r>
      <w:bookmarkEnd w:id="265"/>
    </w:p>
    <w:p>
      <w:pPr>
        <w:keepNext w:val="0"/>
        <w:keepLines w:val="0"/>
        <w:pageBreakBefore w:val="0"/>
        <w:widowControl w:val="0"/>
        <w:kinsoku/>
        <w:wordWrap/>
        <w:overflowPunct/>
        <w:topLinePunct w:val="0"/>
        <w:autoSpaceDE/>
        <w:autoSpaceDN/>
        <w:bidi w:val="0"/>
        <w:adjustRightInd w:val="0"/>
        <w:snapToGrid/>
        <w:spacing w:line="576" w:lineRule="exact"/>
        <w:ind w:left="0" w:leftChars="0"/>
        <w:jc w:val="both"/>
        <w:textAlignment w:val="auto"/>
        <w:rPr>
          <w:rFonts w:hint="eastAsia"/>
          <w:lang w:val="en-US" w:eastAsia="zh-CN"/>
        </w:rPr>
      </w:pPr>
      <w:bookmarkStart w:id="266" w:name="_Toc32260"/>
      <w:r>
        <w:rPr>
          <w:rFonts w:hint="eastAsia" w:ascii="仿宋_GB2312" w:eastAsia="仿宋_GB2312"/>
          <w:lang w:val="en-US" w:eastAsia="zh-CN"/>
        </w:rPr>
        <w:t>此次绩效评价委托第三方进行，绩效评价结果将报送西宁市城中区财政局作为财政主管单位评价参考依据。</w:t>
      </w:r>
      <w:bookmarkEnd w:id="266"/>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eastAsia"/>
          <w:b/>
          <w:bCs/>
          <w:lang w:val="en-US" w:eastAsia="zh-CN"/>
        </w:rPr>
      </w:pPr>
      <w:bookmarkStart w:id="267" w:name="_Toc4991"/>
      <w:r>
        <w:rPr>
          <w:rFonts w:hint="eastAsia" w:ascii="仿宋_GB2312" w:eastAsia="仿宋_GB2312"/>
          <w:b/>
          <w:bCs/>
          <w:lang w:val="en-US" w:eastAsia="zh-CN"/>
        </w:rPr>
        <w:t>3.激励约束原则</w:t>
      </w:r>
      <w:bookmarkEnd w:id="267"/>
    </w:p>
    <w:p>
      <w:pPr>
        <w:keepNext w:val="0"/>
        <w:keepLines w:val="0"/>
        <w:pageBreakBefore w:val="0"/>
        <w:widowControl w:val="0"/>
        <w:kinsoku/>
        <w:wordWrap/>
        <w:overflowPunct/>
        <w:topLinePunct w:val="0"/>
        <w:autoSpaceDE/>
        <w:autoSpaceDN/>
        <w:bidi w:val="0"/>
        <w:adjustRightInd/>
        <w:snapToGrid/>
        <w:spacing w:line="576" w:lineRule="exact"/>
        <w:ind w:left="0" w:leftChars="0"/>
        <w:jc w:val="both"/>
        <w:rPr>
          <w:rFonts w:hint="eastAsia"/>
          <w:lang w:val="en-US" w:eastAsia="zh-CN"/>
        </w:rPr>
      </w:pPr>
      <w:bookmarkStart w:id="268" w:name="_Toc24142"/>
      <w:r>
        <w:rPr>
          <w:rFonts w:hint="eastAsia" w:ascii="仿宋_GB2312" w:eastAsia="仿宋_GB2312"/>
          <w:lang w:val="en-US" w:eastAsia="zh-CN"/>
        </w:rPr>
        <w:t>此次绩效评价结果与预算安排、政策调整、改进管理实质性挂钩，体现奖优罚劣和激励相容导向，有效要安排、低效要压减、无效要问责。</w:t>
      </w:r>
      <w:bookmarkEnd w:id="268"/>
    </w:p>
    <w:p>
      <w:pPr>
        <w:keepNext w:val="0"/>
        <w:keepLines w:val="0"/>
        <w:pageBreakBefore w:val="0"/>
        <w:widowControl w:val="0"/>
        <w:kinsoku/>
        <w:wordWrap/>
        <w:overflowPunct/>
        <w:topLinePunct w:val="0"/>
        <w:autoSpaceDE/>
        <w:autoSpaceDN/>
        <w:bidi w:val="0"/>
        <w:adjustRightInd/>
        <w:snapToGrid/>
        <w:spacing w:line="576" w:lineRule="exact"/>
        <w:ind w:left="0" w:leftChars="0"/>
        <w:jc w:val="both"/>
        <w:rPr>
          <w:rFonts w:hint="eastAsia"/>
          <w:b/>
          <w:bCs/>
          <w:lang w:val="en-US" w:eastAsia="zh-CN"/>
        </w:rPr>
      </w:pPr>
      <w:bookmarkStart w:id="269" w:name="_Toc15567"/>
      <w:r>
        <w:rPr>
          <w:rFonts w:hint="eastAsia" w:ascii="仿宋_GB2312" w:eastAsia="仿宋_GB2312"/>
          <w:b/>
          <w:bCs/>
          <w:lang w:val="en-US" w:eastAsia="zh-CN"/>
        </w:rPr>
        <w:t>4.公开透明原则</w:t>
      </w:r>
      <w:bookmarkEnd w:id="269"/>
    </w:p>
    <w:p>
      <w:pPr>
        <w:keepNext w:val="0"/>
        <w:keepLines w:val="0"/>
        <w:pageBreakBefore w:val="0"/>
        <w:widowControl w:val="0"/>
        <w:kinsoku/>
        <w:wordWrap/>
        <w:overflowPunct/>
        <w:topLinePunct w:val="0"/>
        <w:autoSpaceDE/>
        <w:autoSpaceDN/>
        <w:bidi w:val="0"/>
        <w:adjustRightInd/>
        <w:snapToGrid/>
        <w:spacing w:line="576" w:lineRule="exact"/>
        <w:ind w:left="0" w:leftChars="0"/>
        <w:jc w:val="both"/>
        <w:rPr>
          <w:rFonts w:hint="eastAsia"/>
          <w:lang w:val="en-US" w:eastAsia="zh-CN"/>
        </w:rPr>
      </w:pPr>
      <w:bookmarkStart w:id="270" w:name="_Toc623"/>
      <w:r>
        <w:rPr>
          <w:rFonts w:hint="eastAsia" w:ascii="仿宋_GB2312" w:eastAsia="仿宋_GB2312"/>
          <w:lang w:val="en-US" w:eastAsia="zh-CN"/>
        </w:rPr>
        <w:t>此次绩效评价结果将依法依规公开，并自觉接受社会监督。</w:t>
      </w:r>
      <w:bookmarkEnd w:id="270"/>
    </w:p>
    <w:p>
      <w:pPr>
        <w:pStyle w:val="4"/>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eastAsia" w:ascii="楷体" w:hAnsi="楷体" w:eastAsia="楷体" w:cs="楷体"/>
          <w:color w:val="auto"/>
          <w:highlight w:val="none"/>
          <w:lang w:val="en-US" w:eastAsia="zh-CN"/>
        </w:rPr>
      </w:pPr>
      <w:bookmarkStart w:id="271" w:name="_Toc17484"/>
      <w:bookmarkStart w:id="272" w:name="_Toc15376"/>
      <w:bookmarkStart w:id="273" w:name="_Toc11691"/>
      <w:bookmarkStart w:id="274" w:name="_Toc3601"/>
      <w:r>
        <w:rPr>
          <w:rFonts w:hint="eastAsia" w:ascii="楷体" w:hAnsi="楷体" w:eastAsia="楷体" w:cs="楷体"/>
          <w:color w:val="auto"/>
          <w:highlight w:val="none"/>
          <w:lang w:val="en-US" w:eastAsia="zh-CN"/>
        </w:rPr>
        <w:t>（五）评价方法</w:t>
      </w:r>
      <w:bookmarkEnd w:id="271"/>
      <w:bookmarkEnd w:id="272"/>
      <w:bookmarkEnd w:id="273"/>
      <w:bookmarkEnd w:id="274"/>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jc w:val="both"/>
        <w:textAlignment w:val="auto"/>
        <w:rPr>
          <w:rFonts w:hint="eastAsia"/>
          <w:lang w:val="en-US" w:eastAsia="zh-CN"/>
        </w:rPr>
      </w:pPr>
      <w:r>
        <w:rPr>
          <w:rFonts w:hint="eastAsia" w:ascii="仿宋_GB2312" w:eastAsia="仿宋_GB2312"/>
          <w:b/>
          <w:bCs/>
          <w:lang w:val="en-US" w:eastAsia="zh-CN"/>
        </w:rPr>
        <w:t>1.比较法</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jc w:val="both"/>
        <w:textAlignment w:val="auto"/>
        <w:rPr>
          <w:rFonts w:hint="eastAsia"/>
          <w:lang w:val="en-US" w:eastAsia="zh-CN"/>
        </w:rPr>
      </w:pPr>
      <w:r>
        <w:rPr>
          <w:rFonts w:hint="eastAsia" w:ascii="仿宋_GB2312" w:eastAsia="仿宋_GB2312"/>
          <w:lang w:val="en-US" w:eastAsia="zh-CN"/>
        </w:rPr>
        <w:t>选用目标比较法，通过对</w:t>
      </w:r>
      <w:r>
        <w:rPr>
          <w:rFonts w:hint="eastAsia" w:ascii="仿宋_GB2312" w:eastAsia="仿宋_GB2312"/>
          <w:b w:val="0"/>
          <w:bCs/>
          <w:color w:val="auto"/>
          <w:sz w:val="32"/>
          <w:szCs w:val="32"/>
          <w:highlight w:val="none"/>
          <w:lang w:val="en-US" w:eastAsia="zh-CN"/>
        </w:rPr>
        <w:t>西宁市城中</w:t>
      </w:r>
      <w:r>
        <w:rPr>
          <w:rFonts w:hint="eastAsia" w:ascii="Times New Roman" w:hAnsi="Times New Roman" w:eastAsia="仿宋_GB2312" w:cs="Times New Roman"/>
          <w:kern w:val="2"/>
          <w:sz w:val="32"/>
          <w:szCs w:val="24"/>
          <w:lang w:val="en-US" w:eastAsia="zh-CN" w:bidi="ar-SA"/>
        </w:rPr>
        <w:t>区2021</w:t>
      </w:r>
      <w:r>
        <w:rPr>
          <w:rFonts w:hint="eastAsia" w:ascii="仿宋_GB2312" w:eastAsia="仿宋_GB2312"/>
          <w:b w:val="0"/>
          <w:bCs/>
          <w:color w:val="auto"/>
          <w:sz w:val="32"/>
          <w:szCs w:val="32"/>
          <w:highlight w:val="none"/>
          <w:lang w:val="en-US" w:eastAsia="zh-CN"/>
        </w:rPr>
        <w:t>年校园保安专项资金支出</w:t>
      </w:r>
      <w:r>
        <w:rPr>
          <w:rFonts w:hint="eastAsia" w:ascii="仿宋_GB2312" w:eastAsia="仿宋_GB2312"/>
          <w:lang w:val="en-US" w:eastAsia="zh-CN"/>
        </w:rPr>
        <w:t>的年度目标和实际完成情况进行对比，考虑研究影响目标完成情况的各个因素，采取定量分析与定性分析相结合的方法，综合分析，最后依据分析结果进行绩效评价；选用动态比较法，通过对不同年度的同类财政支出效果的历史数据进行比较，得出项目过去的效益波动及变化情况，并结合既定指标体系评价标准综合分析，进而进行绩效评价。</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jc w:val="both"/>
        <w:rPr>
          <w:rFonts w:hint="eastAsia"/>
          <w:lang w:val="en-US" w:eastAsia="zh-CN"/>
        </w:rPr>
      </w:pPr>
      <w:r>
        <w:rPr>
          <w:rFonts w:hint="eastAsia" w:ascii="仿宋_GB2312" w:eastAsia="仿宋_GB2312"/>
          <w:b/>
          <w:bCs/>
          <w:lang w:val="en-US" w:eastAsia="zh-CN"/>
        </w:rPr>
        <w:t>2.公众评判法</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jc w:val="both"/>
        <w:rPr>
          <w:rFonts w:hint="eastAsia"/>
          <w:lang w:val="en-US" w:eastAsia="zh-CN"/>
        </w:rPr>
      </w:pPr>
      <w:r>
        <w:rPr>
          <w:rFonts w:hint="eastAsia" w:ascii="仿宋_GB2312" w:eastAsia="仿宋_GB2312"/>
          <w:lang w:val="en-US" w:eastAsia="zh-CN"/>
        </w:rPr>
        <w:t>通过查阅资料，结合设计的调查问卷，对项目开展调查，了解</w:t>
      </w:r>
      <w:r>
        <w:rPr>
          <w:rFonts w:hint="eastAsia" w:ascii="仿宋_GB2312" w:eastAsia="仿宋_GB2312"/>
          <w:b w:val="0"/>
          <w:bCs/>
          <w:color w:val="auto"/>
          <w:sz w:val="32"/>
          <w:szCs w:val="32"/>
          <w:highlight w:val="none"/>
          <w:lang w:val="en-US" w:eastAsia="zh-CN"/>
        </w:rPr>
        <w:t>西宁市城</w:t>
      </w:r>
      <w:r>
        <w:rPr>
          <w:rFonts w:hint="eastAsia" w:ascii="Times New Roman" w:hAnsi="Times New Roman" w:eastAsia="仿宋_GB2312" w:cs="Times New Roman"/>
          <w:kern w:val="2"/>
          <w:sz w:val="32"/>
          <w:szCs w:val="24"/>
          <w:lang w:val="en-US" w:eastAsia="zh-CN" w:bidi="ar-SA"/>
        </w:rPr>
        <w:t>中区2021年校</w:t>
      </w:r>
      <w:r>
        <w:rPr>
          <w:rFonts w:hint="eastAsia" w:ascii="仿宋_GB2312" w:eastAsia="仿宋_GB2312"/>
          <w:b w:val="0"/>
          <w:bCs/>
          <w:color w:val="auto"/>
          <w:sz w:val="32"/>
          <w:szCs w:val="32"/>
          <w:highlight w:val="none"/>
          <w:lang w:val="en-US" w:eastAsia="zh-CN"/>
        </w:rPr>
        <w:t>园保安专项资金</w:t>
      </w:r>
      <w:r>
        <w:rPr>
          <w:rFonts w:hint="eastAsia" w:ascii="仿宋_GB2312" w:eastAsia="仿宋_GB2312"/>
          <w:lang w:val="en-US" w:eastAsia="zh-CN"/>
        </w:rPr>
        <w:t>的使用情况，发挥的效果，服务对象对项目实施及其效果的认可度和满意度，最终总结分析出受益对象的满意程度和项目实施效果。</w:t>
      </w:r>
    </w:p>
    <w:p>
      <w:pPr>
        <w:pStyle w:val="4"/>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eastAsia" w:ascii="楷体" w:hAnsi="楷体" w:eastAsia="楷体" w:cs="楷体"/>
          <w:color w:val="auto"/>
          <w:highlight w:val="none"/>
        </w:rPr>
      </w:pPr>
      <w:bookmarkStart w:id="275" w:name="_Toc30681"/>
      <w:bookmarkStart w:id="276" w:name="_Toc4758"/>
      <w:bookmarkStart w:id="277" w:name="_Toc24967"/>
      <w:bookmarkStart w:id="278" w:name="_Toc28568"/>
      <w:r>
        <w:rPr>
          <w:rFonts w:hint="eastAsia" w:ascii="楷体" w:hAnsi="楷体" w:eastAsia="楷体" w:cs="楷体"/>
          <w:color w:val="auto"/>
          <w:highlight w:val="none"/>
          <w:lang w:eastAsia="zh-CN"/>
        </w:rPr>
        <w:t>（六）绩效</w:t>
      </w:r>
      <w:r>
        <w:rPr>
          <w:rFonts w:hint="eastAsia" w:ascii="楷体" w:hAnsi="楷体" w:eastAsia="楷体" w:cs="楷体"/>
          <w:color w:val="auto"/>
          <w:highlight w:val="none"/>
        </w:rPr>
        <w:t>评价指标体系</w:t>
      </w:r>
      <w:bookmarkEnd w:id="275"/>
      <w:bookmarkEnd w:id="276"/>
      <w:bookmarkEnd w:id="277"/>
      <w:bookmarkEnd w:id="278"/>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color w:val="auto"/>
          <w:highlight w:val="none"/>
        </w:rPr>
        <w:t>本次绩效评价指标体系</w:t>
      </w:r>
      <w:r>
        <w:rPr>
          <w:rFonts w:hint="eastAsia" w:eastAsia="仿宋_GB2312"/>
          <w:color w:val="auto"/>
          <w:highlight w:val="none"/>
          <w:lang w:eastAsia="zh-CN"/>
        </w:rPr>
        <w:t>紧紧</w:t>
      </w:r>
      <w:r>
        <w:rPr>
          <w:rFonts w:hint="eastAsia"/>
          <w:color w:val="auto"/>
          <w:highlight w:val="none"/>
        </w:rPr>
        <w:t>围绕项目决策、项目组织管理、资金投入与使用、项目实施进度及目标实现情况等重要内容</w:t>
      </w:r>
      <w:r>
        <w:rPr>
          <w:rFonts w:hint="eastAsia" w:eastAsia="仿宋_GB2312"/>
          <w:color w:val="auto"/>
          <w:highlight w:val="none"/>
          <w:lang w:eastAsia="zh-CN"/>
        </w:rPr>
        <w:t>进行</w:t>
      </w:r>
      <w:r>
        <w:rPr>
          <w:rFonts w:hint="eastAsia"/>
          <w:color w:val="auto"/>
          <w:highlight w:val="none"/>
        </w:rPr>
        <w:t>设计，结合绩效评价方法，从项目决策、过程、产出、效</w:t>
      </w:r>
      <w:r>
        <w:rPr>
          <w:rFonts w:hint="eastAsia" w:ascii="仿宋_GB2312" w:eastAsia="仿宋_GB2312"/>
          <w:color w:val="auto"/>
          <w:highlight w:val="none"/>
          <w:lang w:val="en-US" w:eastAsia="zh-CN"/>
        </w:rPr>
        <w:t>益</w:t>
      </w:r>
      <w:r>
        <w:rPr>
          <w:rFonts w:hint="eastAsia"/>
          <w:color w:val="auto"/>
          <w:highlight w:val="none"/>
        </w:rPr>
        <w:t>四个方面对项目实施情况进行综合评价。各项</w:t>
      </w:r>
      <w:r>
        <w:rPr>
          <w:rFonts w:hint="eastAsia" w:hAnsi="Times New Roman"/>
          <w:bCs/>
          <w:color w:val="auto"/>
          <w:szCs w:val="32"/>
          <w:highlight w:val="none"/>
        </w:rPr>
        <w:t>指标权重设计，按</w:t>
      </w:r>
      <w:r>
        <w:rPr>
          <w:rFonts w:hint="eastAsia" w:ascii="Times New Roman" w:hAnsi="Times New Roman" w:eastAsia="仿宋_GB2312" w:cs="Times New Roman"/>
          <w:kern w:val="2"/>
          <w:sz w:val="32"/>
          <w:szCs w:val="24"/>
          <w:lang w:val="en-US" w:eastAsia="zh-CN" w:bidi="ar-SA"/>
        </w:rPr>
        <w:t>照《财政部关于印发&lt;项目支出绩效评价管理办法&gt;的通知》（财预〔2020〕10</w:t>
      </w:r>
      <w:r>
        <w:rPr>
          <w:rFonts w:hint="eastAsia" w:ascii="仿宋_GB2312" w:hAnsi="仿宋_GB2312" w:eastAsia="仿宋_GB2312" w:cs="仿宋_GB2312"/>
          <w:bCs/>
          <w:color w:val="auto"/>
          <w:sz w:val="32"/>
          <w:szCs w:val="32"/>
          <w:highlight w:val="none"/>
        </w:rPr>
        <w:t>号）</w:t>
      </w:r>
      <w:r>
        <w:rPr>
          <w:rFonts w:hint="eastAsia" w:ascii="仿宋_GB2312" w:eastAsia="仿宋_GB2312"/>
          <w:bCs/>
          <w:color w:val="auto"/>
          <w:sz w:val="32"/>
          <w:szCs w:val="32"/>
        </w:rPr>
        <w:t>文件第十四条：“评价指标的权重根据各项指标在评价体系中的重要程度确定，应当突出结果导向，原则上产出、效益指标权重不</w:t>
      </w:r>
      <w:r>
        <w:rPr>
          <w:rFonts w:hint="eastAsia" w:ascii="Times New Roman" w:hAnsi="Times New Roman" w:eastAsia="仿宋_GB2312" w:cs="Times New Roman"/>
          <w:kern w:val="2"/>
          <w:sz w:val="32"/>
          <w:szCs w:val="24"/>
          <w:lang w:val="en-US" w:eastAsia="zh-CN" w:bidi="ar-SA"/>
        </w:rPr>
        <w:t>低于60%。</w:t>
      </w:r>
      <w:r>
        <w:rPr>
          <w:rFonts w:hint="eastAsia" w:ascii="仿宋_GB2312" w:eastAsia="仿宋_GB2312"/>
          <w:bCs/>
          <w:color w:val="auto"/>
          <w:sz w:val="32"/>
          <w:szCs w:val="32"/>
        </w:rPr>
        <w:t>同一评价对象处于不同实施阶段时，指标权重应体现差异性，其中，实施期间的评价更加注重决策、过程和产出，实施期结束后的评价更加注重产出和效益”</w:t>
      </w:r>
      <w:r>
        <w:rPr>
          <w:rFonts w:hint="eastAsia" w:hAnsi="Times New Roman"/>
          <w:bCs/>
          <w:color w:val="auto"/>
          <w:szCs w:val="32"/>
          <w:highlight w:val="none"/>
        </w:rPr>
        <w:t>的要求进行合理赋分。</w:t>
      </w:r>
      <w:r>
        <w:rPr>
          <w:rFonts w:hint="eastAsia" w:hAnsi="Times New Roman"/>
          <w:bCs/>
          <w:color w:val="auto"/>
          <w:szCs w:val="32"/>
          <w:highlight w:val="none"/>
          <w:lang w:val="en-US" w:eastAsia="zh-CN"/>
        </w:rPr>
        <w:t>因西宁市城中</w:t>
      </w:r>
      <w:r>
        <w:rPr>
          <w:rFonts w:hint="eastAsia" w:ascii="Times New Roman" w:hAnsi="Times New Roman" w:eastAsia="仿宋_GB2312" w:cs="Times New Roman"/>
          <w:kern w:val="2"/>
          <w:sz w:val="32"/>
          <w:szCs w:val="24"/>
          <w:lang w:val="en-US" w:eastAsia="zh-CN" w:bidi="ar-SA"/>
        </w:rPr>
        <w:t>区2021年校</w:t>
      </w:r>
      <w:r>
        <w:rPr>
          <w:rFonts w:hint="eastAsia" w:hAnsi="Times New Roman"/>
          <w:bCs/>
          <w:color w:val="auto"/>
          <w:szCs w:val="32"/>
          <w:highlight w:val="none"/>
          <w:lang w:val="en-US" w:eastAsia="zh-CN"/>
        </w:rPr>
        <w:t>园保安专项资金支出尚未完成，此次评价注重决策、过程和产出，拟设计一级指标决策、过程和产出指标权重不低于</w:t>
      </w:r>
      <w:r>
        <w:rPr>
          <w:rFonts w:hint="eastAsia" w:ascii="Times New Roman" w:hAnsi="Times New Roman" w:eastAsia="仿宋_GB2312" w:cs="Times New Roman"/>
          <w:kern w:val="2"/>
          <w:sz w:val="32"/>
          <w:szCs w:val="24"/>
          <w:lang w:val="en-US" w:eastAsia="zh-CN" w:bidi="ar-SA"/>
        </w:rPr>
        <w:t>80%。具体评价指标内容如下：</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1.决策：占权重分20分，从项目决策、绩效目标、资金投入三个方面进行评价分析，主要考核申报依据的充分性、申报程序的规范性、绩效目标设定的合理性、绩效指标设定的明确性、预算编制科学性、资金分配合理性等。</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2.过程：占权重分30分，从资金管理和组织实施两个方面进行评价分析，主要考核资金到位率、预算执行率、资金使用合规性、管理制度健全性、制度执行有效性等。</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kern w:val="2"/>
          <w:sz w:val="32"/>
          <w:szCs w:val="24"/>
          <w:lang w:val="en-US" w:eastAsia="zh-CN" w:bidi="ar-SA"/>
        </w:rPr>
      </w:pPr>
      <w:r>
        <w:rPr>
          <w:rFonts w:hint="eastAsia" w:ascii="Times New Roman" w:hAnsi="Times New Roman" w:eastAsia="仿宋_GB2312" w:cs="Times New Roman"/>
          <w:kern w:val="2"/>
          <w:sz w:val="32"/>
          <w:szCs w:val="24"/>
          <w:lang w:val="en-US" w:eastAsia="zh-CN" w:bidi="ar-SA"/>
        </w:rPr>
        <w:t>3.产出：占权重分30分，从产出数量、产出质量、产出时效三个方面进行绩效分析，具体包括领取工资保安数实际完成率、保安提供服务达标情况、工资按标准足额发放、工资发放完成及时率等产出指标等。</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eastAsia="仿宋_GB2312" w:cs="Times New Roman"/>
          <w:color w:val="auto"/>
          <w:highlight w:val="none"/>
          <w:lang w:eastAsia="zh-CN"/>
        </w:rPr>
      </w:pPr>
      <w:r>
        <w:rPr>
          <w:rFonts w:hint="eastAsia" w:ascii="Times New Roman" w:hAnsi="Times New Roman" w:eastAsia="仿宋_GB2312" w:cs="Times New Roman"/>
          <w:kern w:val="2"/>
          <w:sz w:val="32"/>
          <w:szCs w:val="24"/>
          <w:lang w:val="en-US" w:eastAsia="zh-CN" w:bidi="ar-SA"/>
        </w:rPr>
        <w:t>4.效益：占权重分20分，从社会效益、可持续影响、满意度三个方面进行评价分析，主要</w:t>
      </w:r>
      <w:r>
        <w:rPr>
          <w:rFonts w:hint="eastAsia" w:cs="Times New Roman"/>
          <w:color w:val="auto"/>
          <w:highlight w:val="none"/>
          <w:lang w:eastAsia="zh-CN"/>
        </w:rPr>
        <w:t>考核保障校园安全、提供就业机会、维护校园周边良好的治安秩序、校园师生满意度等。</w:t>
      </w:r>
    </w:p>
    <w:p>
      <w:pPr>
        <w:pStyle w:val="4"/>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eastAsia" w:ascii="楷体" w:hAnsi="楷体" w:eastAsia="楷体" w:cs="楷体"/>
          <w:color w:val="auto"/>
          <w:highlight w:val="none"/>
          <w:lang w:eastAsia="zh-CN"/>
        </w:rPr>
      </w:pPr>
      <w:bookmarkStart w:id="279" w:name="_Toc12768"/>
      <w:bookmarkStart w:id="280" w:name="_Toc20918"/>
      <w:bookmarkStart w:id="281" w:name="_Toc21818"/>
      <w:bookmarkStart w:id="282" w:name="_Toc5577"/>
      <w:r>
        <w:rPr>
          <w:rFonts w:hint="eastAsia" w:ascii="楷体" w:hAnsi="楷体" w:eastAsia="楷体" w:cs="楷体"/>
          <w:color w:val="auto"/>
          <w:highlight w:val="none"/>
          <w:lang w:eastAsia="zh-CN"/>
        </w:rPr>
        <w:t>（七）评价人员组成</w:t>
      </w:r>
      <w:bookmarkEnd w:id="279"/>
      <w:bookmarkEnd w:id="280"/>
      <w:bookmarkEnd w:id="281"/>
      <w:bookmarkEnd w:id="282"/>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Ansi="Calibri" w:cs="黑体"/>
          <w:bCs/>
          <w:szCs w:val="32"/>
        </w:rPr>
      </w:pPr>
      <w:r>
        <w:rPr>
          <w:rFonts w:hint="eastAsia" w:hAnsi="Calibri" w:cs="黑体"/>
          <w:bCs/>
          <w:szCs w:val="32"/>
        </w:rPr>
        <w:t>为加强对绩效评价工作的组织和管理，绩效评价机构根据此次工作需求，成立此次项目绩效评价工作组，负责项目绩效评价的组织协调、调研访谈及报告撰写等工作。在具体工作开展过程中，</w:t>
      </w:r>
      <w:r>
        <w:rPr>
          <w:rFonts w:hint="eastAsia" w:hAnsi="Calibri" w:cs="黑体"/>
          <w:bCs/>
          <w:szCs w:val="32"/>
          <w:lang w:val="en-US" w:eastAsia="zh-CN"/>
        </w:rPr>
        <w:t>绩效评价工作组</w:t>
      </w:r>
      <w:r>
        <w:rPr>
          <w:rFonts w:hint="eastAsia" w:hAnsi="Calibri" w:cs="黑体"/>
          <w:bCs/>
          <w:szCs w:val="32"/>
        </w:rPr>
        <w:t>的构成将采取“</w:t>
      </w:r>
      <w:r>
        <w:rPr>
          <w:rFonts w:hint="eastAsia" w:hAnsi="Calibri" w:cs="黑体"/>
          <w:bCs/>
          <w:szCs w:val="32"/>
          <w:lang w:eastAsia="zh-CN"/>
        </w:rPr>
        <w:t>主评人</w:t>
      </w:r>
      <w:r>
        <w:rPr>
          <w:rFonts w:hint="eastAsia" w:hAnsi="Calibri" w:cs="黑体"/>
          <w:bCs/>
          <w:szCs w:val="32"/>
          <w:lang w:val="en-US" w:eastAsia="zh-CN"/>
        </w:rPr>
        <w:t>+</w:t>
      </w:r>
      <w:r>
        <w:rPr>
          <w:rFonts w:hint="eastAsia" w:hAnsi="Calibri" w:cs="黑体"/>
          <w:bCs/>
          <w:szCs w:val="32"/>
        </w:rPr>
        <w:t>项目经理+项目助理”的模式。具体人员组成如下：</w:t>
      </w: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Ansi="Calibri" w:cs="黑体"/>
          <w:bCs/>
        </w:rPr>
      </w:pPr>
      <w:r>
        <w:rPr>
          <w:rFonts w:hint="eastAsia" w:hAnsi="Calibri" w:cs="黑体"/>
          <w:b/>
          <w:lang w:eastAsia="zh-CN"/>
        </w:rPr>
        <w:t>主评人</w:t>
      </w:r>
      <w:r>
        <w:rPr>
          <w:rFonts w:hint="eastAsia" w:hAnsi="Calibri" w:cs="黑体"/>
          <w:b/>
        </w:rPr>
        <w:t>：</w:t>
      </w:r>
      <w:r>
        <w:rPr>
          <w:rFonts w:hint="eastAsia" w:hAnsi="Calibri" w:cs="黑体"/>
          <w:bCs/>
        </w:rPr>
        <w:t>为项目绩效评价的总负责人，统筹绩效评价整体工作。</w:t>
      </w: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eastAsia" w:hAnsi="Calibri" w:cs="黑体"/>
          <w:bCs/>
          <w:lang w:eastAsia="zh-CN"/>
        </w:rPr>
      </w:pPr>
      <w:r>
        <w:rPr>
          <w:rFonts w:hint="eastAsia" w:hAnsi="Calibri" w:cs="黑体"/>
          <w:b/>
          <w:lang w:val="en-US" w:eastAsia="zh-CN"/>
        </w:rPr>
        <w:t>项目经理：</w:t>
      </w:r>
      <w:r>
        <w:rPr>
          <w:rFonts w:hint="eastAsia" w:hAnsi="Calibri" w:cs="黑体"/>
          <w:bCs/>
          <w:lang w:val="en-US" w:eastAsia="zh-CN"/>
        </w:rPr>
        <w:t>主要负责绩</w:t>
      </w:r>
      <w:r>
        <w:rPr>
          <w:rFonts w:hint="eastAsia" w:hAnsi="Calibri" w:cs="黑体"/>
          <w:bCs/>
        </w:rPr>
        <w:t>效评价前期资料的准备、现场核查工作的安排、</w:t>
      </w:r>
      <w:r>
        <w:rPr>
          <w:rFonts w:hint="eastAsia" w:hAnsi="Calibri" w:cs="黑体"/>
          <w:bCs/>
          <w:lang w:val="en-US" w:eastAsia="zh-CN"/>
        </w:rPr>
        <w:t>调研项目对接、资料查阅汇总</w:t>
      </w:r>
      <w:r>
        <w:rPr>
          <w:rFonts w:hint="eastAsia" w:hAnsi="Calibri" w:cs="黑体"/>
          <w:bCs/>
        </w:rPr>
        <w:t>、数据分析及报告撰写等工作</w:t>
      </w:r>
      <w:r>
        <w:rPr>
          <w:rFonts w:hint="eastAsia" w:hAnsi="Calibri" w:cs="黑体"/>
          <w:bCs/>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jc w:val="both"/>
        <w:textAlignment w:val="auto"/>
        <w:rPr>
          <w:rFonts w:hint="eastAsia" w:hAnsi="Calibri" w:cs="黑体"/>
          <w:bCs/>
          <w:lang w:eastAsia="zh-CN"/>
        </w:rPr>
      </w:pPr>
      <w:r>
        <w:rPr>
          <w:rFonts w:hint="eastAsia" w:hAnsi="Calibri" w:cs="黑体"/>
          <w:b/>
        </w:rPr>
        <w:t>项目助理：</w:t>
      </w:r>
      <w:r>
        <w:rPr>
          <w:rFonts w:hint="eastAsia" w:hAnsi="Calibri" w:cs="黑体"/>
          <w:bCs/>
        </w:rPr>
        <w:t>负责辅助项目经理</w:t>
      </w:r>
      <w:r>
        <w:rPr>
          <w:rFonts w:hint="eastAsia" w:hAnsi="Calibri" w:cs="黑体"/>
          <w:bCs/>
          <w:lang w:val="en-US" w:eastAsia="zh-CN"/>
        </w:rPr>
        <w:t>和主评人</w:t>
      </w:r>
      <w:r>
        <w:rPr>
          <w:rFonts w:hint="eastAsia" w:hAnsi="Calibri" w:cs="黑体"/>
          <w:bCs/>
        </w:rPr>
        <w:t>的工作，帮助收集</w:t>
      </w:r>
      <w:r>
        <w:rPr>
          <w:rFonts w:hint="eastAsia" w:hAnsi="Calibri" w:cs="黑体"/>
          <w:bCs/>
          <w:lang w:eastAsia="zh-CN"/>
        </w:rPr>
        <w:t>核查资料、</w:t>
      </w:r>
      <w:r>
        <w:rPr>
          <w:rFonts w:hint="eastAsia" w:hAnsi="Calibri" w:cs="黑体"/>
          <w:bCs/>
        </w:rPr>
        <w:t>现场问卷的发放</w:t>
      </w:r>
      <w:r>
        <w:rPr>
          <w:rFonts w:hint="eastAsia" w:hAnsi="Calibri" w:cs="黑体"/>
          <w:bCs/>
          <w:lang w:eastAsia="zh-CN"/>
        </w:rPr>
        <w:t>、访谈以及拍照取证</w:t>
      </w:r>
      <w:r>
        <w:rPr>
          <w:rFonts w:hint="eastAsia" w:hAnsi="Calibri" w:cs="黑体"/>
          <w:bCs/>
        </w:rPr>
        <w:t>等基础性工作。</w:t>
      </w:r>
      <w:r>
        <w:rPr>
          <w:rFonts w:hint="eastAsia" w:hAnsi="Calibri" w:cs="黑体"/>
          <w:bCs/>
          <w:lang w:eastAsia="zh-CN"/>
        </w:rPr>
        <w:t>同时，负责项目组人员衣食住行、保障项目组人员在外期间的安全</w:t>
      </w:r>
      <w:r>
        <w:rPr>
          <w:rFonts w:hint="eastAsia" w:hAnsi="Calibri" w:cs="黑体"/>
          <w:bCs/>
          <w:lang w:val="en-US" w:eastAsia="zh-CN"/>
        </w:rPr>
        <w:t>等。</w:t>
      </w:r>
      <w:r>
        <w:rPr>
          <w:rFonts w:hint="eastAsia" w:hAnsi="Calibri" w:cs="黑体"/>
          <w:bCs/>
        </w:rPr>
        <w:t>具体人员的安排如下</w:t>
      </w:r>
      <w:r>
        <w:rPr>
          <w:rFonts w:hint="eastAsia" w:hAnsi="Calibri" w:cs="黑体"/>
          <w:bCs/>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sz w:val="28"/>
          <w:szCs w:val="28"/>
          <w:highlight w:val="none"/>
        </w:rPr>
      </w:pPr>
      <w:r>
        <w:rPr>
          <w:rFonts w:hint="eastAsia" w:ascii="宋体" w:hAnsi="宋体" w:eastAsia="宋体" w:cs="宋体"/>
          <w:b/>
          <w:sz w:val="28"/>
          <w:szCs w:val="28"/>
          <w:highlight w:val="none"/>
          <w:lang w:val="en-US" w:eastAsia="zh-CN"/>
        </w:rPr>
        <w:t>表3 西宁市城中区2021年校园保安专项资金</w:t>
      </w:r>
      <w:r>
        <w:rPr>
          <w:rFonts w:hint="eastAsia" w:ascii="宋体" w:hAnsi="宋体" w:eastAsia="宋体" w:cs="宋体"/>
          <w:b/>
          <w:sz w:val="28"/>
          <w:szCs w:val="28"/>
          <w:highlight w:val="none"/>
        </w:rPr>
        <w:t>绩效评价人员安排</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1360"/>
        <w:gridCol w:w="1679"/>
        <w:gridCol w:w="4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892"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评价组成员</w:t>
            </w:r>
          </w:p>
        </w:tc>
        <w:tc>
          <w:tcPr>
            <w:tcW w:w="750"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姓名</w:t>
            </w:r>
          </w:p>
        </w:tc>
        <w:tc>
          <w:tcPr>
            <w:tcW w:w="926"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职称</w:t>
            </w:r>
          </w:p>
        </w:tc>
        <w:tc>
          <w:tcPr>
            <w:tcW w:w="2429"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892" w:type="pct"/>
            <w:shd w:val="clear" w:color="auto" w:fill="auto"/>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主评人</w:t>
            </w:r>
          </w:p>
        </w:tc>
        <w:tc>
          <w:tcPr>
            <w:tcW w:w="750" w:type="pct"/>
            <w:shd w:val="clear" w:color="auto" w:fill="auto"/>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王守成</w:t>
            </w:r>
          </w:p>
        </w:tc>
        <w:tc>
          <w:tcPr>
            <w:tcW w:w="926" w:type="pct"/>
            <w:shd w:val="clear" w:color="auto" w:fill="auto"/>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中级会计师</w:t>
            </w:r>
          </w:p>
        </w:tc>
        <w:tc>
          <w:tcPr>
            <w:tcW w:w="2429" w:type="pct"/>
            <w:shd w:val="clear" w:color="auto" w:fill="auto"/>
            <w:vAlign w:val="center"/>
          </w:tcPr>
          <w:p>
            <w:pPr>
              <w:pageBreakBefore w:val="0"/>
              <w:overflowPunct/>
              <w:topLinePunct w:val="0"/>
              <w:bidi w:val="0"/>
              <w:adjustRightInd w:val="0"/>
              <w:snapToGrid w:val="0"/>
              <w:spacing w:line="576" w:lineRule="exact"/>
              <w:ind w:left="0" w:leftChars="0" w:firstLine="0" w:firstLineChars="0"/>
              <w:jc w:val="both"/>
              <w:rPr>
                <w:rFonts w:hint="eastAsia" w:ascii="宋体" w:hAnsi="宋体" w:eastAsia="宋体" w:cs="宋体"/>
                <w:b/>
                <w:sz w:val="24"/>
                <w:szCs w:val="24"/>
                <w:highlight w:val="none"/>
              </w:rPr>
            </w:pPr>
            <w:r>
              <w:rPr>
                <w:rFonts w:hint="eastAsia" w:ascii="宋体" w:hAnsi="宋体" w:eastAsia="宋体" w:cs="宋体"/>
                <w:kern w:val="2"/>
                <w:sz w:val="24"/>
                <w:szCs w:val="24"/>
                <w:highlight w:val="none"/>
                <w:lang w:val="en-US" w:eastAsia="zh-CN" w:bidi="ar-SA"/>
              </w:rPr>
              <w:t>统筹绩效评价整体工作。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jc w:val="center"/>
        </w:trPr>
        <w:tc>
          <w:tcPr>
            <w:tcW w:w="892"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项目经理</w:t>
            </w:r>
          </w:p>
        </w:tc>
        <w:tc>
          <w:tcPr>
            <w:tcW w:w="750"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李丽霞</w:t>
            </w:r>
          </w:p>
        </w:tc>
        <w:tc>
          <w:tcPr>
            <w:tcW w:w="926" w:type="pct"/>
            <w:vAlign w:val="center"/>
          </w:tcPr>
          <w:p>
            <w:pPr>
              <w:pageBreakBefore w:val="0"/>
              <w:overflowPunct/>
              <w:topLinePunct w:val="0"/>
              <w:bidi w:val="0"/>
              <w:adjustRightInd w:val="0"/>
              <w:snapToGrid w:val="0"/>
              <w:spacing w:line="576" w:lineRule="exact"/>
              <w:ind w:left="0" w:leftChars="0" w:firstLine="0" w:firstLineChars="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初级会计师</w:t>
            </w:r>
          </w:p>
        </w:tc>
        <w:tc>
          <w:tcPr>
            <w:tcW w:w="2429" w:type="pct"/>
            <w:vAlign w:val="center"/>
          </w:tcPr>
          <w:p>
            <w:pPr>
              <w:pageBreakBefore w:val="0"/>
              <w:overflowPunct/>
              <w:topLinePunct w:val="0"/>
              <w:bidi w:val="0"/>
              <w:adjustRightInd w:val="0"/>
              <w:snapToGrid w:val="0"/>
              <w:spacing w:line="576" w:lineRule="exact"/>
              <w:ind w:left="0" w:leftChars="0" w:firstLine="0" w:firstLineChars="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总体负责实地调研项目对接</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查阅项目资料（包括项目和资金）总体负责对项目实施情况的核查调研、对项目助理发现的问题建议进行判断确认并进行汇总</w:t>
            </w:r>
            <w:r>
              <w:rPr>
                <w:rFonts w:hint="eastAsia" w:ascii="宋体" w:hAnsi="宋体" w:eastAsia="宋体" w:cs="宋体"/>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892"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项目助理</w:t>
            </w:r>
          </w:p>
        </w:tc>
        <w:tc>
          <w:tcPr>
            <w:tcW w:w="750"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马志芳</w:t>
            </w:r>
          </w:p>
        </w:tc>
        <w:tc>
          <w:tcPr>
            <w:tcW w:w="926"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2429" w:type="pct"/>
            <w:vAlign w:val="center"/>
          </w:tcPr>
          <w:p>
            <w:pPr>
              <w:pageBreakBefore w:val="0"/>
              <w:overflowPunct/>
              <w:topLinePunct w:val="0"/>
              <w:bidi w:val="0"/>
              <w:adjustRightInd w:val="0"/>
              <w:snapToGrid w:val="0"/>
              <w:spacing w:line="576" w:lineRule="exact"/>
              <w:ind w:left="0" w:leftChars="0" w:firstLine="0" w:firstLineChars="0"/>
              <w:jc w:val="both"/>
              <w:rPr>
                <w:rFonts w:hint="eastAsia" w:ascii="宋体" w:hAnsi="宋体" w:eastAsia="宋体" w:cs="宋体"/>
                <w:b/>
                <w:sz w:val="24"/>
                <w:szCs w:val="24"/>
                <w:highlight w:val="none"/>
              </w:rPr>
            </w:pPr>
            <w:r>
              <w:rPr>
                <w:rFonts w:hint="eastAsia" w:ascii="宋体" w:hAnsi="宋体" w:eastAsia="宋体" w:cs="宋体"/>
                <w:sz w:val="24"/>
                <w:szCs w:val="24"/>
                <w:highlight w:val="none"/>
              </w:rPr>
              <w:t>协助调研负责人开展项目实施文件的查阅，按照项目资料清单确认全部资料已查看到位，填写项目基本情况汇总表并交由</w:t>
            </w:r>
            <w:r>
              <w:rPr>
                <w:rFonts w:hint="eastAsia" w:ascii="宋体" w:hAnsi="宋体" w:eastAsia="宋体" w:cs="宋体"/>
                <w:sz w:val="24"/>
                <w:szCs w:val="24"/>
                <w:highlight w:val="none"/>
                <w:lang w:eastAsia="zh-CN"/>
              </w:rPr>
              <w:t>项目经理</w:t>
            </w:r>
            <w:r>
              <w:rPr>
                <w:rFonts w:hint="eastAsia" w:ascii="宋体" w:hAnsi="宋体" w:eastAsia="宋体" w:cs="宋体"/>
                <w:sz w:val="24"/>
                <w:szCs w:val="24"/>
                <w:highlight w:val="none"/>
              </w:rPr>
              <w:t>确认</w:t>
            </w:r>
            <w:r>
              <w:rPr>
                <w:rFonts w:hint="eastAsia" w:ascii="宋体" w:hAnsi="宋体" w:eastAsia="宋体" w:cs="宋体"/>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jc w:val="center"/>
        </w:trPr>
        <w:tc>
          <w:tcPr>
            <w:tcW w:w="892"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项目助理</w:t>
            </w:r>
          </w:p>
        </w:tc>
        <w:tc>
          <w:tcPr>
            <w:tcW w:w="750"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师琼</w:t>
            </w:r>
          </w:p>
        </w:tc>
        <w:tc>
          <w:tcPr>
            <w:tcW w:w="926"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初级会计师</w:t>
            </w:r>
          </w:p>
        </w:tc>
        <w:tc>
          <w:tcPr>
            <w:tcW w:w="2429" w:type="pct"/>
            <w:vAlign w:val="center"/>
          </w:tcPr>
          <w:p>
            <w:pPr>
              <w:pageBreakBefore w:val="0"/>
              <w:overflowPunct/>
              <w:topLinePunct w:val="0"/>
              <w:bidi w:val="0"/>
              <w:adjustRightInd w:val="0"/>
              <w:snapToGrid w:val="0"/>
              <w:spacing w:line="576" w:lineRule="exact"/>
              <w:ind w:left="0" w:lef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协助</w:t>
            </w:r>
            <w:r>
              <w:rPr>
                <w:rFonts w:hint="eastAsia" w:ascii="宋体" w:hAnsi="宋体" w:eastAsia="宋体" w:cs="宋体"/>
                <w:sz w:val="24"/>
                <w:szCs w:val="24"/>
                <w:highlight w:val="none"/>
                <w:lang w:eastAsia="zh-CN"/>
              </w:rPr>
              <w:t>项目经理</w:t>
            </w:r>
            <w:r>
              <w:rPr>
                <w:rFonts w:hint="eastAsia" w:ascii="宋体" w:hAnsi="宋体" w:eastAsia="宋体" w:cs="宋体"/>
                <w:sz w:val="24"/>
                <w:szCs w:val="24"/>
                <w:highlight w:val="none"/>
              </w:rPr>
              <w:t>查看项目资金相关资料包括资金下达文件、核对资金使用数、会计账簿、项目明细账等；协助</w:t>
            </w:r>
            <w:r>
              <w:rPr>
                <w:rFonts w:hint="eastAsia" w:ascii="宋体" w:hAnsi="宋体" w:eastAsia="宋体" w:cs="宋体"/>
                <w:sz w:val="24"/>
                <w:szCs w:val="24"/>
                <w:highlight w:val="none"/>
                <w:lang w:eastAsia="zh-CN"/>
              </w:rPr>
              <w:t>项目经理</w:t>
            </w:r>
            <w:r>
              <w:rPr>
                <w:rFonts w:hint="eastAsia" w:ascii="宋体" w:hAnsi="宋体" w:eastAsia="宋体" w:cs="宋体"/>
                <w:sz w:val="24"/>
                <w:szCs w:val="24"/>
                <w:highlight w:val="none"/>
              </w:rPr>
              <w:t>对所收集的数据资料进行整理分析。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892"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质控人员</w:t>
            </w:r>
          </w:p>
        </w:tc>
        <w:tc>
          <w:tcPr>
            <w:tcW w:w="750"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魏巧玲</w:t>
            </w:r>
          </w:p>
        </w:tc>
        <w:tc>
          <w:tcPr>
            <w:tcW w:w="926"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中级经济师</w:t>
            </w:r>
          </w:p>
        </w:tc>
        <w:tc>
          <w:tcPr>
            <w:tcW w:w="2429" w:type="pct"/>
            <w:vAlign w:val="center"/>
          </w:tcPr>
          <w:p>
            <w:pPr>
              <w:pageBreakBefore w:val="0"/>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负责项目报告的质量控制，包括项目实施方案、指标体系、绩效评价报告等工作的审核及质量把控。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892"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质控人员</w:t>
            </w:r>
          </w:p>
        </w:tc>
        <w:tc>
          <w:tcPr>
            <w:tcW w:w="750"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高  瑞</w:t>
            </w:r>
          </w:p>
        </w:tc>
        <w:tc>
          <w:tcPr>
            <w:tcW w:w="926"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中级经济师</w:t>
            </w:r>
          </w:p>
        </w:tc>
        <w:tc>
          <w:tcPr>
            <w:tcW w:w="2429" w:type="pct"/>
            <w:vAlign w:val="center"/>
          </w:tcPr>
          <w:p>
            <w:pPr>
              <w:pageBreakBefore w:val="0"/>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负责项目报告的质量控制，包括项目实施方案、指标体系、绩效评价报告等工作的审核及质量把控。</w:t>
            </w:r>
          </w:p>
        </w:tc>
      </w:tr>
    </w:tbl>
    <w:p>
      <w:pPr>
        <w:pStyle w:val="4"/>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ascii="楷体" w:hAnsi="楷体" w:eastAsia="楷体" w:cs="楷体"/>
          <w:color w:val="auto"/>
          <w:highlight w:val="none"/>
          <w:lang w:eastAsia="zh-CN"/>
        </w:rPr>
      </w:pPr>
      <w:bookmarkStart w:id="283" w:name="_Toc19825"/>
      <w:bookmarkStart w:id="284" w:name="_Toc15216"/>
      <w:bookmarkStart w:id="285" w:name="_Toc19704"/>
      <w:bookmarkStart w:id="286" w:name="_Toc8537"/>
      <w:r>
        <w:rPr>
          <w:rFonts w:hint="eastAsia" w:ascii="楷体" w:hAnsi="楷体" w:eastAsia="楷体" w:cs="楷体"/>
          <w:color w:val="auto"/>
          <w:highlight w:val="none"/>
          <w:lang w:eastAsia="zh-CN"/>
        </w:rPr>
        <w:t>（八）绩效评价工作过程</w:t>
      </w:r>
      <w:bookmarkEnd w:id="283"/>
      <w:bookmarkEnd w:id="284"/>
      <w:bookmarkEnd w:id="285"/>
      <w:bookmarkEnd w:id="286"/>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rPr>
          <w:rFonts w:hint="default"/>
          <w:b/>
          <w:color w:val="auto"/>
          <w:highlight w:val="none"/>
          <w:lang w:val="en-US" w:eastAsia="zh-CN"/>
        </w:rPr>
      </w:pPr>
      <w:r>
        <w:rPr>
          <w:rFonts w:hint="eastAsia" w:ascii="仿宋_GB2312" w:eastAsia="仿宋_GB2312"/>
          <w:b/>
          <w:color w:val="auto"/>
          <w:highlight w:val="none"/>
          <w:lang w:val="en-US" w:eastAsia="zh-CN"/>
        </w:rPr>
        <w:t>1.项目协调推进</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eastAsia="仿宋_GB2312"/>
          <w:bCs/>
          <w:color w:val="auto"/>
          <w:sz w:val="32"/>
          <w:szCs w:val="32"/>
          <w:highlight w:val="none"/>
          <w:lang w:val="en-US" w:eastAsia="zh-CN"/>
        </w:rPr>
      </w:pPr>
      <w:r>
        <w:rPr>
          <w:rFonts w:hint="default" w:ascii="Times New Roman" w:hAnsi="Times New Roman" w:cs="Times New Roman"/>
          <w:b w:val="0"/>
          <w:bCs w:val="0"/>
          <w:color w:val="auto"/>
          <w:sz w:val="32"/>
          <w:szCs w:val="32"/>
          <w:highlight w:val="none"/>
          <w:lang w:val="en-US" w:eastAsia="zh-CN"/>
        </w:rPr>
        <w:t>10月26日至11月2</w:t>
      </w:r>
      <w:r>
        <w:rPr>
          <w:rFonts w:hint="eastAsia" w:cs="仿宋_GB2312"/>
          <w:b w:val="0"/>
          <w:bCs w:val="0"/>
          <w:color w:val="auto"/>
          <w:sz w:val="32"/>
          <w:szCs w:val="32"/>
          <w:highlight w:val="none"/>
          <w:lang w:val="en-US" w:eastAsia="zh-CN"/>
        </w:rPr>
        <w:t>4日，项目绩效评价工作组由于疫情影响重点开展项目绩效评价非现场工作。</w:t>
      </w:r>
      <w:r>
        <w:rPr>
          <w:rFonts w:hint="eastAsia" w:cs="仿宋_GB2312"/>
          <w:b/>
          <w:bCs/>
          <w:color w:val="auto"/>
          <w:sz w:val="32"/>
          <w:szCs w:val="32"/>
          <w:highlight w:val="none"/>
          <w:lang w:val="en-US" w:eastAsia="zh-CN"/>
        </w:rPr>
        <w:t>一是</w:t>
      </w:r>
      <w:r>
        <w:rPr>
          <w:rFonts w:hint="eastAsia" w:ascii="仿宋_GB2312" w:eastAsia="仿宋_GB2312"/>
          <w:bCs/>
          <w:color w:val="auto"/>
          <w:sz w:val="32"/>
          <w:szCs w:val="32"/>
          <w:highlight w:val="none"/>
        </w:rPr>
        <w:t>在与委托方及项目主管单位充分沟通的基础</w:t>
      </w:r>
      <w:r>
        <w:rPr>
          <w:rFonts w:hint="eastAsia" w:ascii="仿宋_GB2312" w:eastAsia="仿宋_GB2312"/>
          <w:bCs/>
          <w:color w:val="auto"/>
          <w:sz w:val="32"/>
          <w:szCs w:val="32"/>
          <w:highlight w:val="none"/>
          <w:lang w:val="en-US" w:eastAsia="zh-CN"/>
        </w:rPr>
        <w:t>后</w:t>
      </w:r>
      <w:r>
        <w:rPr>
          <w:rFonts w:hint="eastAsia" w:ascii="仿宋_GB2312" w:eastAsia="仿宋_GB2312"/>
          <w:bCs/>
          <w:color w:val="auto"/>
          <w:sz w:val="32"/>
          <w:szCs w:val="32"/>
          <w:highlight w:val="none"/>
        </w:rPr>
        <w:t>，结合</w:t>
      </w:r>
      <w:r>
        <w:rPr>
          <w:rFonts w:hint="eastAsia" w:eastAsia="仿宋_GB2312"/>
          <w:bCs/>
          <w:color w:val="auto"/>
          <w:sz w:val="32"/>
          <w:szCs w:val="32"/>
          <w:highlight w:val="none"/>
          <w:lang w:eastAsia="zh-CN"/>
        </w:rPr>
        <w:t>收集的基础资料</w:t>
      </w:r>
      <w:r>
        <w:rPr>
          <w:rFonts w:hint="eastAsia" w:ascii="仿宋_GB2312" w:eastAsia="仿宋_GB2312"/>
          <w:bCs/>
          <w:color w:val="auto"/>
          <w:sz w:val="32"/>
          <w:szCs w:val="32"/>
          <w:highlight w:val="none"/>
        </w:rPr>
        <w:t>，</w:t>
      </w:r>
      <w:r>
        <w:rPr>
          <w:rFonts w:hint="eastAsia" w:eastAsia="仿宋_GB2312"/>
          <w:bCs/>
          <w:color w:val="auto"/>
          <w:sz w:val="32"/>
          <w:szCs w:val="32"/>
          <w:highlight w:val="none"/>
          <w:lang w:eastAsia="zh-CN"/>
        </w:rPr>
        <w:t>制定包括符合项目特性的</w:t>
      </w:r>
      <w:r>
        <w:rPr>
          <w:rFonts w:hint="eastAsia" w:ascii="仿宋_GB2312" w:eastAsia="仿宋_GB2312"/>
          <w:bCs/>
          <w:color w:val="auto"/>
          <w:sz w:val="32"/>
          <w:szCs w:val="32"/>
          <w:highlight w:val="none"/>
        </w:rPr>
        <w:t>绩效评价指标体系</w:t>
      </w:r>
      <w:r>
        <w:rPr>
          <w:rFonts w:hint="eastAsia" w:eastAsia="仿宋_GB2312"/>
          <w:bCs/>
          <w:color w:val="auto"/>
          <w:sz w:val="32"/>
          <w:szCs w:val="32"/>
          <w:highlight w:val="none"/>
          <w:lang w:eastAsia="zh-CN"/>
        </w:rPr>
        <w:t>、调查问卷、资料清单、工作底稿以及工作流程的绩效评价实施方案</w:t>
      </w:r>
      <w:r>
        <w:rPr>
          <w:rFonts w:hint="eastAsia" w:ascii="仿宋_GB2312" w:eastAsia="仿宋_GB2312"/>
          <w:bCs/>
          <w:color w:val="auto"/>
          <w:sz w:val="32"/>
          <w:szCs w:val="32"/>
          <w:highlight w:val="none"/>
        </w:rPr>
        <w:t>。</w:t>
      </w:r>
      <w:r>
        <w:rPr>
          <w:rFonts w:hint="eastAsia" w:eastAsia="仿宋_GB2312"/>
          <w:b/>
          <w:bCs w:val="0"/>
          <w:color w:val="auto"/>
          <w:sz w:val="32"/>
          <w:szCs w:val="32"/>
          <w:highlight w:val="none"/>
          <w:lang w:eastAsia="zh-CN"/>
        </w:rPr>
        <w:t>二是</w:t>
      </w:r>
      <w:r>
        <w:rPr>
          <w:rFonts w:hint="eastAsia" w:ascii="仿宋_GB2312" w:eastAsia="仿宋_GB2312"/>
          <w:bCs/>
          <w:color w:val="auto"/>
          <w:sz w:val="32"/>
          <w:szCs w:val="32"/>
          <w:highlight w:val="none"/>
        </w:rPr>
        <w:t>与</w:t>
      </w:r>
      <w:r>
        <w:rPr>
          <w:rFonts w:hint="eastAsia" w:eastAsia="仿宋_GB2312"/>
          <w:bCs/>
          <w:color w:val="auto"/>
          <w:sz w:val="32"/>
          <w:szCs w:val="32"/>
          <w:highlight w:val="none"/>
          <w:lang w:eastAsia="zh-CN"/>
        </w:rPr>
        <w:t>项目主管单位</w:t>
      </w:r>
      <w:r>
        <w:rPr>
          <w:rFonts w:hint="eastAsia" w:ascii="仿宋_GB2312" w:eastAsia="仿宋_GB2312"/>
          <w:bCs/>
          <w:color w:val="auto"/>
          <w:sz w:val="32"/>
          <w:szCs w:val="32"/>
          <w:highlight w:val="none"/>
        </w:rPr>
        <w:t>对接人员</w:t>
      </w:r>
      <w:r>
        <w:rPr>
          <w:rFonts w:hint="eastAsia" w:eastAsia="仿宋_GB2312"/>
          <w:bCs/>
          <w:color w:val="auto"/>
          <w:sz w:val="32"/>
          <w:szCs w:val="32"/>
          <w:highlight w:val="none"/>
          <w:lang w:eastAsia="zh-CN"/>
        </w:rPr>
        <w:t>进行沟通，</w:t>
      </w:r>
      <w:r>
        <w:rPr>
          <w:rFonts w:hint="eastAsia" w:ascii="仿宋_GB2312" w:eastAsia="仿宋_GB2312"/>
          <w:bCs/>
          <w:color w:val="auto"/>
          <w:sz w:val="32"/>
          <w:szCs w:val="32"/>
          <w:highlight w:val="none"/>
        </w:rPr>
        <w:t>将评价所需文件资料清单</w:t>
      </w:r>
      <w:r>
        <w:rPr>
          <w:rFonts w:hint="eastAsia" w:eastAsia="仿宋_GB2312"/>
          <w:bCs/>
          <w:color w:val="auto"/>
          <w:sz w:val="32"/>
          <w:szCs w:val="32"/>
          <w:highlight w:val="none"/>
          <w:lang w:eastAsia="zh-CN"/>
        </w:rPr>
        <w:t>与</w:t>
      </w:r>
      <w:r>
        <w:rPr>
          <w:rFonts w:hint="eastAsia" w:ascii="仿宋_GB2312" w:eastAsia="仿宋_GB2312"/>
          <w:bCs/>
          <w:color w:val="auto"/>
          <w:sz w:val="32"/>
          <w:szCs w:val="32"/>
          <w:highlight w:val="none"/>
        </w:rPr>
        <w:t>评价工作通知提前发送至相关单位进行准备。</w:t>
      </w:r>
      <w:r>
        <w:rPr>
          <w:rFonts w:hint="eastAsia" w:eastAsia="仿宋_GB2312"/>
          <w:b/>
          <w:bCs w:val="0"/>
          <w:color w:val="auto"/>
          <w:sz w:val="32"/>
          <w:szCs w:val="32"/>
          <w:highlight w:val="none"/>
          <w:lang w:eastAsia="zh-CN"/>
        </w:rPr>
        <w:t>三是</w:t>
      </w:r>
      <w:r>
        <w:rPr>
          <w:rFonts w:hint="eastAsia" w:eastAsia="仿宋_GB2312"/>
          <w:b w:val="0"/>
          <w:bCs/>
          <w:color w:val="auto"/>
          <w:sz w:val="32"/>
          <w:szCs w:val="32"/>
          <w:highlight w:val="none"/>
          <w:lang w:eastAsia="zh-CN"/>
        </w:rPr>
        <w:t>就收集的文件资料进行核查整理，并将未能提供的佐证材料电话沟通及时补充资料。</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rPr>
          <w:b/>
          <w:color w:val="auto"/>
          <w:highlight w:val="none"/>
        </w:rPr>
      </w:pPr>
      <w:r>
        <w:rPr>
          <w:rFonts w:hint="eastAsia"/>
          <w:b/>
          <w:color w:val="auto"/>
          <w:highlight w:val="none"/>
        </w:rPr>
        <w:t>2</w:t>
      </w:r>
      <w:r>
        <w:rPr>
          <w:b/>
          <w:color w:val="auto"/>
          <w:highlight w:val="none"/>
        </w:rPr>
        <w:t>.</w:t>
      </w:r>
      <w:r>
        <w:rPr>
          <w:rFonts w:hint="eastAsia"/>
          <w:b/>
          <w:color w:val="auto"/>
          <w:highlight w:val="none"/>
        </w:rPr>
        <w:t>项目实地调研</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color w:val="auto"/>
          <w:highlight w:val="none"/>
          <w:lang w:val="en-US" w:eastAsia="zh-CN"/>
        </w:rPr>
      </w:pPr>
      <w:r>
        <w:rPr>
          <w:rFonts w:hint="eastAsia" w:cs="Times New Roman"/>
          <w:color w:val="auto"/>
          <w:highlight w:val="none"/>
          <w:lang w:val="en-US" w:eastAsia="zh-CN"/>
        </w:rPr>
        <w:t>项目评价工作组在项目实施单位西宁市城中区教育局、青海宏创保安服务有限责任公司收集剩余资料的基础上，对项目实际产出及效益发挥情况进行现场评价，主要了解保安每月</w:t>
      </w:r>
      <w:r>
        <w:rPr>
          <w:rFonts w:hint="eastAsia" w:ascii="Times New Roman" w:hAnsi="Times New Roman" w:cs="Times New Roman"/>
          <w:b w:val="0"/>
          <w:bCs w:val="0"/>
          <w:color w:val="auto"/>
          <w:sz w:val="32"/>
          <w:szCs w:val="32"/>
          <w:highlight w:val="none"/>
          <w:lang w:val="en-US" w:eastAsia="zh-CN"/>
        </w:rPr>
        <w:t>5日</w:t>
      </w:r>
      <w:r>
        <w:rPr>
          <w:rFonts w:hint="eastAsia" w:cs="Times New Roman"/>
          <w:color w:val="auto"/>
          <w:highlight w:val="none"/>
          <w:lang w:val="en-US" w:eastAsia="zh-CN"/>
        </w:rPr>
        <w:t>是否及时发放工资、是否为保安人员购买保险、保安每月工资标准不一致的原因等问题，同时通过与校园师生开展现场访谈及满意度问卷调查，对项目满意度进行调查分析。</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rPr>
          <w:b/>
          <w:color w:val="auto"/>
          <w:highlight w:val="none"/>
        </w:rPr>
      </w:pPr>
      <w:r>
        <w:rPr>
          <w:rFonts w:hint="eastAsia"/>
          <w:b/>
          <w:color w:val="auto"/>
          <w:highlight w:val="none"/>
        </w:rPr>
        <w:t>3</w:t>
      </w:r>
      <w:r>
        <w:rPr>
          <w:b/>
          <w:color w:val="auto"/>
          <w:highlight w:val="none"/>
        </w:rPr>
        <w:t>.</w:t>
      </w:r>
      <w:r>
        <w:rPr>
          <w:rFonts w:hint="eastAsia"/>
          <w:b/>
          <w:color w:val="auto"/>
          <w:highlight w:val="none"/>
        </w:rPr>
        <w:t>项目绩效打分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color w:val="auto"/>
          <w:szCs w:val="32"/>
          <w:highlight w:val="none"/>
        </w:rPr>
      </w:pPr>
      <w:r>
        <w:rPr>
          <w:rFonts w:hint="eastAsia"/>
          <w:color w:val="auto"/>
          <w:highlight w:val="none"/>
        </w:rPr>
        <w:t>项目评价组根据现场收集资料、</w:t>
      </w:r>
      <w:r>
        <w:rPr>
          <w:rFonts w:hint="eastAsia" w:ascii="仿宋_GB2312" w:hAnsi="仿宋_GB2312" w:cs="仿宋_GB2312"/>
          <w:color w:val="auto"/>
          <w:highlight w:val="none"/>
        </w:rPr>
        <w:t>实地</w:t>
      </w:r>
      <w:r>
        <w:rPr>
          <w:rFonts w:hint="eastAsia" w:cs="仿宋_GB2312"/>
          <w:color w:val="auto"/>
          <w:highlight w:val="none"/>
          <w:lang w:eastAsia="zh-CN"/>
        </w:rPr>
        <w:t>调研</w:t>
      </w:r>
      <w:r>
        <w:rPr>
          <w:rFonts w:hint="eastAsia" w:ascii="仿宋_GB2312" w:hAnsi="仿宋_GB2312" w:cs="仿宋_GB2312"/>
          <w:color w:val="auto"/>
          <w:highlight w:val="none"/>
        </w:rPr>
        <w:t>、</w:t>
      </w:r>
      <w:r>
        <w:rPr>
          <w:rFonts w:hint="eastAsia" w:cs="仿宋_GB2312"/>
          <w:color w:val="auto"/>
          <w:highlight w:val="none"/>
          <w:lang w:eastAsia="zh-CN"/>
        </w:rPr>
        <w:t>现场访谈、</w:t>
      </w:r>
      <w:r>
        <w:rPr>
          <w:rFonts w:hint="eastAsia" w:ascii="仿宋_GB2312" w:hAnsi="仿宋_GB2312" w:cs="仿宋_GB2312"/>
          <w:color w:val="auto"/>
          <w:highlight w:val="none"/>
        </w:rPr>
        <w:t>问卷调查</w:t>
      </w:r>
      <w:r>
        <w:rPr>
          <w:rFonts w:hint="eastAsia"/>
          <w:color w:val="auto"/>
          <w:highlight w:val="none"/>
        </w:rPr>
        <w:t>等方式了解到的项目实际情况，以及通过整理</w:t>
      </w:r>
      <w:r>
        <w:rPr>
          <w:rFonts w:hint="eastAsia" w:eastAsia="仿宋_GB2312"/>
          <w:color w:val="auto"/>
          <w:highlight w:val="none"/>
          <w:lang w:eastAsia="zh-CN"/>
        </w:rPr>
        <w:t>项目</w:t>
      </w:r>
      <w:r>
        <w:rPr>
          <w:rFonts w:hint="eastAsia"/>
          <w:color w:val="auto"/>
          <w:highlight w:val="none"/>
        </w:rPr>
        <w:t>实施单位关于项目</w:t>
      </w:r>
      <w:r>
        <w:rPr>
          <w:rFonts w:hint="eastAsia" w:eastAsia="仿宋_GB2312"/>
          <w:color w:val="auto"/>
          <w:highlight w:val="none"/>
          <w:lang w:eastAsia="zh-CN"/>
        </w:rPr>
        <w:t>组织</w:t>
      </w:r>
      <w:r>
        <w:rPr>
          <w:rFonts w:hint="eastAsia"/>
          <w:color w:val="auto"/>
          <w:highlight w:val="none"/>
        </w:rPr>
        <w:t>实施</w:t>
      </w:r>
      <w:r>
        <w:rPr>
          <w:rFonts w:hint="eastAsia" w:eastAsia="仿宋_GB2312"/>
          <w:color w:val="auto"/>
          <w:highlight w:val="none"/>
          <w:lang w:eastAsia="zh-CN"/>
        </w:rPr>
        <w:t>、项目</w:t>
      </w:r>
      <w:r>
        <w:rPr>
          <w:rFonts w:hint="eastAsia"/>
          <w:color w:val="auto"/>
          <w:highlight w:val="none"/>
        </w:rPr>
        <w:t>资金</w:t>
      </w:r>
      <w:r>
        <w:rPr>
          <w:rFonts w:hint="eastAsia" w:eastAsia="仿宋_GB2312"/>
          <w:color w:val="auto"/>
          <w:highlight w:val="none"/>
          <w:lang w:eastAsia="zh-CN"/>
        </w:rPr>
        <w:t>使用、项目产出效益等佐证材料，</w:t>
      </w:r>
      <w:r>
        <w:rPr>
          <w:rFonts w:hint="eastAsia"/>
          <w:color w:val="auto"/>
          <w:highlight w:val="none"/>
        </w:rPr>
        <w:t>对照绩效评价指标体系，逐项进行绩效打分</w:t>
      </w:r>
      <w:r>
        <w:rPr>
          <w:rFonts w:hint="eastAsia" w:eastAsia="仿宋_GB2312"/>
          <w:color w:val="auto"/>
          <w:highlight w:val="none"/>
          <w:lang w:eastAsia="zh-CN"/>
        </w:rPr>
        <w:t>，</w:t>
      </w:r>
      <w:r>
        <w:rPr>
          <w:rFonts w:hint="eastAsia"/>
          <w:color w:val="auto"/>
          <w:highlight w:val="none"/>
        </w:rPr>
        <w:t>形成最终评分结果。</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ascii="仿宋_GB2312" w:hAnsi="仿宋_GB2312" w:cs="仿宋_GB2312"/>
          <w:color w:val="auto"/>
          <w:highlight w:val="none"/>
        </w:rPr>
      </w:pPr>
      <w:r>
        <w:rPr>
          <w:rFonts w:hint="eastAsia" w:ascii="仿宋_GB2312" w:hAnsi="仿宋_GB2312" w:cs="仿宋_GB2312"/>
          <w:color w:val="auto"/>
          <w:highlight w:val="none"/>
        </w:rPr>
        <w:t>（1）绩效评分采用打分法，总分设</w:t>
      </w:r>
      <w:r>
        <w:rPr>
          <w:rFonts w:hint="eastAsia" w:ascii="Times New Roman" w:hAnsi="Times New Roman" w:cs="Times New Roman"/>
          <w:b w:val="0"/>
          <w:bCs w:val="0"/>
          <w:color w:val="auto"/>
          <w:sz w:val="32"/>
          <w:szCs w:val="32"/>
          <w:highlight w:val="none"/>
          <w:lang w:val="en-US" w:eastAsia="zh-CN"/>
        </w:rPr>
        <w:t>置100分</w:t>
      </w:r>
      <w:r>
        <w:rPr>
          <w:rFonts w:hint="eastAsia" w:ascii="仿宋_GB2312" w:hAnsi="仿宋_GB2312" w:cs="仿宋_GB2312"/>
          <w:color w:val="auto"/>
          <w:highlight w:val="none"/>
        </w:rPr>
        <w:t>。根据不同评价准则、不同评价问题、各评价指标的重要性，相应赋予不同分值。</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cs="Times New Roman"/>
          <w:b w:val="0"/>
          <w:bCs w:val="0"/>
          <w:color w:val="auto"/>
          <w:sz w:val="32"/>
          <w:szCs w:val="32"/>
          <w:highlight w:val="none"/>
          <w:lang w:val="en-US" w:eastAsia="zh-CN"/>
        </w:rPr>
      </w:pPr>
      <w:r>
        <w:rPr>
          <w:rFonts w:hint="eastAsia" w:ascii="仿宋_GB2312" w:hAnsi="仿宋_GB2312" w:cs="仿宋_GB2312"/>
          <w:color w:val="auto"/>
          <w:highlight w:val="none"/>
        </w:rPr>
        <w:t>（2）根据评分标准，达到要求的指标记标准分满分，不能达到标准的按照评分标准进行打分，得分最低为</w:t>
      </w:r>
      <w:r>
        <w:rPr>
          <w:rFonts w:hint="eastAsia" w:ascii="Times New Roman" w:hAnsi="Times New Roman" w:cs="Times New Roman"/>
          <w:b w:val="0"/>
          <w:bCs w:val="0"/>
          <w:color w:val="auto"/>
          <w:sz w:val="32"/>
          <w:szCs w:val="32"/>
          <w:highlight w:val="none"/>
          <w:lang w:val="en-US" w:eastAsia="zh-CN"/>
        </w:rPr>
        <w:t>0分。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cs="Times New Roman"/>
          <w:b w:val="0"/>
          <w:bCs w:val="0"/>
          <w:color w:val="auto"/>
          <w:sz w:val="32"/>
          <w:szCs w:val="32"/>
          <w:highlight w:val="none"/>
          <w:lang w:val="en-US" w:eastAsia="zh-CN"/>
        </w:rPr>
      </w:pPr>
      <w:r>
        <w:rPr>
          <w:rFonts w:hint="eastAsia" w:ascii="Times New Roman" w:hAnsi="Times New Roman" w:cs="Times New Roman"/>
          <w:b w:val="0"/>
          <w:bCs w:val="0"/>
          <w:color w:val="auto"/>
          <w:sz w:val="32"/>
          <w:szCs w:val="32"/>
          <w:highlight w:val="none"/>
          <w:lang w:val="en-US" w:eastAsia="zh-CN"/>
        </w:rPr>
        <w:t>（3）根据《财政部关于印发&lt;项目支出绩效评价管理办法&gt;的通知》（财预〔2020〕10号）文件，绩效评价结果采用评分和评级相结合的方式，总分设置为100分，等级划分为以下四档：</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cs="Times New Roman"/>
          <w:b w:val="0"/>
          <w:bCs w:val="0"/>
          <w:color w:val="auto"/>
          <w:sz w:val="32"/>
          <w:szCs w:val="32"/>
          <w:highlight w:val="none"/>
          <w:lang w:val="en-US" w:eastAsia="zh-CN"/>
        </w:rPr>
      </w:pPr>
      <w:r>
        <w:rPr>
          <w:rFonts w:hint="eastAsia" w:ascii="Times New Roman" w:hAnsi="Times New Roman" w:cs="Times New Roman"/>
          <w:b w:val="0"/>
          <w:bCs w:val="0"/>
          <w:color w:val="auto"/>
          <w:sz w:val="32"/>
          <w:szCs w:val="32"/>
          <w:highlight w:val="none"/>
          <w:lang w:val="en-US" w:eastAsia="zh-CN"/>
        </w:rPr>
        <w:t>优：90分（含）-100分；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cs="Times New Roman"/>
          <w:b w:val="0"/>
          <w:bCs w:val="0"/>
          <w:color w:val="auto"/>
          <w:sz w:val="32"/>
          <w:szCs w:val="32"/>
          <w:highlight w:val="none"/>
          <w:lang w:val="en-US" w:eastAsia="zh-CN"/>
        </w:rPr>
      </w:pPr>
      <w:r>
        <w:rPr>
          <w:rFonts w:hint="eastAsia" w:ascii="Times New Roman" w:hAnsi="Times New Roman" w:cs="Times New Roman"/>
          <w:b w:val="0"/>
          <w:bCs w:val="0"/>
          <w:color w:val="auto"/>
          <w:sz w:val="32"/>
          <w:szCs w:val="32"/>
          <w:highlight w:val="none"/>
          <w:lang w:val="en-US" w:eastAsia="zh-CN"/>
        </w:rPr>
        <w:t>良：80分（含）-90分；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cs="Times New Roman"/>
          <w:b w:val="0"/>
          <w:bCs w:val="0"/>
          <w:color w:val="auto"/>
          <w:sz w:val="32"/>
          <w:szCs w:val="32"/>
          <w:highlight w:val="none"/>
          <w:lang w:val="en-US" w:eastAsia="zh-CN"/>
        </w:rPr>
      </w:pPr>
      <w:r>
        <w:rPr>
          <w:rFonts w:hint="eastAsia" w:ascii="Times New Roman" w:hAnsi="Times New Roman" w:cs="Times New Roman"/>
          <w:b w:val="0"/>
          <w:bCs w:val="0"/>
          <w:color w:val="auto"/>
          <w:sz w:val="32"/>
          <w:szCs w:val="32"/>
          <w:highlight w:val="none"/>
          <w:lang w:val="en-US" w:eastAsia="zh-CN"/>
        </w:rPr>
        <w:t>中：60分（含）-80分；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cs="Times New Roman"/>
          <w:b w:val="0"/>
          <w:bCs w:val="0"/>
          <w:color w:val="auto"/>
          <w:sz w:val="32"/>
          <w:szCs w:val="32"/>
          <w:highlight w:val="none"/>
          <w:lang w:val="en-US" w:eastAsia="zh-CN"/>
        </w:rPr>
      </w:pPr>
      <w:r>
        <w:rPr>
          <w:rFonts w:hint="eastAsia" w:ascii="Times New Roman" w:hAnsi="Times New Roman" w:cs="Times New Roman"/>
          <w:b w:val="0"/>
          <w:bCs w:val="0"/>
          <w:color w:val="auto"/>
          <w:sz w:val="32"/>
          <w:szCs w:val="32"/>
          <w:highlight w:val="none"/>
          <w:lang w:val="en-US" w:eastAsia="zh-CN"/>
        </w:rPr>
        <w:t>差：60分以下为差。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ascii="Times New Roman" w:hAnsi="Times New Roman" w:cs="Times New Roman"/>
          <w:color w:val="auto"/>
          <w:highlight w:val="none"/>
        </w:rPr>
      </w:pPr>
      <w:r>
        <w:rPr>
          <w:rFonts w:hint="eastAsia" w:ascii="仿宋_GB2312" w:hAnsi="仿宋_GB2312" w:cs="仿宋_GB2312"/>
          <w:color w:val="auto"/>
          <w:highlight w:val="none"/>
        </w:rPr>
        <w:t>根据</w:t>
      </w:r>
      <w:r>
        <w:rPr>
          <w:rFonts w:hint="eastAsia" w:cs="仿宋_GB2312"/>
          <w:color w:val="auto"/>
          <w:highlight w:val="none"/>
          <w:lang w:eastAsia="zh-CN"/>
        </w:rPr>
        <w:t>各评价指标得分</w:t>
      </w:r>
      <w:r>
        <w:rPr>
          <w:rFonts w:hint="eastAsia" w:ascii="仿宋_GB2312" w:hAnsi="仿宋_GB2312" w:cs="仿宋_GB2312"/>
          <w:color w:val="auto"/>
          <w:highlight w:val="none"/>
        </w:rPr>
        <w:t>分值</w:t>
      </w:r>
      <w:r>
        <w:rPr>
          <w:rFonts w:hint="eastAsia" w:cs="仿宋_GB2312"/>
          <w:color w:val="auto"/>
          <w:highlight w:val="none"/>
          <w:lang w:eastAsia="zh-CN"/>
        </w:rPr>
        <w:t>的总和</w:t>
      </w:r>
      <w:r>
        <w:rPr>
          <w:rFonts w:hint="eastAsia" w:ascii="仿宋_GB2312" w:hAnsi="仿宋_GB2312" w:cs="仿宋_GB2312"/>
          <w:color w:val="auto"/>
          <w:highlight w:val="none"/>
        </w:rPr>
        <w:t>，确定评价对象最后达到的</w:t>
      </w:r>
      <w:r>
        <w:rPr>
          <w:rFonts w:hint="eastAsia" w:cs="仿宋_GB2312"/>
          <w:color w:val="auto"/>
          <w:highlight w:val="none"/>
          <w:lang w:eastAsia="zh-CN"/>
        </w:rPr>
        <w:t>评价等级</w:t>
      </w:r>
      <w:r>
        <w:rPr>
          <w:rFonts w:hint="eastAsia" w:ascii="仿宋_GB2312" w:hAnsi="仿宋_GB2312" w:cs="仿宋_GB2312"/>
          <w:color w:val="auto"/>
          <w:highlight w:val="none"/>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rPr>
          <w:b/>
          <w:color w:val="auto"/>
          <w:highlight w:val="none"/>
        </w:rPr>
      </w:pPr>
      <w:r>
        <w:rPr>
          <w:rFonts w:hint="eastAsia"/>
          <w:b/>
          <w:color w:val="auto"/>
          <w:highlight w:val="none"/>
        </w:rPr>
        <w:t>4</w:t>
      </w:r>
      <w:r>
        <w:rPr>
          <w:b/>
          <w:color w:val="auto"/>
          <w:highlight w:val="none"/>
        </w:rPr>
        <w:t>.</w:t>
      </w:r>
      <w:r>
        <w:rPr>
          <w:rFonts w:hint="eastAsia"/>
          <w:b/>
          <w:color w:val="auto"/>
          <w:highlight w:val="none"/>
        </w:rPr>
        <w:t>撰写评价报告</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ascii="Times New Roman" w:hAnsi="Times New Roman" w:cs="Times New Roman"/>
          <w:color w:val="auto"/>
          <w:highlight w:val="none"/>
        </w:rPr>
      </w:pPr>
      <w:r>
        <w:rPr>
          <w:rFonts w:hint="eastAsia" w:ascii="仿宋_GB2312" w:hAnsi="Geneva" w:cs="仿宋_GB2312"/>
          <w:color w:val="auto"/>
          <w:kern w:val="0"/>
          <w:szCs w:val="32"/>
          <w:highlight w:val="none"/>
        </w:rPr>
        <w:t>（1）数据整理分析：</w:t>
      </w:r>
      <w:r>
        <w:rPr>
          <w:rFonts w:hint="eastAsia" w:ascii="Times New Roman" w:hAnsi="Times New Roman" w:cs="Times New Roman"/>
          <w:color w:val="auto"/>
          <w:highlight w:val="none"/>
        </w:rPr>
        <w:t>项目评价组就项目评价实施阶段收集的资料</w:t>
      </w:r>
      <w:r>
        <w:rPr>
          <w:rFonts w:hint="eastAsia" w:ascii="Times New Roman" w:hAnsi="Times New Roman" w:cs="Times New Roman"/>
          <w:color w:val="auto"/>
          <w:highlight w:val="none"/>
          <w:lang w:eastAsia="zh-CN"/>
        </w:rPr>
        <w:t>及</w:t>
      </w:r>
      <w:r>
        <w:rPr>
          <w:rFonts w:hint="eastAsia" w:ascii="Times New Roman" w:hAnsi="Times New Roman" w:cs="Times New Roman"/>
          <w:color w:val="auto"/>
          <w:highlight w:val="none"/>
        </w:rPr>
        <w:t>问卷访谈结果等进行分类整理。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pPr>
      <w:r>
        <w:rPr>
          <w:rFonts w:hint="eastAsia" w:ascii="仿宋_GB2312" w:hAnsi="Geneva" w:cs="仿宋_GB2312"/>
          <w:color w:val="auto"/>
          <w:kern w:val="0"/>
          <w:szCs w:val="32"/>
          <w:highlight w:val="none"/>
        </w:rPr>
        <w:t>（2）撰写报告初稿：</w:t>
      </w:r>
      <w:r>
        <w:rPr>
          <w:rFonts w:hint="eastAsia" w:ascii="仿宋_GB2312" w:hAnsi="仿宋_GB2312" w:cs="仿宋_GB2312"/>
          <w:color w:val="auto"/>
          <w:szCs w:val="32"/>
          <w:highlight w:val="none"/>
        </w:rPr>
        <w:t>按照拟定的报告提纲，以数据为支撑，参考相关文件资料，挈领提纲、突出要点、提炼亮点，分点陈述存在的问题并提出针对性强的建议。在约定的时期内撰写并提交格式规范、内容完整、结论明确的绩效评价报告初稿。</w:t>
      </w:r>
    </w:p>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outlineLvl w:val="9"/>
        <w:rPr>
          <w:rFonts w:hint="eastAsia" w:ascii="仿宋_GB2312" w:hAnsi="Geneva" w:eastAsia="仿宋_GB2312" w:cs="仿宋_GB2312"/>
          <w:color w:val="auto"/>
          <w:kern w:val="0"/>
          <w:sz w:val="32"/>
          <w:szCs w:val="32"/>
          <w:highlight w:val="none"/>
          <w:lang w:val="en-US" w:eastAsia="zh-CN" w:bidi="ar-SA"/>
        </w:rPr>
      </w:pPr>
      <w:r>
        <w:rPr>
          <w:rFonts w:hint="eastAsia" w:ascii="仿宋_GB2312" w:hAnsi="Geneva" w:eastAsia="仿宋_GB2312" w:cs="仿宋_GB2312"/>
          <w:color w:val="auto"/>
          <w:kern w:val="0"/>
          <w:sz w:val="32"/>
          <w:szCs w:val="32"/>
          <w:highlight w:val="none"/>
          <w:lang w:val="en-US" w:eastAsia="zh-CN" w:bidi="ar-SA"/>
        </w:rPr>
        <w:t>（3）报告内部质控</w:t>
      </w:r>
      <w:r>
        <w:rPr>
          <w:rFonts w:hint="eastAsia" w:hAnsi="Geneva" w:cs="仿宋_GB2312"/>
          <w:color w:val="auto"/>
          <w:kern w:val="0"/>
          <w:sz w:val="32"/>
          <w:szCs w:val="32"/>
          <w:highlight w:val="none"/>
          <w:lang w:val="en-US" w:eastAsia="zh-CN" w:bidi="ar-SA"/>
        </w:rPr>
        <w:t>：</w:t>
      </w:r>
      <w:r>
        <w:rPr>
          <w:rFonts w:hint="eastAsia" w:ascii="仿宋_GB2312" w:hAnsi="Geneva" w:eastAsia="仿宋_GB2312" w:cs="仿宋_GB2312"/>
          <w:color w:val="auto"/>
          <w:kern w:val="0"/>
          <w:sz w:val="32"/>
          <w:szCs w:val="32"/>
          <w:highlight w:val="none"/>
          <w:lang w:val="en-US" w:eastAsia="zh-CN" w:bidi="ar-SA"/>
        </w:rPr>
        <w:t>评价报告初稿撰写完毕后，第三方机构就评价报告的完整性、合理性、充分性、逻辑性等进行报告质控审核，以保证评价成果质量。</w:t>
      </w:r>
    </w:p>
    <w:p>
      <w:pPr>
        <w:pStyle w:val="16"/>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outlineLvl w:val="9"/>
        <w:rPr>
          <w:rFonts w:hint="eastAsia" w:ascii="仿宋_GB2312" w:hAnsi="Geneva" w:eastAsia="仿宋_GB2312" w:cs="仿宋_GB2312"/>
          <w:color w:val="auto"/>
          <w:kern w:val="0"/>
          <w:sz w:val="32"/>
          <w:szCs w:val="32"/>
          <w:highlight w:val="none"/>
          <w:lang w:val="en-US" w:eastAsia="zh-CN" w:bidi="ar-SA"/>
        </w:rPr>
      </w:pPr>
      <w:r>
        <w:rPr>
          <w:rFonts w:hint="eastAsia" w:ascii="仿宋_GB2312" w:hAnsi="Geneva" w:eastAsia="仿宋_GB2312" w:cs="仿宋_GB2312"/>
          <w:color w:val="auto"/>
          <w:kern w:val="0"/>
          <w:sz w:val="32"/>
          <w:szCs w:val="32"/>
          <w:highlight w:val="none"/>
          <w:lang w:val="en-US" w:eastAsia="zh-CN" w:bidi="ar-SA"/>
        </w:rPr>
        <w:t>（4）征求委托方意见</w:t>
      </w:r>
      <w:r>
        <w:rPr>
          <w:rFonts w:hint="eastAsia" w:hAnsi="Geneva" w:cs="仿宋_GB2312"/>
          <w:color w:val="auto"/>
          <w:kern w:val="0"/>
          <w:sz w:val="32"/>
          <w:szCs w:val="32"/>
          <w:highlight w:val="none"/>
          <w:lang w:val="en-US" w:eastAsia="zh-CN" w:bidi="ar-SA"/>
        </w:rPr>
        <w:t>：</w:t>
      </w:r>
      <w:r>
        <w:rPr>
          <w:rFonts w:hint="eastAsia" w:ascii="仿宋_GB2312" w:hAnsi="Geneva" w:eastAsia="仿宋_GB2312" w:cs="仿宋_GB2312"/>
          <w:color w:val="auto"/>
          <w:kern w:val="0"/>
          <w:sz w:val="32"/>
          <w:szCs w:val="32"/>
          <w:highlight w:val="none"/>
          <w:lang w:val="en-US" w:eastAsia="zh-CN" w:bidi="ar-SA"/>
        </w:rPr>
        <w:t>评价报告初稿审核完毕后征求委托方意，并对委托方反馈意见逐一核实。</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华文仿宋" w:cs="仿宋"/>
          <w:color w:val="auto"/>
          <w:szCs w:val="32"/>
          <w:highlight w:val="none"/>
        </w:rPr>
      </w:pPr>
      <w:r>
        <w:rPr>
          <w:rFonts w:hint="eastAsia" w:ascii="仿宋_GB2312" w:hAnsi="Geneva" w:cs="仿宋_GB2312"/>
          <w:color w:val="auto"/>
          <w:kern w:val="0"/>
          <w:szCs w:val="32"/>
          <w:highlight w:val="none"/>
        </w:rPr>
        <w:t>（</w:t>
      </w:r>
      <w:r>
        <w:rPr>
          <w:rFonts w:hint="eastAsia" w:hAnsi="Geneva" w:cs="仿宋_GB2312"/>
          <w:color w:val="auto"/>
          <w:kern w:val="0"/>
          <w:szCs w:val="32"/>
          <w:highlight w:val="none"/>
          <w:lang w:val="en-US" w:eastAsia="zh-CN"/>
        </w:rPr>
        <w:t>5</w:t>
      </w:r>
      <w:r>
        <w:rPr>
          <w:rFonts w:hint="eastAsia" w:ascii="仿宋_GB2312" w:hAnsi="Geneva" w:cs="仿宋_GB2312"/>
          <w:color w:val="auto"/>
          <w:kern w:val="0"/>
          <w:szCs w:val="32"/>
          <w:highlight w:val="none"/>
        </w:rPr>
        <w:t>）最终定稿：根据各方</w:t>
      </w:r>
      <w:r>
        <w:rPr>
          <w:rFonts w:hint="eastAsia" w:ascii="仿宋_GB2312" w:hAnsi="华文仿宋" w:cs="仿宋"/>
          <w:color w:val="auto"/>
          <w:szCs w:val="32"/>
          <w:highlight w:val="none"/>
        </w:rPr>
        <w:t>修改意见，完善报告内容，并最终定稿。</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rPr>
          <w:rFonts w:hint="eastAsia"/>
          <w:b/>
          <w:color w:val="auto"/>
          <w:highlight w:val="none"/>
          <w:lang w:val="en-US" w:eastAsia="zh-CN"/>
        </w:rPr>
      </w:pPr>
      <w:r>
        <w:rPr>
          <w:rFonts w:hint="eastAsia" w:ascii="仿宋_GB2312" w:eastAsia="仿宋_GB2312"/>
          <w:b/>
          <w:color w:val="auto"/>
          <w:highlight w:val="none"/>
          <w:lang w:val="en-US" w:eastAsia="zh-CN"/>
        </w:rPr>
        <w:t>5.归集评价档案</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ascii="仿宋_GB2312" w:hAnsi="Geneva" w:eastAsia="仿宋_GB2312" w:cs="仿宋_GB2312"/>
          <w:color w:val="auto"/>
          <w:kern w:val="0"/>
          <w:sz w:val="32"/>
          <w:szCs w:val="32"/>
          <w:highlight w:val="none"/>
          <w:lang w:val="en-US" w:eastAsia="zh-CN" w:bidi="ar-SA"/>
        </w:rPr>
      </w:pPr>
      <w:r>
        <w:rPr>
          <w:rFonts w:hint="eastAsia" w:ascii="仿宋_GB2312" w:hAnsi="Geneva" w:eastAsia="仿宋_GB2312" w:cs="仿宋_GB2312"/>
          <w:color w:val="auto"/>
          <w:kern w:val="0"/>
          <w:sz w:val="32"/>
          <w:szCs w:val="32"/>
          <w:highlight w:val="none"/>
          <w:lang w:val="en-US" w:eastAsia="zh-CN" w:bidi="ar-SA"/>
        </w:rPr>
        <w:t>第三方机构按照完整、有序、规范的要求，及时对评价业务资料进行收集、整理、建档工作。归档资料包括但不限于：委托评价协议（合同）、评价项目基本资料和相关文件、评价实施方案、评价指标体系及评分表、基础数据报表、现场核查记录、评价工作底稿及附件、绩效评价报告等。</w:t>
      </w:r>
    </w:p>
    <w:p>
      <w:pPr>
        <w:pStyle w:val="3"/>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firstLine="643" w:firstLineChars="200"/>
        <w:jc w:val="both"/>
        <w:textAlignment w:val="auto"/>
        <w:outlineLvl w:val="1"/>
        <w:rPr>
          <w:rFonts w:hint="default" w:ascii="黑体" w:hAnsi="黑体" w:eastAsia="黑体" w:cs="黑体"/>
          <w:b/>
          <w:bCs/>
          <w:color w:val="auto"/>
          <w:sz w:val="32"/>
          <w:szCs w:val="32"/>
          <w:highlight w:val="none"/>
          <w:lang w:val="en-US" w:eastAsia="zh-CN"/>
        </w:rPr>
      </w:pPr>
      <w:bookmarkStart w:id="287" w:name="_Toc1726"/>
      <w:bookmarkStart w:id="288" w:name="_Toc31588"/>
      <w:bookmarkStart w:id="289" w:name="_Toc11050"/>
      <w:bookmarkStart w:id="290" w:name="_Toc10484"/>
      <w:r>
        <w:rPr>
          <w:rFonts w:hint="eastAsia" w:cs="黑体"/>
          <w:b/>
          <w:bCs/>
          <w:color w:val="auto"/>
          <w:sz w:val="32"/>
          <w:szCs w:val="32"/>
          <w:highlight w:val="none"/>
          <w:lang w:val="en-US" w:eastAsia="zh-CN"/>
        </w:rPr>
        <w:t>四、</w:t>
      </w:r>
      <w:r>
        <w:rPr>
          <w:rFonts w:hint="eastAsia" w:ascii="黑体" w:hAnsi="黑体" w:eastAsia="黑体" w:cs="黑体"/>
          <w:b/>
          <w:bCs/>
          <w:color w:val="auto"/>
          <w:sz w:val="32"/>
          <w:szCs w:val="32"/>
          <w:highlight w:val="none"/>
          <w:lang w:val="en-US" w:eastAsia="zh-CN"/>
        </w:rPr>
        <w:t>评价结论</w:t>
      </w:r>
      <w:r>
        <w:rPr>
          <w:rFonts w:hint="eastAsia" w:cs="黑体"/>
          <w:b/>
          <w:bCs/>
          <w:color w:val="auto"/>
          <w:sz w:val="32"/>
          <w:szCs w:val="32"/>
          <w:highlight w:val="none"/>
          <w:lang w:val="en-US" w:eastAsia="zh-CN"/>
        </w:rPr>
        <w:t>及分析</w:t>
      </w:r>
      <w:bookmarkEnd w:id="287"/>
      <w:bookmarkEnd w:id="288"/>
      <w:bookmarkEnd w:id="289"/>
      <w:bookmarkEnd w:id="290"/>
    </w:p>
    <w:p>
      <w:pPr>
        <w:pStyle w:val="4"/>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楷体" w:hAnsi="楷体" w:eastAsia="楷体" w:cs="楷体"/>
          <w:color w:val="auto"/>
          <w:highlight w:val="none"/>
          <w:lang w:eastAsia="zh-CN"/>
        </w:rPr>
      </w:pPr>
      <w:bookmarkStart w:id="291" w:name="_Toc15370"/>
      <w:bookmarkStart w:id="292" w:name="_Toc11473"/>
      <w:bookmarkStart w:id="293" w:name="_Toc18049"/>
      <w:bookmarkStart w:id="294" w:name="_Toc25904"/>
      <w:r>
        <w:rPr>
          <w:rFonts w:hint="eastAsia" w:ascii="楷体" w:hAnsi="楷体" w:eastAsia="楷体" w:cs="楷体"/>
          <w:color w:val="auto"/>
          <w:highlight w:val="none"/>
          <w:lang w:eastAsia="zh-CN"/>
        </w:rPr>
        <w:t>（一）评价评分</w:t>
      </w:r>
      <w:bookmarkEnd w:id="291"/>
      <w:bookmarkEnd w:id="292"/>
      <w:bookmarkEnd w:id="293"/>
      <w:bookmarkEnd w:id="294"/>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 xml:space="preserve">4 </w:t>
      </w:r>
      <w:r>
        <w:rPr>
          <w:rFonts w:hint="eastAsia" w:ascii="宋体" w:hAnsi="宋体" w:eastAsia="宋体" w:cs="宋体"/>
          <w:b/>
          <w:bCs/>
          <w:color w:val="auto"/>
          <w:sz w:val="28"/>
          <w:szCs w:val="28"/>
          <w:highlight w:val="none"/>
        </w:rPr>
        <w:t>西宁市城中区2021年校园保安专项资金绩效评价综合评分表</w:t>
      </w:r>
    </w:p>
    <w:tbl>
      <w:tblPr>
        <w:tblStyle w:val="13"/>
        <w:tblW w:w="4995" w:type="pct"/>
        <w:jc w:val="center"/>
        <w:shd w:val="clear" w:color="auto" w:fill="auto"/>
        <w:tblLayout w:type="autofit"/>
        <w:tblCellMar>
          <w:top w:w="0" w:type="dxa"/>
          <w:left w:w="0" w:type="dxa"/>
          <w:bottom w:w="0" w:type="dxa"/>
          <w:right w:w="0" w:type="dxa"/>
        </w:tblCellMar>
      </w:tblPr>
      <w:tblGrid>
        <w:gridCol w:w="1092"/>
        <w:gridCol w:w="826"/>
        <w:gridCol w:w="1563"/>
        <w:gridCol w:w="834"/>
        <w:gridCol w:w="2687"/>
        <w:gridCol w:w="1004"/>
        <w:gridCol w:w="860"/>
      </w:tblGrid>
      <w:tr>
        <w:tblPrEx>
          <w:shd w:val="clear" w:color="auto" w:fill="auto"/>
          <w:tblCellMar>
            <w:top w:w="0" w:type="dxa"/>
            <w:left w:w="0" w:type="dxa"/>
            <w:bottom w:w="0" w:type="dxa"/>
            <w:right w:w="0" w:type="dxa"/>
          </w:tblCellMar>
        </w:tblPrEx>
        <w:trPr>
          <w:trHeight w:val="680" w:hRule="exact"/>
          <w:jc w:val="center"/>
        </w:trPr>
        <w:tc>
          <w:tcPr>
            <w:tcW w:w="6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一级指标</w:t>
            </w:r>
          </w:p>
        </w:tc>
        <w:tc>
          <w:tcPr>
            <w:tcW w:w="4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分值</w:t>
            </w:r>
          </w:p>
        </w:tc>
        <w:tc>
          <w:tcPr>
            <w:tcW w:w="8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二级指标</w:t>
            </w:r>
          </w:p>
        </w:tc>
        <w:tc>
          <w:tcPr>
            <w:tcW w:w="4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分值</w:t>
            </w: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三级指标</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分值</w:t>
            </w:r>
          </w:p>
        </w:tc>
        <w:tc>
          <w:tcPr>
            <w:tcW w:w="4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得分</w:t>
            </w:r>
          </w:p>
        </w:tc>
      </w:tr>
      <w:tr>
        <w:tblPrEx>
          <w:tblCellMar>
            <w:top w:w="0" w:type="dxa"/>
            <w:left w:w="0" w:type="dxa"/>
            <w:bottom w:w="0" w:type="dxa"/>
            <w:right w:w="0" w:type="dxa"/>
          </w:tblCellMar>
        </w:tblPrEx>
        <w:trPr>
          <w:trHeight w:val="680" w:hRule="exact"/>
          <w:jc w:val="center"/>
        </w:trPr>
        <w:tc>
          <w:tcPr>
            <w:tcW w:w="61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决策</w:t>
            </w:r>
          </w:p>
        </w:tc>
        <w:tc>
          <w:tcPr>
            <w:tcW w:w="46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88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项目决策</w:t>
            </w:r>
          </w:p>
        </w:tc>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申报依据充分性</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680" w:hRule="exact"/>
          <w:jc w:val="center"/>
        </w:trPr>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申报程序规范性</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680" w:hRule="exact"/>
          <w:jc w:val="center"/>
        </w:trPr>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绩效目标</w:t>
            </w:r>
          </w:p>
        </w:tc>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绩效目标合理性</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680" w:hRule="exact"/>
          <w:jc w:val="center"/>
        </w:trPr>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绩效指标明确性</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680" w:hRule="exact"/>
          <w:jc w:val="center"/>
        </w:trPr>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资金投入</w:t>
            </w:r>
          </w:p>
        </w:tc>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预算编制科学性</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2.50</w:t>
            </w:r>
          </w:p>
        </w:tc>
      </w:tr>
      <w:tr>
        <w:tblPrEx>
          <w:tblCellMar>
            <w:top w:w="0" w:type="dxa"/>
            <w:left w:w="0" w:type="dxa"/>
            <w:bottom w:w="0" w:type="dxa"/>
            <w:right w:w="0" w:type="dxa"/>
          </w:tblCellMar>
        </w:tblPrEx>
        <w:trPr>
          <w:trHeight w:val="680" w:hRule="exact"/>
          <w:jc w:val="center"/>
        </w:trPr>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资金分配合理性</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680" w:hRule="exact"/>
          <w:jc w:val="center"/>
        </w:trPr>
        <w:tc>
          <w:tcPr>
            <w:tcW w:w="61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过程</w:t>
            </w:r>
          </w:p>
        </w:tc>
        <w:tc>
          <w:tcPr>
            <w:tcW w:w="46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88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资金管理</w:t>
            </w:r>
          </w:p>
        </w:tc>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资金到位率</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r>
      <w:tr>
        <w:tblPrEx>
          <w:tblCellMar>
            <w:top w:w="0" w:type="dxa"/>
            <w:left w:w="0" w:type="dxa"/>
            <w:bottom w:w="0" w:type="dxa"/>
            <w:right w:w="0" w:type="dxa"/>
          </w:tblCellMar>
        </w:tblPrEx>
        <w:trPr>
          <w:trHeight w:val="680" w:hRule="exact"/>
          <w:jc w:val="center"/>
        </w:trPr>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预算执行率</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r>
      <w:tr>
        <w:tblPrEx>
          <w:tblCellMar>
            <w:top w:w="0" w:type="dxa"/>
            <w:left w:w="0" w:type="dxa"/>
            <w:bottom w:w="0" w:type="dxa"/>
            <w:right w:w="0" w:type="dxa"/>
          </w:tblCellMar>
        </w:tblPrEx>
        <w:trPr>
          <w:trHeight w:val="680" w:hRule="exact"/>
          <w:jc w:val="center"/>
        </w:trPr>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资金使用合规性</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r>
      <w:tr>
        <w:tblPrEx>
          <w:tblCellMar>
            <w:top w:w="0" w:type="dxa"/>
            <w:left w:w="0" w:type="dxa"/>
            <w:bottom w:w="0" w:type="dxa"/>
            <w:right w:w="0" w:type="dxa"/>
          </w:tblCellMar>
        </w:tblPrEx>
        <w:trPr>
          <w:trHeight w:val="680" w:hRule="exact"/>
          <w:jc w:val="center"/>
        </w:trPr>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组织实施</w:t>
            </w:r>
          </w:p>
        </w:tc>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管理制度健全性</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CellMar>
            <w:top w:w="0" w:type="dxa"/>
            <w:left w:w="0" w:type="dxa"/>
            <w:bottom w:w="0" w:type="dxa"/>
            <w:right w:w="0" w:type="dxa"/>
          </w:tblCellMar>
        </w:tblPrEx>
        <w:trPr>
          <w:trHeight w:val="680" w:hRule="exact"/>
          <w:jc w:val="center"/>
        </w:trPr>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制度执行有效性</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r>
      <w:tr>
        <w:tblPrEx>
          <w:tblCellMar>
            <w:top w:w="0" w:type="dxa"/>
            <w:left w:w="0" w:type="dxa"/>
            <w:bottom w:w="0" w:type="dxa"/>
            <w:right w:w="0" w:type="dxa"/>
          </w:tblCellMar>
        </w:tblPrEx>
        <w:trPr>
          <w:trHeight w:val="865" w:hRule="exact"/>
          <w:jc w:val="center"/>
        </w:trPr>
        <w:tc>
          <w:tcPr>
            <w:tcW w:w="61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产出</w:t>
            </w:r>
          </w:p>
        </w:tc>
        <w:tc>
          <w:tcPr>
            <w:tcW w:w="466"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8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产出数量</w:t>
            </w:r>
          </w:p>
        </w:tc>
        <w:tc>
          <w:tcPr>
            <w:tcW w:w="4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领取工资保安数实际完成率</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4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r>
      <w:tr>
        <w:tblPrEx>
          <w:tblCellMar>
            <w:top w:w="0" w:type="dxa"/>
            <w:left w:w="0" w:type="dxa"/>
            <w:bottom w:w="0" w:type="dxa"/>
            <w:right w:w="0" w:type="dxa"/>
          </w:tblCellMar>
        </w:tblPrEx>
        <w:trPr>
          <w:trHeight w:val="680" w:hRule="exact"/>
          <w:jc w:val="center"/>
        </w:trPr>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产出质量</w:t>
            </w:r>
          </w:p>
        </w:tc>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保安提供服务达标情况</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4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r>
      <w:tr>
        <w:tblPrEx>
          <w:tblCellMar>
            <w:top w:w="0" w:type="dxa"/>
            <w:left w:w="0" w:type="dxa"/>
            <w:bottom w:w="0" w:type="dxa"/>
            <w:right w:w="0" w:type="dxa"/>
          </w:tblCellMar>
        </w:tblPrEx>
        <w:trPr>
          <w:trHeight w:val="680" w:hRule="exact"/>
          <w:jc w:val="center"/>
        </w:trPr>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工资按标准足额发放</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4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680" w:hRule="exact"/>
          <w:jc w:val="center"/>
        </w:trPr>
        <w:tc>
          <w:tcPr>
            <w:tcW w:w="61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产出时效</w:t>
            </w:r>
          </w:p>
        </w:tc>
        <w:tc>
          <w:tcPr>
            <w:tcW w:w="4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工资发放完成及时率</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4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r>
      <w:tr>
        <w:tblPrEx>
          <w:tblCellMar>
            <w:top w:w="0" w:type="dxa"/>
            <w:left w:w="0" w:type="dxa"/>
            <w:bottom w:w="0" w:type="dxa"/>
            <w:right w:w="0" w:type="dxa"/>
          </w:tblCellMar>
        </w:tblPrEx>
        <w:trPr>
          <w:trHeight w:val="680" w:hRule="exact"/>
          <w:jc w:val="center"/>
        </w:trPr>
        <w:tc>
          <w:tcPr>
            <w:tcW w:w="616" w:type="pct"/>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效益</w:t>
            </w:r>
          </w:p>
        </w:tc>
        <w:tc>
          <w:tcPr>
            <w:tcW w:w="466" w:type="pct"/>
            <w:vMerge w:val="restart"/>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88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社会效益</w:t>
            </w:r>
          </w:p>
        </w:tc>
        <w:tc>
          <w:tcPr>
            <w:tcW w:w="470"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保障校园安全</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CellMar>
            <w:top w:w="0" w:type="dxa"/>
            <w:left w:w="0" w:type="dxa"/>
            <w:bottom w:w="0" w:type="dxa"/>
            <w:right w:w="0" w:type="dxa"/>
          </w:tblCellMar>
        </w:tblPrEx>
        <w:trPr>
          <w:trHeight w:val="680" w:hRule="exact"/>
          <w:jc w:val="center"/>
        </w:trPr>
        <w:tc>
          <w:tcPr>
            <w:tcW w:w="616"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70"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提供就业机会</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r>
      <w:tr>
        <w:tblPrEx>
          <w:tblCellMar>
            <w:top w:w="0" w:type="dxa"/>
            <w:left w:w="0" w:type="dxa"/>
            <w:bottom w:w="0" w:type="dxa"/>
            <w:right w:w="0" w:type="dxa"/>
          </w:tblCellMar>
        </w:tblPrEx>
        <w:trPr>
          <w:trHeight w:val="803" w:hRule="exact"/>
          <w:jc w:val="center"/>
        </w:trPr>
        <w:tc>
          <w:tcPr>
            <w:tcW w:w="616"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可持续影响</w:t>
            </w:r>
          </w:p>
        </w:tc>
        <w:tc>
          <w:tcPr>
            <w:tcW w:w="4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维护校园周边良好的治安秩序</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r>
      <w:tr>
        <w:tblPrEx>
          <w:tblCellMar>
            <w:top w:w="0" w:type="dxa"/>
            <w:left w:w="0" w:type="dxa"/>
            <w:bottom w:w="0" w:type="dxa"/>
            <w:right w:w="0" w:type="dxa"/>
          </w:tblCellMar>
        </w:tblPrEx>
        <w:trPr>
          <w:trHeight w:val="844" w:hRule="exact"/>
          <w:jc w:val="center"/>
        </w:trPr>
        <w:tc>
          <w:tcPr>
            <w:tcW w:w="616" w:type="pct"/>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466" w:type="pct"/>
            <w:vMerge w:val="continue"/>
            <w:tcBorders>
              <w:top w:val="nil"/>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color w:val="000000"/>
                <w:sz w:val="24"/>
                <w:szCs w:val="24"/>
                <w:u w:val="none"/>
              </w:rPr>
            </w:pPr>
          </w:p>
        </w:tc>
        <w:tc>
          <w:tcPr>
            <w:tcW w:w="88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满意度</w:t>
            </w:r>
          </w:p>
        </w:tc>
        <w:tc>
          <w:tcPr>
            <w:tcW w:w="47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51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校园师生满意度</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r>
      <w:tr>
        <w:tblPrEx>
          <w:tblCellMar>
            <w:top w:w="0" w:type="dxa"/>
            <w:left w:w="0" w:type="dxa"/>
            <w:bottom w:w="0" w:type="dxa"/>
            <w:right w:w="0" w:type="dxa"/>
          </w:tblCellMar>
        </w:tblPrEx>
        <w:trPr>
          <w:trHeight w:val="680" w:hRule="exact"/>
          <w:jc w:val="center"/>
        </w:trPr>
        <w:tc>
          <w:tcPr>
            <w:tcW w:w="3948" w:type="pct"/>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合计</w:t>
            </w:r>
          </w:p>
        </w:tc>
        <w:tc>
          <w:tcPr>
            <w:tcW w:w="56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100</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default" w:ascii="宋体" w:hAnsi="宋体" w:eastAsia="宋体" w:cs="宋体"/>
                <w:b/>
                <w:i w:val="0"/>
                <w:color w:val="000000"/>
                <w:sz w:val="24"/>
                <w:szCs w:val="24"/>
                <w:u w:val="none"/>
                <w:lang w:val="en-US"/>
              </w:rPr>
            </w:pPr>
            <w:r>
              <w:rPr>
                <w:rFonts w:hint="eastAsia" w:ascii="宋体" w:hAnsi="宋体" w:eastAsia="宋体" w:cs="宋体"/>
                <w:b/>
                <w:i w:val="0"/>
                <w:color w:val="000000"/>
                <w:kern w:val="0"/>
                <w:sz w:val="24"/>
                <w:szCs w:val="24"/>
                <w:u w:val="none"/>
                <w:lang w:val="en-US" w:eastAsia="zh-CN" w:bidi="ar"/>
              </w:rPr>
              <w:t>86.50</w:t>
            </w:r>
          </w:p>
        </w:tc>
      </w:tr>
    </w:tbl>
    <w:p>
      <w:pPr>
        <w:pStyle w:val="4"/>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ascii="楷体" w:hAnsi="楷体" w:eastAsia="楷体" w:cs="楷体"/>
          <w:color w:val="auto"/>
          <w:highlight w:val="none"/>
          <w:lang w:eastAsia="zh-CN"/>
        </w:rPr>
      </w:pPr>
      <w:bookmarkStart w:id="295" w:name="_Toc10498"/>
      <w:bookmarkStart w:id="296" w:name="_Toc19103"/>
    </w:p>
    <w:p>
      <w:pPr>
        <w:pStyle w:val="4"/>
        <w:keepNext w:val="0"/>
        <w:keepLines w:val="0"/>
        <w:pageBreakBefore w:val="0"/>
        <w:widowControl w:val="0"/>
        <w:kinsoku/>
        <w:wordWrap/>
        <w:overflowPunct/>
        <w:topLinePunct w:val="0"/>
        <w:autoSpaceDE/>
        <w:autoSpaceDN/>
        <w:bidi w:val="0"/>
        <w:adjustRightInd w:val="0"/>
        <w:snapToGrid/>
        <w:spacing w:line="576" w:lineRule="exact"/>
        <w:ind w:left="0" w:leftChars="0"/>
        <w:textAlignment w:val="auto"/>
        <w:rPr>
          <w:rFonts w:hint="eastAsia" w:ascii="楷体" w:hAnsi="楷体" w:eastAsia="楷体" w:cs="楷体"/>
          <w:color w:val="FF0000"/>
          <w:highlight w:val="none"/>
          <w:lang w:eastAsia="zh-CN"/>
        </w:rPr>
      </w:pPr>
      <w:bookmarkStart w:id="297" w:name="_Toc389"/>
      <w:bookmarkStart w:id="298" w:name="_Toc39"/>
      <w:r>
        <w:rPr>
          <w:rFonts w:hint="eastAsia" w:ascii="楷体" w:hAnsi="楷体" w:eastAsia="楷体" w:cs="楷体"/>
          <w:color w:val="auto"/>
          <w:highlight w:val="none"/>
          <w:lang w:eastAsia="zh-CN"/>
        </w:rPr>
        <w:t>（二）综合评价情况及评价结论</w:t>
      </w:r>
      <w:bookmarkEnd w:id="295"/>
      <w:bookmarkEnd w:id="296"/>
      <w:bookmarkEnd w:id="297"/>
      <w:bookmarkEnd w:id="298"/>
    </w:p>
    <w:p>
      <w:pPr>
        <w:keepNext w:val="0"/>
        <w:keepLines w:val="0"/>
        <w:pageBreakBefore w:val="0"/>
        <w:widowControl w:val="0"/>
        <w:kinsoku/>
        <w:wordWrap/>
        <w:overflowPunct/>
        <w:topLinePunct w:val="0"/>
        <w:autoSpaceDE/>
        <w:autoSpaceDN/>
        <w:bidi w:val="0"/>
        <w:adjustRightInd w:val="0"/>
        <w:snapToGrid/>
        <w:spacing w:line="576" w:lineRule="exact"/>
        <w:ind w:left="0" w:leftChars="0"/>
        <w:textAlignment w:val="auto"/>
        <w:rPr>
          <w:rFonts w:hint="default" w:ascii="Times New Roman" w:hAnsi="Times New Roman" w:eastAsia="仿宋_GB2312" w:cs="Times New Roman"/>
          <w:b w:val="0"/>
          <w:bCs w:val="0"/>
          <w:color w:val="auto"/>
          <w:highlight w:val="none"/>
          <w:lang w:val="en-US" w:eastAsia="zh-CN"/>
        </w:rPr>
      </w:pPr>
      <w:r>
        <w:rPr>
          <w:rFonts w:hint="eastAsia"/>
          <w:color w:val="auto"/>
          <w:highlight w:val="none"/>
        </w:rPr>
        <w:t>本次项目绩效评价的可靠性是基于</w:t>
      </w:r>
      <w:r>
        <w:rPr>
          <w:rFonts w:hint="eastAsia" w:ascii="仿宋_GB2312" w:eastAsia="仿宋_GB2312"/>
          <w:color w:val="auto"/>
          <w:highlight w:val="none"/>
          <w:lang w:val="en-US" w:eastAsia="zh-CN"/>
        </w:rPr>
        <w:t>城中区教育局</w:t>
      </w:r>
      <w:r>
        <w:rPr>
          <w:rFonts w:hint="eastAsia" w:eastAsia="仿宋_GB2312"/>
          <w:color w:val="auto"/>
          <w:highlight w:val="none"/>
          <w:lang w:eastAsia="zh-CN"/>
        </w:rPr>
        <w:t>及</w:t>
      </w:r>
      <w:r>
        <w:rPr>
          <w:rFonts w:hint="eastAsia" w:cs="仿宋_GB2312"/>
          <w:b w:val="0"/>
          <w:color w:val="auto"/>
          <w:kern w:val="2"/>
          <w:sz w:val="32"/>
          <w:szCs w:val="32"/>
          <w:highlight w:val="none"/>
          <w:lang w:val="en-US" w:eastAsia="zh-CN" w:bidi="ar-SA"/>
        </w:rPr>
        <w:t>青海宏创保安服务有限责任公司</w:t>
      </w:r>
      <w:r>
        <w:rPr>
          <w:rFonts w:hint="eastAsia"/>
          <w:color w:val="auto"/>
          <w:highlight w:val="none"/>
        </w:rPr>
        <w:t>提供佐证材料的全面性和准确性</w:t>
      </w:r>
      <w:r>
        <w:rPr>
          <w:rFonts w:hint="eastAsia" w:eastAsia="仿宋_GB2312"/>
          <w:color w:val="auto"/>
          <w:highlight w:val="none"/>
          <w:lang w:eastAsia="zh-CN"/>
        </w:rPr>
        <w:t>，</w:t>
      </w:r>
      <w:r>
        <w:rPr>
          <w:rFonts w:hint="eastAsia"/>
          <w:color w:val="auto"/>
          <w:highlight w:val="none"/>
        </w:rPr>
        <w:t>评价组结合实地调研和问卷调查数据，严格按照绩效评价指标体系</w:t>
      </w:r>
      <w:r>
        <w:rPr>
          <w:rFonts w:hint="eastAsia" w:eastAsia="仿宋_GB2312"/>
          <w:color w:val="auto"/>
          <w:highlight w:val="none"/>
          <w:lang w:eastAsia="zh-CN"/>
        </w:rPr>
        <w:t>评分标准进行打分</w:t>
      </w:r>
      <w:r>
        <w:rPr>
          <w:rFonts w:hint="eastAsia"/>
          <w:color w:val="auto"/>
          <w:highlight w:val="none"/>
        </w:rPr>
        <w:t>，</w:t>
      </w:r>
      <w:r>
        <w:rPr>
          <w:rFonts w:hint="eastAsia" w:eastAsia="仿宋_GB2312"/>
          <w:color w:val="auto"/>
          <w:highlight w:val="none"/>
          <w:lang w:eastAsia="zh-CN"/>
        </w:rPr>
        <w:t>项目综合</w:t>
      </w:r>
      <w:r>
        <w:rPr>
          <w:rFonts w:hint="eastAsia"/>
          <w:color w:val="auto"/>
          <w:highlight w:val="none"/>
        </w:rPr>
        <w:t>评价得分为：</w:t>
      </w:r>
      <w:r>
        <w:rPr>
          <w:rFonts w:hint="default" w:ascii="Times New Roman" w:hAnsi="Times New Roman" w:eastAsia="仿宋_GB2312" w:cs="Times New Roman"/>
          <w:b w:val="0"/>
          <w:bCs w:val="0"/>
          <w:color w:val="auto"/>
          <w:highlight w:val="none"/>
          <w:lang w:val="en-US" w:eastAsia="zh-CN"/>
        </w:rPr>
        <w:t>86.50</w:t>
      </w:r>
      <w:r>
        <w:rPr>
          <w:rFonts w:hint="eastAsia"/>
          <w:b/>
          <w:bCs/>
          <w:color w:val="auto"/>
          <w:highlight w:val="none"/>
        </w:rPr>
        <w:t>分</w:t>
      </w:r>
      <w:r>
        <w:rPr>
          <w:rFonts w:hint="eastAsia"/>
          <w:color w:val="auto"/>
          <w:highlight w:val="none"/>
        </w:rPr>
        <w:t>。根据</w:t>
      </w:r>
      <w:r>
        <w:rPr>
          <w:rFonts w:hint="eastAsia" w:ascii="仿宋_GB2312" w:hAnsi="仿宋_GB2312" w:eastAsia="仿宋_GB2312" w:cs="仿宋_GB2312"/>
          <w:bCs/>
          <w:color w:val="auto"/>
          <w:sz w:val="32"/>
          <w:szCs w:val="32"/>
          <w:highlight w:val="none"/>
        </w:rPr>
        <w:t>《财政部关于印发</w:t>
      </w:r>
      <w:r>
        <w:rPr>
          <w:rFonts w:hint="eastAsia" w:cs="仿宋_GB2312"/>
          <w:bCs/>
          <w:color w:val="auto"/>
          <w:sz w:val="32"/>
          <w:szCs w:val="32"/>
          <w:highlight w:val="none"/>
          <w:lang w:val="en-US" w:eastAsia="zh-CN"/>
        </w:rPr>
        <w:t>&lt;</w:t>
      </w:r>
      <w:r>
        <w:rPr>
          <w:rFonts w:hint="eastAsia" w:ascii="仿宋_GB2312" w:hAnsi="仿宋_GB2312" w:eastAsia="仿宋_GB2312" w:cs="仿宋_GB2312"/>
          <w:bCs/>
          <w:color w:val="auto"/>
          <w:sz w:val="32"/>
          <w:szCs w:val="32"/>
          <w:highlight w:val="none"/>
        </w:rPr>
        <w:t>项目支出绩效评价管理办法</w:t>
      </w:r>
      <w:r>
        <w:rPr>
          <w:rFonts w:hint="eastAsia" w:cs="仿宋_GB2312"/>
          <w:bCs/>
          <w:color w:val="auto"/>
          <w:sz w:val="32"/>
          <w:szCs w:val="32"/>
          <w:highlight w:val="none"/>
          <w:lang w:val="en-US" w:eastAsia="zh-CN"/>
        </w:rPr>
        <w:t>&gt;</w:t>
      </w:r>
      <w:r>
        <w:rPr>
          <w:rFonts w:hint="eastAsia" w:ascii="仿宋_GB2312" w:hAnsi="仿宋_GB2312" w:eastAsia="仿宋_GB2312" w:cs="仿宋_GB2312"/>
          <w:bCs/>
          <w:color w:val="auto"/>
          <w:sz w:val="32"/>
          <w:szCs w:val="32"/>
          <w:highlight w:val="none"/>
        </w:rPr>
        <w:t>的通知</w:t>
      </w:r>
      <w:r>
        <w:rPr>
          <w:rFonts w:hint="eastAsia" w:cs="仿宋_GB2312"/>
          <w:bCs/>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（财预</w:t>
      </w:r>
      <w:r>
        <w:rPr>
          <w:rFonts w:hint="eastAsia" w:ascii="Times New Roman" w:hAnsi="Times New Roman" w:eastAsia="仿宋_GB2312" w:cs="Times New Roman"/>
          <w:b w:val="0"/>
          <w:bCs w:val="0"/>
          <w:color w:val="auto"/>
          <w:highlight w:val="none"/>
          <w:lang w:val="en-US" w:eastAsia="zh-CN"/>
        </w:rPr>
        <w:t>〔2020〕10号）（财预〔2020〕10号）文件，本次项目绩效评价结果等级为：良。</w:t>
      </w:r>
    </w:p>
    <w:p>
      <w:pPr>
        <w:keepNext w:val="0"/>
        <w:keepLines w:val="0"/>
        <w:pageBreakBefore w:val="0"/>
        <w:widowControl w:val="0"/>
        <w:kinsoku/>
        <w:wordWrap/>
        <w:overflowPunct/>
        <w:topLinePunct w:val="0"/>
        <w:autoSpaceDE/>
        <w:autoSpaceDN/>
        <w:bidi w:val="0"/>
        <w:adjustRightInd w:val="0"/>
        <w:snapToGrid/>
        <w:spacing w:line="576" w:lineRule="exact"/>
        <w:ind w:left="0" w:leftChars="0"/>
        <w:textAlignment w:val="auto"/>
        <w:rPr>
          <w:rFonts w:hint="eastAsia" w:cs="Times New Roman"/>
          <w:b w:val="0"/>
          <w:bCs w:val="0"/>
          <w:color w:val="auto"/>
          <w:highlight w:val="none"/>
          <w:lang w:val="en-US" w:eastAsia="zh-CN"/>
        </w:rPr>
      </w:pPr>
      <w:r>
        <w:rPr>
          <w:rFonts w:hint="eastAsia" w:ascii="Times New Roman" w:hAnsi="Times New Roman" w:eastAsia="仿宋_GB2312" w:cs="Times New Roman"/>
          <w:b w:val="0"/>
          <w:bCs w:val="0"/>
          <w:color w:val="auto"/>
          <w:highlight w:val="none"/>
          <w:lang w:val="en-US" w:eastAsia="zh-CN"/>
        </w:rPr>
        <w:t>总体认为：2021年校</w:t>
      </w:r>
      <w:r>
        <w:rPr>
          <w:rFonts w:hint="eastAsia" w:cs="Times New Roman"/>
          <w:b w:val="0"/>
          <w:bCs w:val="0"/>
          <w:color w:val="auto"/>
          <w:highlight w:val="none"/>
          <w:lang w:val="en-US" w:eastAsia="zh-CN"/>
        </w:rPr>
        <w:t>园保安专项资金申请、设立程序合规，项目绩效目标与实际工作内容具有相关性，绩效指标与目标任务相对应，项目实施管理制度健全，有效保障城中区校园安全，减轻学校资金压力，维持学校学习秩序、保障学校正常工作，提升校园安全水平；但存在预算测算依据不充分、部分资金使用不合规、主管单位未制定保安服务实施细则等问题。</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b w:val="0"/>
          <w:bCs w:val="0"/>
          <w:color w:val="auto"/>
          <w:highlight w:val="none"/>
        </w:rPr>
      </w:pPr>
      <w:r>
        <w:rPr>
          <w:rFonts w:hint="eastAsia" w:ascii="仿宋_GB2312" w:eastAsia="仿宋_GB2312"/>
          <w:b/>
          <w:bCs/>
          <w:color w:val="auto"/>
          <w:highlight w:val="none"/>
          <w:lang w:val="en-US" w:eastAsia="zh-CN"/>
        </w:rPr>
        <w:t>1.</w:t>
      </w:r>
      <w:r>
        <w:rPr>
          <w:rFonts w:hint="eastAsia"/>
          <w:b/>
          <w:bCs/>
          <w:color w:val="auto"/>
          <w:highlight w:val="none"/>
        </w:rPr>
        <w:t>决策方面。</w:t>
      </w:r>
      <w:r>
        <w:rPr>
          <w:rFonts w:hint="eastAsia"/>
          <w:b w:val="0"/>
          <w:bCs w:val="0"/>
          <w:color w:val="auto"/>
          <w:highlight w:val="none"/>
        </w:rPr>
        <w:t>资金申请程序合规，提交材料符合要求</w:t>
      </w:r>
      <w:r>
        <w:rPr>
          <w:rFonts w:hint="eastAsia" w:eastAsia="仿宋_GB2312"/>
          <w:b w:val="0"/>
          <w:bCs w:val="0"/>
          <w:color w:val="auto"/>
          <w:highlight w:val="none"/>
          <w:lang w:eastAsia="zh-CN"/>
        </w:rPr>
        <w:t>。</w:t>
      </w:r>
      <w:r>
        <w:rPr>
          <w:rFonts w:hint="eastAsia"/>
          <w:b w:val="0"/>
          <w:bCs w:val="0"/>
          <w:color w:val="auto"/>
          <w:highlight w:val="none"/>
        </w:rPr>
        <w:t>绩效目标与实际工作内容有相关性，预期产出效益与实际情况相符合。绩效目标指标值清晰、可衡量，与预算确定的资金量相匹配。资金预算内容与项目实施相匹配，预算确定的资金量与工作任务相匹配，但城中区教育局申请预算2300元/月工资标准无依据，预算测算依据不充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highlight w:val="none"/>
          <w:lang w:val="en-US" w:eastAsia="zh-CN"/>
        </w:rPr>
      </w:pPr>
      <w:r>
        <w:rPr>
          <w:rFonts w:hint="eastAsia" w:ascii="Times New Roman" w:hAnsi="Times New Roman" w:eastAsia="仿宋_GB2312" w:cs="Times New Roman"/>
          <w:b w:val="0"/>
          <w:bCs w:val="0"/>
          <w:color w:val="auto"/>
          <w:highlight w:val="none"/>
          <w:lang w:val="en-US" w:eastAsia="zh-CN"/>
        </w:rPr>
        <w:t>2.过程方面。西宁市城中区2021年校园保安专项资金到位率100%，预算执行率为75.69%</w:t>
      </w:r>
      <w:r>
        <w:rPr>
          <w:rFonts w:hint="eastAsia" w:cs="仿宋_GB2312"/>
          <w:color w:val="auto"/>
          <w:kern w:val="2"/>
          <w:sz w:val="32"/>
          <w:szCs w:val="24"/>
          <w:highlight w:val="none"/>
          <w:lang w:val="en-US" w:eastAsia="zh-CN" w:bidi="ar-SA"/>
        </w:rPr>
        <w:t>，因季度支付原因，剩余资金于第四季度末支出，符合规定。</w:t>
      </w:r>
      <w:r>
        <w:rPr>
          <w:rFonts w:hint="eastAsia" w:cs="仿宋_GB2312"/>
          <w:color w:val="auto"/>
          <w:highlight w:val="none"/>
          <w:lang w:val="en-US" w:eastAsia="zh-CN"/>
        </w:rPr>
        <w:t>青海宏创保安服务有限责任公司针对校园保安服务制定《保安服务管理制度》《保安人员管理制度》《保安岗位责任制度》《财务制度》，项目实施所依据的业务管理制度健全且合法、合规、完整。项目实施遵守相关法律法规和相关管理规定，项目资料齐全并及时归档，项目主管单位开展监督检查工作。但资金支出时部分资金用于支付保洁工资和保险费、管理费等其他费用，资金支出未全部用于保安工资。资金支出不符合项目预算申请及批复的用途，存在挤占、挪用情况。城中区教育局作为项目实施主管单位，未制定校园保安管理细则，未明确保安公司、教育局、各个学校、保安人员的主要职责，以及校园保安待遇及考核细则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ascii="Times New Roman" w:hAnsi="Times New Roman" w:eastAsia="仿宋_GB2312" w:cs="Times New Roman"/>
          <w:b w:val="0"/>
          <w:bCs w:val="0"/>
          <w:color w:val="auto"/>
          <w:highlight w:val="none"/>
          <w:lang w:val="en-US" w:eastAsia="zh-CN"/>
        </w:rPr>
        <w:t>3.产出方面。2021年计划向各学校安置保安84名，实际各学校安置保安84名</w:t>
      </w:r>
      <w:r>
        <w:rPr>
          <w:rFonts w:hint="eastAsia" w:cs="仿宋_GB2312"/>
          <w:color w:val="auto"/>
          <w:kern w:val="2"/>
          <w:sz w:val="32"/>
          <w:szCs w:val="32"/>
          <w:highlight w:val="none"/>
          <w:lang w:val="en-US" w:eastAsia="zh-CN" w:bidi="ar-SA"/>
        </w:rPr>
        <w:t>。青海宏创保安服务有限责任公司邀请城中区公安分局定期对派遣到各学校的保安人员进行培训，具体包括消防培训、军事素质培训等；各学校保安开展夜间巡查，对出入学校区域的人员证件、出入的车辆和物品进行登记；在服务区域内进行巡逻、守护、安全检查、报警监控。青海宏创保安服务有限责任公司每月五号准时向各学校保安发放工资，工资发放以现金形式并由本人签字确认。工资发放完成及时率</w:t>
      </w:r>
      <w:r>
        <w:rPr>
          <w:rFonts w:hint="eastAsia" w:ascii="Times New Roman" w:hAnsi="Times New Roman" w:eastAsia="仿宋_GB2312" w:cs="Times New Roman"/>
          <w:b w:val="0"/>
          <w:bCs w:val="0"/>
          <w:color w:val="auto"/>
          <w:highlight w:val="none"/>
          <w:lang w:val="en-US" w:eastAsia="zh-CN"/>
        </w:rPr>
        <w:t>100%</w:t>
      </w:r>
      <w:r>
        <w:rPr>
          <w:rFonts w:hint="eastAsia" w:cs="仿宋_GB2312"/>
          <w:color w:val="auto"/>
          <w:kern w:val="2"/>
          <w:sz w:val="32"/>
          <w:szCs w:val="32"/>
          <w:highlight w:val="none"/>
          <w:lang w:val="en-US" w:eastAsia="zh-CN" w:bidi="ar-SA"/>
        </w:rPr>
        <w:t>。但校园保安实际发放工资数额标准不一致，均低于城中区教育局向财政局申请资金预算时所提供</w:t>
      </w:r>
      <w:r>
        <w:rPr>
          <w:rFonts w:hint="eastAsia" w:ascii="Times New Roman" w:hAnsi="Times New Roman" w:eastAsia="仿宋_GB2312" w:cs="Times New Roman"/>
          <w:b w:val="0"/>
          <w:bCs w:val="0"/>
          <w:color w:val="auto"/>
          <w:highlight w:val="none"/>
          <w:lang w:val="en-US" w:eastAsia="zh-CN"/>
        </w:rPr>
        <w:t>的2300元/</w:t>
      </w:r>
      <w:r>
        <w:rPr>
          <w:rFonts w:hint="eastAsia" w:cs="仿宋_GB2312"/>
          <w:color w:val="auto"/>
          <w:kern w:val="2"/>
          <w:sz w:val="32"/>
          <w:szCs w:val="32"/>
          <w:highlight w:val="none"/>
          <w:lang w:val="en-US" w:eastAsia="zh-CN" w:bidi="ar-SA"/>
        </w:rPr>
        <w:t>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eastAsia="仿宋_GB2312"/>
          <w:b/>
          <w:bCs/>
          <w:color w:val="auto"/>
          <w:highlight w:val="none"/>
          <w:lang w:val="en-US" w:eastAsia="zh-CN"/>
        </w:rPr>
        <w:t>4.</w:t>
      </w:r>
      <w:r>
        <w:rPr>
          <w:rFonts w:hint="eastAsia"/>
          <w:b/>
          <w:bCs/>
          <w:color w:val="auto"/>
          <w:highlight w:val="none"/>
        </w:rPr>
        <w:t>效益方面。</w:t>
      </w:r>
      <w:r>
        <w:rPr>
          <w:rFonts w:hint="eastAsia" w:cs="仿宋_GB2312"/>
          <w:color w:val="auto"/>
          <w:kern w:val="2"/>
          <w:sz w:val="32"/>
          <w:szCs w:val="24"/>
          <w:highlight w:val="none"/>
          <w:lang w:val="en-US" w:eastAsia="zh-CN" w:bidi="ar-SA"/>
        </w:rPr>
        <w:t>学校保安岗位的设置为学校食堂、操场、校园环境等基础设施安全、学校师生人身安全提供有力保障；共计提供</w:t>
      </w:r>
      <w:r>
        <w:rPr>
          <w:rFonts w:hint="eastAsia" w:ascii="Times New Roman" w:hAnsi="Times New Roman" w:eastAsia="仿宋_GB2312" w:cs="Times New Roman"/>
          <w:b w:val="0"/>
          <w:bCs w:val="0"/>
          <w:color w:val="auto"/>
          <w:highlight w:val="none"/>
          <w:lang w:val="en-US" w:eastAsia="zh-CN"/>
        </w:rPr>
        <w:t>84</w:t>
      </w:r>
      <w:r>
        <w:rPr>
          <w:rFonts w:hint="eastAsia" w:cs="仿宋_GB2312"/>
          <w:color w:val="auto"/>
          <w:kern w:val="2"/>
          <w:sz w:val="32"/>
          <w:szCs w:val="24"/>
          <w:highlight w:val="none"/>
          <w:lang w:val="en-US" w:eastAsia="zh-CN" w:bidi="ar-SA"/>
        </w:rPr>
        <w:t>个工作岗位，为当地部分居民提供长期、稳定的就业机会。通过学校保安人员，保障固定区域内安全、正常的工作秩序、治安秩序。校园师生对校园保安提供的相关服务满意率较高。</w:t>
      </w:r>
    </w:p>
    <w:p>
      <w:pPr>
        <w:pStyle w:val="3"/>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firstLine="643" w:firstLineChars="200"/>
        <w:jc w:val="both"/>
        <w:textAlignment w:val="auto"/>
        <w:outlineLvl w:val="1"/>
        <w:rPr>
          <w:rFonts w:hint="eastAsia" w:cs="黑体"/>
          <w:b/>
          <w:bCs/>
          <w:color w:val="auto"/>
          <w:sz w:val="32"/>
          <w:szCs w:val="32"/>
          <w:highlight w:val="none"/>
          <w:lang w:val="en-US" w:eastAsia="zh-CN"/>
        </w:rPr>
      </w:pPr>
      <w:bookmarkStart w:id="299" w:name="_Toc6873"/>
      <w:bookmarkStart w:id="300" w:name="_Toc26598"/>
      <w:bookmarkStart w:id="301" w:name="_Toc27189"/>
      <w:bookmarkStart w:id="302" w:name="_Toc2338"/>
      <w:bookmarkStart w:id="303" w:name="_Toc3181"/>
      <w:r>
        <w:rPr>
          <w:rFonts w:hint="eastAsia" w:cs="黑体"/>
          <w:b/>
          <w:bCs/>
          <w:color w:val="auto"/>
          <w:sz w:val="32"/>
          <w:szCs w:val="32"/>
          <w:highlight w:val="none"/>
          <w:lang w:val="en-US" w:eastAsia="zh-CN"/>
        </w:rPr>
        <w:t>五、绩效评价指标分析</w:t>
      </w:r>
      <w:bookmarkEnd w:id="299"/>
      <w:bookmarkEnd w:id="300"/>
      <w:bookmarkEnd w:id="301"/>
      <w:bookmarkEnd w:id="302"/>
    </w:p>
    <w:p>
      <w:pPr>
        <w:keepNext w:val="0"/>
        <w:keepLines w:val="0"/>
        <w:pageBreakBefore w:val="0"/>
        <w:widowControl w:val="0"/>
        <w:kinsoku/>
        <w:wordWrap/>
        <w:overflowPunct/>
        <w:topLinePunct w:val="0"/>
        <w:autoSpaceDE/>
        <w:autoSpaceDN/>
        <w:bidi w:val="0"/>
        <w:adjustRightInd w:val="0"/>
        <w:snapToGrid/>
        <w:spacing w:line="576" w:lineRule="exact"/>
        <w:ind w:left="0" w:leftChars="0"/>
        <w:textAlignment w:val="auto"/>
        <w:rPr>
          <w:rFonts w:hint="eastAsia" w:ascii="Times New Roman" w:hAnsi="Times New Roman" w:eastAsia="仿宋_GB2312" w:cs="Times New Roman"/>
          <w:b w:val="0"/>
          <w:bCs w:val="0"/>
          <w:color w:val="auto"/>
          <w:highlight w:val="none"/>
          <w:lang w:val="en-US" w:eastAsia="zh-CN"/>
        </w:rPr>
      </w:pPr>
      <w:r>
        <w:rPr>
          <w:rFonts w:hint="eastAsia" w:ascii="仿宋_GB2312" w:hAnsi="仿宋_GB2312" w:eastAsia="仿宋_GB2312" w:cs="仿宋_GB2312"/>
          <w:color w:val="auto"/>
          <w:highlight w:val="none"/>
          <w:lang w:val="en-US" w:eastAsia="zh-CN"/>
        </w:rPr>
        <w:t>依据制定的绩效评价指标体系，本次绩效评价分别从</w:t>
      </w:r>
      <w:r>
        <w:rPr>
          <w:rFonts w:hint="eastAsia" w:cs="仿宋_GB2312"/>
          <w:color w:val="auto"/>
          <w:highlight w:val="none"/>
          <w:lang w:val="en-US" w:eastAsia="zh-CN"/>
        </w:rPr>
        <w:t>决策</w:t>
      </w:r>
      <w:r>
        <w:rPr>
          <w:rFonts w:hint="eastAsia" w:ascii="仿宋_GB2312" w:hAnsi="仿宋_GB2312" w:eastAsia="仿宋_GB2312" w:cs="仿宋_GB2312"/>
          <w:color w:val="auto"/>
          <w:highlight w:val="none"/>
          <w:lang w:val="en-US" w:eastAsia="zh-CN"/>
        </w:rPr>
        <w:t>、过程、产出、效益</w:t>
      </w:r>
      <w:r>
        <w:rPr>
          <w:rFonts w:hint="eastAsia" w:cs="仿宋_GB2312"/>
          <w:color w:val="auto"/>
          <w:highlight w:val="none"/>
          <w:lang w:val="en-US" w:eastAsia="zh-CN"/>
        </w:rPr>
        <w:t>四</w:t>
      </w:r>
      <w:r>
        <w:rPr>
          <w:rFonts w:hint="eastAsia" w:ascii="仿宋_GB2312" w:hAnsi="仿宋_GB2312" w:eastAsia="仿宋_GB2312" w:cs="仿宋_GB2312"/>
          <w:color w:val="auto"/>
          <w:highlight w:val="none"/>
          <w:lang w:val="en-US" w:eastAsia="zh-CN"/>
        </w:rPr>
        <w:t>个方面对</w:t>
      </w:r>
      <w:r>
        <w:rPr>
          <w:rFonts w:hint="eastAsia" w:cs="仿宋_GB2312"/>
          <w:color w:val="auto"/>
          <w:highlight w:val="none"/>
          <w:lang w:val="en-US" w:eastAsia="zh-CN"/>
        </w:rPr>
        <w:t>西宁市城中区</w:t>
      </w:r>
      <w:r>
        <w:rPr>
          <w:rFonts w:hint="eastAsia" w:ascii="Times New Roman" w:hAnsi="Times New Roman" w:eastAsia="仿宋_GB2312" w:cs="Times New Roman"/>
          <w:b w:val="0"/>
          <w:bCs w:val="0"/>
          <w:color w:val="auto"/>
          <w:highlight w:val="none"/>
          <w:lang w:val="en-US" w:eastAsia="zh-CN"/>
        </w:rPr>
        <w:t>2021年校园保安专项资金绩效管理情况进行分析评价。</w:t>
      </w:r>
    </w:p>
    <w:p>
      <w:pPr>
        <w:keepNext w:val="0"/>
        <w:keepLines w:val="0"/>
        <w:pageBreakBefore w:val="0"/>
        <w:widowControl w:val="0"/>
        <w:kinsoku/>
        <w:wordWrap/>
        <w:overflowPunct/>
        <w:topLinePunct w:val="0"/>
        <w:autoSpaceDE/>
        <w:autoSpaceDN/>
        <w:bidi w:val="0"/>
        <w:adjustRightInd w:val="0"/>
        <w:snapToGrid/>
        <w:spacing w:line="576" w:lineRule="exact"/>
        <w:ind w:left="0" w:leftChars="0"/>
        <w:textAlignment w:val="auto"/>
        <w:rPr>
          <w:rFonts w:hint="eastAsia" w:ascii="仿宋_GB2312" w:hAnsi="仿宋_GB2312" w:eastAsia="仿宋_GB2312" w:cs="仿宋_GB2312"/>
          <w:color w:val="auto"/>
          <w:highlight w:val="none"/>
          <w:lang w:val="en-US" w:eastAsia="zh-CN"/>
        </w:rPr>
      </w:pPr>
      <w:r>
        <w:rPr>
          <w:rFonts w:hint="eastAsia" w:ascii="Times New Roman" w:hAnsi="Times New Roman" w:eastAsia="仿宋_GB2312" w:cs="Times New Roman"/>
          <w:b w:val="0"/>
          <w:bCs w:val="0"/>
          <w:color w:val="auto"/>
          <w:highlight w:val="none"/>
          <w:lang w:val="en-US" w:eastAsia="zh-CN"/>
        </w:rPr>
        <w:t>西宁市城中区2021年校园保安专项资金绩效评</w:t>
      </w:r>
      <w:r>
        <w:rPr>
          <w:rFonts w:hint="eastAsia" w:ascii="仿宋_GB2312" w:hAnsi="仿宋_GB2312" w:eastAsia="仿宋_GB2312" w:cs="仿宋_GB2312"/>
          <w:color w:val="auto"/>
          <w:highlight w:val="none"/>
          <w:lang w:val="en-US" w:eastAsia="zh-CN"/>
        </w:rPr>
        <w:t>价总体得分情况如下</w:t>
      </w:r>
      <w:r>
        <w:rPr>
          <w:rFonts w:hint="eastAsia" w:cs="仿宋_GB2312"/>
          <w:color w:val="auto"/>
          <w:highlight w:val="none"/>
          <w:lang w:val="en-US" w:eastAsia="zh-CN"/>
        </w:rPr>
        <w:t>表</w:t>
      </w:r>
      <w:r>
        <w:rPr>
          <w:rFonts w:hint="eastAsia" w:ascii="仿宋_GB2312" w:hAnsi="仿宋_GB2312" w:eastAsia="仿宋_GB2312" w:cs="仿宋_GB2312"/>
          <w:color w:val="auto"/>
          <w:highlight w:val="none"/>
          <w:lang w:val="en-US" w:eastAsia="zh-CN"/>
        </w:rPr>
        <w:t>所示：</w:t>
      </w:r>
    </w:p>
    <w:p>
      <w:pPr>
        <w:pageBreakBefore w:val="0"/>
        <w:overflowPunct/>
        <w:topLinePunct w:val="0"/>
        <w:bidi w:val="0"/>
        <w:spacing w:line="576" w:lineRule="exact"/>
        <w:ind w:left="0" w:leftChars="0" w:firstLine="0" w:firstLineChars="0"/>
        <w:jc w:val="center"/>
        <w:rPr>
          <w:color w:val="auto"/>
          <w:highlight w:val="none"/>
        </w:rPr>
      </w:pPr>
      <w:r>
        <w:rPr>
          <w:rFonts w:hint="eastAsia" w:ascii="宋体" w:eastAsia="宋体"/>
          <w:b/>
          <w:bCs/>
          <w:color w:val="auto"/>
          <w:sz w:val="28"/>
          <w:szCs w:val="28"/>
          <w:highlight w:val="none"/>
        </w:rPr>
        <w:t>表</w:t>
      </w:r>
      <w:r>
        <w:rPr>
          <w:rFonts w:hint="eastAsia" w:ascii="宋体" w:eastAsia="宋体"/>
          <w:b/>
          <w:bCs/>
          <w:color w:val="auto"/>
          <w:sz w:val="28"/>
          <w:szCs w:val="28"/>
          <w:highlight w:val="none"/>
          <w:lang w:val="en-US" w:eastAsia="zh-CN"/>
        </w:rPr>
        <w:t xml:space="preserve">5 </w:t>
      </w:r>
      <w:r>
        <w:rPr>
          <w:rFonts w:hint="eastAsia" w:ascii="宋体" w:eastAsia="宋体"/>
          <w:b/>
          <w:bCs/>
          <w:color w:val="auto"/>
          <w:sz w:val="28"/>
          <w:szCs w:val="28"/>
          <w:highlight w:val="none"/>
        </w:rPr>
        <w:t>西宁市城中区2021年校园保安专项资金绩效评价</w:t>
      </w:r>
      <w:r>
        <w:rPr>
          <w:rFonts w:hint="eastAsia" w:ascii="宋体" w:eastAsia="宋体"/>
          <w:b/>
          <w:bCs/>
          <w:color w:val="auto"/>
          <w:sz w:val="28"/>
          <w:szCs w:val="28"/>
          <w:highlight w:val="none"/>
          <w:lang w:eastAsia="zh-CN"/>
        </w:rPr>
        <w:t>总体</w:t>
      </w:r>
      <w:r>
        <w:rPr>
          <w:rFonts w:hint="eastAsia" w:ascii="宋体" w:eastAsia="宋体"/>
          <w:b/>
          <w:bCs/>
          <w:color w:val="auto"/>
          <w:sz w:val="28"/>
          <w:szCs w:val="28"/>
          <w:highlight w:val="none"/>
        </w:rPr>
        <w:t>得分表</w:t>
      </w:r>
    </w:p>
    <w:tbl>
      <w:tblPr>
        <w:tblStyle w:val="13"/>
        <w:tblW w:w="4997"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60"/>
        <w:gridCol w:w="1452"/>
        <w:gridCol w:w="1600"/>
        <w:gridCol w:w="1767"/>
        <w:gridCol w:w="1165"/>
        <w:gridCol w:w="1412"/>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91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指标</w:t>
            </w:r>
          </w:p>
        </w:tc>
        <w:tc>
          <w:tcPr>
            <w:tcW w:w="801"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决策</w:t>
            </w:r>
          </w:p>
        </w:tc>
        <w:tc>
          <w:tcPr>
            <w:tcW w:w="88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过程</w:t>
            </w:r>
          </w:p>
        </w:tc>
        <w:tc>
          <w:tcPr>
            <w:tcW w:w="975"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产出</w:t>
            </w:r>
          </w:p>
        </w:tc>
        <w:tc>
          <w:tcPr>
            <w:tcW w:w="64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效益</w:t>
            </w:r>
          </w:p>
        </w:tc>
        <w:tc>
          <w:tcPr>
            <w:tcW w:w="779"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合计</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91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分值</w:t>
            </w:r>
          </w:p>
        </w:tc>
        <w:tc>
          <w:tcPr>
            <w:tcW w:w="801"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20</w:t>
            </w:r>
          </w:p>
        </w:tc>
        <w:tc>
          <w:tcPr>
            <w:tcW w:w="88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30</w:t>
            </w:r>
          </w:p>
        </w:tc>
        <w:tc>
          <w:tcPr>
            <w:tcW w:w="975"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30</w:t>
            </w:r>
          </w:p>
        </w:tc>
        <w:tc>
          <w:tcPr>
            <w:tcW w:w="64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20</w:t>
            </w:r>
          </w:p>
        </w:tc>
        <w:tc>
          <w:tcPr>
            <w:tcW w:w="779"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100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916"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lang w:eastAsia="zh-CN"/>
              </w:rPr>
              <w:t>得分</w:t>
            </w:r>
          </w:p>
        </w:tc>
        <w:tc>
          <w:tcPr>
            <w:tcW w:w="801"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17.50</w:t>
            </w:r>
          </w:p>
        </w:tc>
        <w:tc>
          <w:tcPr>
            <w:tcW w:w="88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25</w:t>
            </w:r>
          </w:p>
        </w:tc>
        <w:tc>
          <w:tcPr>
            <w:tcW w:w="975"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25</w:t>
            </w:r>
          </w:p>
        </w:tc>
        <w:tc>
          <w:tcPr>
            <w:tcW w:w="643"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19</w:t>
            </w:r>
          </w:p>
        </w:tc>
        <w:tc>
          <w:tcPr>
            <w:tcW w:w="779"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86.50</w:t>
            </w:r>
          </w:p>
        </w:tc>
      </w:tr>
    </w:tbl>
    <w:p>
      <w:pPr>
        <w:pStyle w:val="4"/>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ascii="楷体" w:hAnsi="楷体" w:eastAsia="楷体" w:cs="楷体"/>
          <w:color w:val="auto"/>
          <w:highlight w:val="none"/>
          <w:lang w:val="en-US" w:eastAsia="zh-CN"/>
        </w:rPr>
      </w:pPr>
      <w:bookmarkStart w:id="304" w:name="_Toc8085"/>
      <w:bookmarkStart w:id="305" w:name="_Toc2948"/>
      <w:bookmarkStart w:id="306" w:name="_Toc15166"/>
      <w:bookmarkStart w:id="307" w:name="_Toc16952"/>
      <w:r>
        <w:rPr>
          <w:rFonts w:hint="eastAsia" w:ascii="楷体" w:hAnsi="楷体" w:eastAsia="楷体" w:cs="楷体"/>
          <w:color w:val="auto"/>
          <w:highlight w:val="none"/>
          <w:lang w:eastAsia="zh-CN"/>
        </w:rPr>
        <w:fldChar w:fldCharType="begin"/>
      </w:r>
      <w:r>
        <w:rPr>
          <w:rFonts w:hint="eastAsia" w:ascii="楷体" w:hAnsi="楷体" w:eastAsia="楷体" w:cs="楷体"/>
          <w:color w:val="auto"/>
          <w:highlight w:val="none"/>
          <w:lang w:eastAsia="zh-CN"/>
        </w:rPr>
        <w:instrText xml:space="preserve"> HYPERLINK \l _Toc24702 </w:instrText>
      </w:r>
      <w:r>
        <w:rPr>
          <w:rFonts w:hint="eastAsia" w:ascii="楷体" w:hAnsi="楷体" w:eastAsia="楷体" w:cs="楷体"/>
          <w:color w:val="auto"/>
          <w:highlight w:val="none"/>
          <w:lang w:eastAsia="zh-CN"/>
        </w:rPr>
        <w:fldChar w:fldCharType="separate"/>
      </w:r>
      <w:r>
        <w:rPr>
          <w:rFonts w:hint="eastAsia" w:ascii="楷体" w:hAnsi="楷体" w:eastAsia="楷体" w:cs="楷体"/>
          <w:color w:val="auto"/>
          <w:highlight w:val="none"/>
          <w:lang w:eastAsia="zh-CN"/>
        </w:rPr>
        <w:t>（一）</w:t>
      </w:r>
      <w:r>
        <w:rPr>
          <w:rFonts w:hint="eastAsia" w:ascii="楷体" w:hAnsi="楷体" w:eastAsia="楷体" w:cs="楷体"/>
          <w:color w:val="auto"/>
          <w:highlight w:val="none"/>
          <w:lang w:eastAsia="zh-CN"/>
        </w:rPr>
        <w:fldChar w:fldCharType="end"/>
      </w:r>
      <w:bookmarkEnd w:id="303"/>
      <w:r>
        <w:rPr>
          <w:rFonts w:hint="eastAsia" w:ascii="楷体" w:hAnsi="楷体" w:eastAsia="楷体" w:cs="楷体"/>
          <w:color w:val="auto"/>
          <w:highlight w:val="none"/>
          <w:lang w:eastAsia="zh-CN"/>
        </w:rPr>
        <w:fldChar w:fldCharType="begin"/>
      </w:r>
      <w:r>
        <w:rPr>
          <w:rFonts w:hint="eastAsia" w:ascii="楷体" w:hAnsi="楷体" w:eastAsia="楷体" w:cs="楷体"/>
          <w:color w:val="auto"/>
          <w:highlight w:val="none"/>
          <w:lang w:eastAsia="zh-CN"/>
        </w:rPr>
        <w:instrText xml:space="preserve"> HYPERLINK \l "_Toc19358" </w:instrText>
      </w:r>
      <w:r>
        <w:rPr>
          <w:rFonts w:hint="eastAsia" w:ascii="楷体" w:hAnsi="楷体" w:eastAsia="楷体" w:cs="楷体"/>
          <w:color w:val="auto"/>
          <w:highlight w:val="none"/>
          <w:lang w:eastAsia="zh-CN"/>
        </w:rPr>
        <w:fldChar w:fldCharType="separate"/>
      </w:r>
      <w:r>
        <w:rPr>
          <w:rFonts w:hint="eastAsia" w:ascii="楷体" w:hAnsi="楷体" w:eastAsia="楷体" w:cs="楷体"/>
          <w:color w:val="auto"/>
          <w:highlight w:val="none"/>
          <w:lang w:eastAsia="zh-CN"/>
        </w:rPr>
        <w:t>决策</w:t>
      </w:r>
      <w:r>
        <w:rPr>
          <w:rFonts w:hint="eastAsia" w:ascii="楷体" w:hAnsi="楷体" w:eastAsia="楷体" w:cs="楷体"/>
          <w:color w:val="auto"/>
          <w:highlight w:val="none"/>
          <w:lang w:eastAsia="zh-CN"/>
        </w:rPr>
        <w:fldChar w:fldCharType="end"/>
      </w:r>
      <w:r>
        <w:rPr>
          <w:rFonts w:hint="eastAsia" w:ascii="楷体" w:hAnsi="楷体" w:eastAsia="楷体" w:cs="楷体"/>
          <w:color w:val="auto"/>
          <w:highlight w:val="none"/>
          <w:lang w:eastAsia="zh-CN"/>
        </w:rPr>
        <w:t>情况</w:t>
      </w:r>
      <w:bookmarkEnd w:id="304"/>
      <w:bookmarkEnd w:id="305"/>
      <w:bookmarkEnd w:id="306"/>
      <w:bookmarkEnd w:id="307"/>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西宁市城中区</w:t>
      </w:r>
      <w:r>
        <w:rPr>
          <w:rFonts w:hint="eastAsia" w:ascii="Times New Roman" w:hAnsi="Times New Roman" w:eastAsia="仿宋_GB2312" w:cs="Times New Roman"/>
          <w:b w:val="0"/>
          <w:bCs w:val="0"/>
          <w:color w:val="auto"/>
          <w:highlight w:val="none"/>
          <w:lang w:val="en-US" w:eastAsia="zh-CN"/>
        </w:rPr>
        <w:t>2021</w:t>
      </w:r>
      <w:r>
        <w:rPr>
          <w:rFonts w:hint="eastAsia" w:ascii="仿宋_GB2312" w:hAnsi="仿宋_GB2312" w:eastAsia="仿宋_GB2312" w:cs="仿宋_GB2312"/>
          <w:color w:val="auto"/>
          <w:highlight w:val="none"/>
          <w:lang w:val="en-US" w:eastAsia="zh-CN"/>
        </w:rPr>
        <w:t>年校园保安专项资金绩效评价</w:t>
      </w:r>
      <w:r>
        <w:rPr>
          <w:rFonts w:hint="eastAsia" w:cs="仿宋_GB2312"/>
          <w:color w:val="auto"/>
          <w:highlight w:val="none"/>
          <w:lang w:val="en-US" w:eastAsia="zh-CN"/>
        </w:rPr>
        <w:t>决策</w:t>
      </w:r>
      <w:r>
        <w:rPr>
          <w:rFonts w:hint="eastAsia" w:ascii="仿宋_GB2312" w:hAnsi="仿宋_GB2312" w:eastAsia="仿宋_GB2312" w:cs="仿宋_GB2312"/>
          <w:color w:val="auto"/>
          <w:highlight w:val="none"/>
          <w:lang w:val="en-US" w:eastAsia="zh-CN"/>
        </w:rPr>
        <w:t>类指标分别</w:t>
      </w:r>
      <w:r>
        <w:rPr>
          <w:rFonts w:hint="eastAsia" w:cs="仿宋_GB2312"/>
          <w:color w:val="auto"/>
          <w:highlight w:val="none"/>
          <w:lang w:val="en-US" w:eastAsia="zh-CN"/>
        </w:rPr>
        <w:t>从项目决策、绩效目标和资金投入三个方面进行综合分析。各项</w:t>
      </w:r>
      <w:r>
        <w:rPr>
          <w:rFonts w:hint="eastAsia" w:ascii="仿宋_GB2312" w:hAnsi="仿宋_GB2312" w:eastAsia="仿宋_GB2312" w:cs="仿宋_GB2312"/>
          <w:color w:val="auto"/>
          <w:highlight w:val="none"/>
          <w:lang w:val="en-US" w:eastAsia="zh-CN"/>
        </w:rPr>
        <w:t>指标具体得分情况如下表所示：</w:t>
      </w:r>
    </w:p>
    <w:tbl>
      <w:tblPr>
        <w:tblStyle w:val="13"/>
        <w:tblW w:w="5000" w:type="pct"/>
        <w:jc w:val="center"/>
        <w:tblBorders>
          <w:top w:val="none" w:color="auto" w:sz="0"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097"/>
        <w:gridCol w:w="2334"/>
        <w:gridCol w:w="3447"/>
        <w:gridCol w:w="9"/>
        <w:gridCol w:w="1174"/>
      </w:tblGrid>
      <w:tr>
        <w:tblPrEx>
          <w:tblBorders>
            <w:top w:val="none" w:color="auto" w:sz="0"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5000" w:type="pct"/>
            <w:gridSpan w:val="5"/>
            <w:tcBorders>
              <w:bottom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仿宋" w:hAnsi="仿宋" w:eastAsia="仿宋" w:cs="仿宋"/>
                <w:b/>
                <w:color w:val="auto"/>
                <w:sz w:val="24"/>
                <w:szCs w:val="24"/>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6 决策</w:t>
            </w:r>
            <w:r>
              <w:rPr>
                <w:rFonts w:hint="eastAsia" w:ascii="宋体" w:hAnsi="宋体" w:eastAsia="宋体" w:cs="宋体"/>
                <w:b/>
                <w:bCs/>
                <w:color w:val="auto"/>
                <w:sz w:val="28"/>
                <w:szCs w:val="28"/>
                <w:highlight w:val="none"/>
              </w:rPr>
              <w:t>类各项指标绩效评价</w:t>
            </w:r>
            <w:r>
              <w:rPr>
                <w:rFonts w:hint="eastAsia" w:ascii="宋体" w:hAnsi="宋体" w:eastAsia="宋体" w:cs="宋体"/>
                <w:b/>
                <w:color w:val="auto"/>
                <w:sz w:val="28"/>
                <w:szCs w:val="28"/>
                <w:highlight w:val="none"/>
              </w:rPr>
              <w:t>得分表</w:t>
            </w:r>
          </w:p>
        </w:tc>
      </w:tr>
      <w:tr>
        <w:tblPrEx>
          <w:tblBorders>
            <w:top w:val="none" w:color="auto" w:sz="0"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15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一级指标</w:t>
            </w:r>
          </w:p>
        </w:tc>
        <w:tc>
          <w:tcPr>
            <w:tcW w:w="128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二级指标</w:t>
            </w:r>
          </w:p>
        </w:tc>
        <w:tc>
          <w:tcPr>
            <w:tcW w:w="1902"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三级指标</w:t>
            </w:r>
          </w:p>
        </w:tc>
        <w:tc>
          <w:tcPr>
            <w:tcW w:w="650"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得分率</w:t>
            </w:r>
          </w:p>
        </w:tc>
      </w:tr>
      <w:tr>
        <w:tblPrEx>
          <w:tblBorders>
            <w:top w:val="none" w:color="auto" w:sz="0"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050" w:hRule="exact"/>
          <w:jc w:val="center"/>
        </w:trPr>
        <w:tc>
          <w:tcPr>
            <w:tcW w:w="1157" w:type="pct"/>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lang w:eastAsia="zh-CN"/>
              </w:rPr>
            </w:pPr>
            <w:r>
              <w:rPr>
                <w:rFonts w:hint="eastAsia" w:ascii="宋体" w:hAnsi="宋体" w:eastAsia="宋体" w:cs="宋体"/>
                <w:b/>
                <w:color w:val="auto"/>
                <w:sz w:val="24"/>
                <w:szCs w:val="24"/>
                <w:highlight w:val="none"/>
                <w:u w:val="single"/>
                <w:lang w:val="en-US" w:eastAsia="zh-CN"/>
              </w:rPr>
              <w:t>决策</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r>
              <w:rPr>
                <w:rFonts w:hint="eastAsia" w:ascii="宋体" w:hAnsi="宋体" w:eastAsia="宋体" w:cs="宋体"/>
                <w:bCs/>
                <w:color w:val="auto"/>
                <w:sz w:val="24"/>
                <w:szCs w:val="24"/>
                <w:highlight w:val="none"/>
              </w:rPr>
              <w:t>得分率：</w:t>
            </w:r>
            <w:r>
              <w:rPr>
                <w:rFonts w:hint="eastAsia" w:ascii="宋体" w:hAnsi="宋体" w:eastAsia="宋体" w:cs="宋体"/>
                <w:bCs/>
                <w:color w:val="auto"/>
                <w:sz w:val="24"/>
                <w:szCs w:val="24"/>
                <w:highlight w:val="none"/>
                <w:lang w:val="en-US" w:eastAsia="zh-CN"/>
              </w:rPr>
              <w:t>87.50</w:t>
            </w:r>
            <w:r>
              <w:rPr>
                <w:rFonts w:hint="eastAsia" w:ascii="宋体" w:hAnsi="宋体" w:eastAsia="宋体" w:cs="宋体"/>
                <w:bCs/>
                <w:color w:val="auto"/>
                <w:sz w:val="24"/>
                <w:szCs w:val="24"/>
                <w:highlight w:val="none"/>
              </w:rPr>
              <w:t>%</w:t>
            </w:r>
          </w:p>
        </w:tc>
        <w:tc>
          <w:tcPr>
            <w:tcW w:w="1288" w:type="pct"/>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u w:val="single"/>
                <w:lang w:val="en-US" w:eastAsia="zh-CN"/>
              </w:rPr>
              <w:t>项目决策</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Cs/>
                <w:color w:val="auto"/>
                <w:sz w:val="24"/>
                <w:szCs w:val="24"/>
                <w:highlight w:val="none"/>
              </w:rPr>
              <w:t>得分率：</w:t>
            </w:r>
            <w:r>
              <w:rPr>
                <w:rFonts w:hint="eastAsia" w:ascii="宋体" w:hAnsi="宋体" w:eastAsia="宋体" w:cs="宋体"/>
                <w:bCs/>
                <w:color w:val="auto"/>
                <w:sz w:val="24"/>
                <w:szCs w:val="24"/>
                <w:highlight w:val="none"/>
                <w:lang w:val="en-US" w:eastAsia="zh-CN"/>
              </w:rPr>
              <w:t>100</w:t>
            </w:r>
            <w:r>
              <w:rPr>
                <w:rFonts w:hint="eastAsia" w:ascii="宋体" w:hAnsi="宋体" w:eastAsia="宋体" w:cs="宋体"/>
                <w:bCs/>
                <w:color w:val="auto"/>
                <w:sz w:val="24"/>
                <w:szCs w:val="24"/>
                <w:highlight w:val="none"/>
              </w:rPr>
              <w:t>%</w:t>
            </w:r>
          </w:p>
        </w:tc>
        <w:tc>
          <w:tcPr>
            <w:tcW w:w="1902"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Cs/>
                <w:i w:val="0"/>
                <w:iCs w:val="0"/>
                <w:color w:val="auto"/>
                <w:sz w:val="24"/>
                <w:szCs w:val="24"/>
                <w:highlight w:val="none"/>
              </w:rPr>
            </w:pPr>
            <w:r>
              <w:rPr>
                <w:rFonts w:hint="eastAsia" w:ascii="宋体" w:hAnsi="宋体" w:eastAsia="宋体" w:cs="宋体"/>
                <w:color w:val="auto"/>
                <w:sz w:val="24"/>
                <w:szCs w:val="24"/>
                <w:highlight w:val="none"/>
                <w:lang w:val="en-US" w:eastAsia="zh-CN"/>
              </w:rPr>
              <w:t>申报</w:t>
            </w:r>
            <w:r>
              <w:rPr>
                <w:rFonts w:hint="eastAsia" w:ascii="宋体" w:hAnsi="宋体" w:eastAsia="宋体" w:cs="宋体"/>
                <w:color w:val="auto"/>
                <w:sz w:val="24"/>
                <w:szCs w:val="24"/>
                <w:highlight w:val="none"/>
              </w:rPr>
              <w:t>依据充分性</w:t>
            </w:r>
          </w:p>
        </w:tc>
        <w:tc>
          <w:tcPr>
            <w:tcW w:w="650"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4"/>
                <w:highlight w:val="none"/>
                <w:lang w:val="en-US" w:eastAsia="zh-CN"/>
              </w:rPr>
            </w:pPr>
            <w:r>
              <w:rPr>
                <w:rFonts w:hint="eastAsia" w:ascii="宋体" w:hAnsi="宋体" w:eastAsia="宋体" w:cs="宋体"/>
                <w:i/>
                <w:iCs/>
                <w:color w:val="auto"/>
                <w:sz w:val="24"/>
                <w:szCs w:val="24"/>
                <w:highlight w:val="none"/>
                <w:lang w:val="en-US" w:eastAsia="zh-CN"/>
              </w:rPr>
              <w:t>100%</w:t>
            </w:r>
          </w:p>
        </w:tc>
      </w:tr>
      <w:tr>
        <w:tblPrEx>
          <w:tblBorders>
            <w:top w:val="none" w:color="auto" w:sz="0"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157"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4"/>
                <w:highlight w:val="none"/>
              </w:rPr>
            </w:pPr>
          </w:p>
        </w:tc>
        <w:tc>
          <w:tcPr>
            <w:tcW w:w="1288"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4"/>
                <w:highlight w:val="none"/>
              </w:rPr>
            </w:pPr>
          </w:p>
        </w:tc>
        <w:tc>
          <w:tcPr>
            <w:tcW w:w="1902"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Cs/>
                <w:i w:val="0"/>
                <w:iCs w:val="0"/>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申报程序</w:t>
            </w:r>
            <w:r>
              <w:rPr>
                <w:rFonts w:hint="eastAsia" w:ascii="宋体" w:hAnsi="宋体" w:eastAsia="宋体" w:cs="宋体"/>
                <w:color w:val="auto"/>
                <w:kern w:val="0"/>
                <w:sz w:val="24"/>
                <w:szCs w:val="24"/>
                <w:highlight w:val="none"/>
              </w:rPr>
              <w:t>规范性</w:t>
            </w:r>
          </w:p>
        </w:tc>
        <w:tc>
          <w:tcPr>
            <w:tcW w:w="650"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kern w:val="2"/>
                <w:sz w:val="24"/>
                <w:szCs w:val="24"/>
                <w:highlight w:val="none"/>
                <w:lang w:val="en-US" w:eastAsia="zh-CN" w:bidi="ar-SA"/>
              </w:rPr>
            </w:pPr>
            <w:r>
              <w:rPr>
                <w:rFonts w:hint="eastAsia" w:ascii="宋体" w:hAnsi="宋体" w:eastAsia="宋体" w:cs="宋体"/>
                <w:i/>
                <w:iCs/>
                <w:color w:val="auto"/>
                <w:sz w:val="24"/>
                <w:szCs w:val="24"/>
                <w:highlight w:val="none"/>
                <w:lang w:val="en-US" w:eastAsia="zh-CN"/>
              </w:rPr>
              <w:t>100%</w:t>
            </w:r>
          </w:p>
        </w:tc>
      </w:tr>
      <w:tr>
        <w:tblPrEx>
          <w:tblBorders>
            <w:top w:val="none" w:color="auto" w:sz="0"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157"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p>
        </w:tc>
        <w:tc>
          <w:tcPr>
            <w:tcW w:w="1288" w:type="pct"/>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u w:val="single"/>
                <w:lang w:val="en-US" w:eastAsia="zh-CN"/>
              </w:rPr>
              <w:t>绩效目标</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r>
              <w:rPr>
                <w:rFonts w:hint="eastAsia" w:ascii="宋体" w:hAnsi="宋体" w:eastAsia="宋体" w:cs="宋体"/>
                <w:bCs/>
                <w:color w:val="auto"/>
                <w:sz w:val="24"/>
                <w:szCs w:val="24"/>
                <w:highlight w:val="none"/>
              </w:rPr>
              <w:t>得分率：</w:t>
            </w:r>
            <w:r>
              <w:rPr>
                <w:rFonts w:hint="eastAsia" w:ascii="宋体" w:hAnsi="宋体" w:eastAsia="宋体" w:cs="宋体"/>
                <w:bCs/>
                <w:color w:val="auto"/>
                <w:sz w:val="24"/>
                <w:szCs w:val="24"/>
                <w:highlight w:val="none"/>
                <w:lang w:val="en-US" w:eastAsia="zh-CN"/>
              </w:rPr>
              <w:t>100</w:t>
            </w:r>
            <w:r>
              <w:rPr>
                <w:rFonts w:hint="eastAsia" w:ascii="宋体" w:hAnsi="宋体" w:eastAsia="宋体" w:cs="宋体"/>
                <w:bCs/>
                <w:color w:val="auto"/>
                <w:sz w:val="24"/>
                <w:szCs w:val="24"/>
                <w:highlight w:val="none"/>
              </w:rPr>
              <w:t>%</w:t>
            </w:r>
          </w:p>
        </w:tc>
        <w:tc>
          <w:tcPr>
            <w:tcW w:w="1902"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Cs/>
                <w:i w:val="0"/>
                <w:iCs w:val="0"/>
                <w:color w:val="auto"/>
                <w:sz w:val="24"/>
                <w:szCs w:val="24"/>
                <w:highlight w:val="none"/>
              </w:rPr>
            </w:pPr>
            <w:r>
              <w:rPr>
                <w:rFonts w:hint="eastAsia" w:ascii="宋体" w:hAnsi="宋体" w:eastAsia="宋体" w:cs="宋体"/>
                <w:color w:val="auto"/>
                <w:kern w:val="0"/>
                <w:sz w:val="24"/>
                <w:szCs w:val="24"/>
                <w:highlight w:val="none"/>
              </w:rPr>
              <w:t>绩效目标合理性</w:t>
            </w:r>
          </w:p>
        </w:tc>
        <w:tc>
          <w:tcPr>
            <w:tcW w:w="650"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4"/>
                <w:highlight w:val="none"/>
                <w:lang w:val="en-US" w:eastAsia="zh-CN"/>
              </w:rPr>
            </w:pPr>
            <w:r>
              <w:rPr>
                <w:rFonts w:hint="eastAsia" w:ascii="宋体" w:hAnsi="宋体" w:eastAsia="宋体" w:cs="宋体"/>
                <w:i/>
                <w:iCs/>
                <w:color w:val="auto"/>
                <w:sz w:val="24"/>
                <w:szCs w:val="24"/>
                <w:highlight w:val="none"/>
                <w:lang w:val="en-US" w:eastAsia="zh-CN"/>
              </w:rPr>
              <w:t>100%</w:t>
            </w:r>
          </w:p>
        </w:tc>
      </w:tr>
      <w:tr>
        <w:tblPrEx>
          <w:tblBorders>
            <w:top w:val="none" w:color="auto" w:sz="0"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157"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p>
        </w:tc>
        <w:tc>
          <w:tcPr>
            <w:tcW w:w="1288"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p>
        </w:tc>
        <w:tc>
          <w:tcPr>
            <w:tcW w:w="1902"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Cs/>
                <w:i w:val="0"/>
                <w:iCs w:val="0"/>
                <w:color w:val="auto"/>
                <w:sz w:val="24"/>
                <w:szCs w:val="24"/>
                <w:highlight w:val="none"/>
              </w:rPr>
            </w:pPr>
            <w:r>
              <w:rPr>
                <w:rFonts w:hint="eastAsia" w:ascii="宋体" w:hAnsi="宋体" w:eastAsia="宋体" w:cs="宋体"/>
                <w:color w:val="auto"/>
                <w:kern w:val="0"/>
                <w:sz w:val="24"/>
                <w:szCs w:val="24"/>
                <w:highlight w:val="none"/>
              </w:rPr>
              <w:t>绩效指标明确性</w:t>
            </w:r>
          </w:p>
        </w:tc>
        <w:tc>
          <w:tcPr>
            <w:tcW w:w="650"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4"/>
                <w:highlight w:val="none"/>
              </w:rPr>
            </w:pPr>
            <w:r>
              <w:rPr>
                <w:rFonts w:hint="eastAsia" w:ascii="宋体" w:hAnsi="宋体" w:eastAsia="宋体" w:cs="宋体"/>
                <w:i/>
                <w:iCs/>
                <w:color w:val="auto"/>
                <w:sz w:val="24"/>
                <w:szCs w:val="24"/>
                <w:highlight w:val="none"/>
                <w:lang w:val="en-US" w:eastAsia="zh-CN"/>
              </w:rPr>
              <w:t>100%</w:t>
            </w:r>
          </w:p>
        </w:tc>
      </w:tr>
      <w:tr>
        <w:tblPrEx>
          <w:tblBorders>
            <w:top w:val="none" w:color="auto" w:sz="0"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157"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p>
        </w:tc>
        <w:tc>
          <w:tcPr>
            <w:tcW w:w="1288" w:type="pct"/>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u w:val="single"/>
                <w:lang w:val="en-US" w:eastAsia="zh-CN"/>
              </w:rPr>
              <w:t>资金投入</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r>
              <w:rPr>
                <w:rFonts w:hint="eastAsia" w:ascii="宋体" w:hAnsi="宋体" w:eastAsia="宋体" w:cs="宋体"/>
                <w:bCs/>
                <w:color w:val="auto"/>
                <w:sz w:val="24"/>
                <w:szCs w:val="24"/>
                <w:highlight w:val="none"/>
              </w:rPr>
              <w:t>得分率：</w:t>
            </w:r>
            <w:r>
              <w:rPr>
                <w:rFonts w:hint="eastAsia" w:ascii="宋体" w:hAnsi="宋体" w:eastAsia="宋体" w:cs="宋体"/>
                <w:bCs/>
                <w:color w:val="auto"/>
                <w:sz w:val="24"/>
                <w:szCs w:val="24"/>
                <w:highlight w:val="none"/>
                <w:lang w:val="en-US" w:eastAsia="zh-CN"/>
              </w:rPr>
              <w:t>68.75</w:t>
            </w:r>
            <w:r>
              <w:rPr>
                <w:rFonts w:hint="eastAsia" w:ascii="宋体" w:hAnsi="宋体" w:eastAsia="宋体" w:cs="宋体"/>
                <w:bCs/>
                <w:color w:val="auto"/>
                <w:sz w:val="24"/>
                <w:szCs w:val="24"/>
                <w:highlight w:val="none"/>
              </w:rPr>
              <w:t>%</w:t>
            </w:r>
          </w:p>
        </w:tc>
        <w:tc>
          <w:tcPr>
            <w:tcW w:w="1905"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rPr>
            </w:pPr>
            <w:r>
              <w:rPr>
                <w:rFonts w:hint="eastAsia" w:ascii="宋体" w:hAnsi="宋体" w:eastAsia="宋体" w:cs="宋体"/>
                <w:color w:val="auto"/>
                <w:kern w:val="0"/>
                <w:sz w:val="24"/>
                <w:szCs w:val="24"/>
                <w:highlight w:val="none"/>
                <w:lang w:bidi="ar"/>
              </w:rPr>
              <w:t>预算编制</w:t>
            </w:r>
            <w:r>
              <w:rPr>
                <w:rFonts w:hint="eastAsia" w:ascii="宋体" w:hAnsi="宋体" w:eastAsia="宋体" w:cs="宋体"/>
                <w:color w:val="auto"/>
                <w:kern w:val="0"/>
                <w:sz w:val="24"/>
                <w:szCs w:val="24"/>
                <w:highlight w:val="none"/>
                <w:lang w:eastAsia="zh-CN" w:bidi="ar"/>
              </w:rPr>
              <w:t>科学</w:t>
            </w:r>
            <w:r>
              <w:rPr>
                <w:rFonts w:hint="eastAsia" w:ascii="宋体" w:hAnsi="宋体" w:eastAsia="宋体" w:cs="宋体"/>
                <w:color w:val="auto"/>
                <w:kern w:val="0"/>
                <w:sz w:val="24"/>
                <w:szCs w:val="24"/>
                <w:highlight w:val="none"/>
                <w:lang w:bidi="ar"/>
              </w:rPr>
              <w:t>性</w:t>
            </w:r>
          </w:p>
        </w:tc>
        <w:tc>
          <w:tcPr>
            <w:tcW w:w="64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4"/>
                <w:highlight w:val="none"/>
                <w:lang w:val="en-US" w:eastAsia="zh-CN"/>
              </w:rPr>
            </w:pPr>
            <w:r>
              <w:rPr>
                <w:rFonts w:hint="eastAsia" w:ascii="宋体" w:hAnsi="宋体" w:eastAsia="宋体" w:cs="宋体"/>
                <w:i/>
                <w:iCs/>
                <w:color w:val="auto"/>
                <w:sz w:val="24"/>
                <w:szCs w:val="24"/>
                <w:highlight w:val="none"/>
                <w:lang w:val="en-US" w:eastAsia="zh-CN"/>
              </w:rPr>
              <w:t>50%</w:t>
            </w:r>
          </w:p>
        </w:tc>
      </w:tr>
      <w:tr>
        <w:tblPrEx>
          <w:tblBorders>
            <w:top w:val="none" w:color="auto" w:sz="0"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1157"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p>
        </w:tc>
        <w:tc>
          <w:tcPr>
            <w:tcW w:w="1288"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p>
        </w:tc>
        <w:tc>
          <w:tcPr>
            <w:tcW w:w="1905" w:type="pct"/>
            <w:gridSpan w:val="2"/>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rPr>
            </w:pPr>
            <w:r>
              <w:rPr>
                <w:rFonts w:hint="eastAsia" w:ascii="宋体" w:hAnsi="宋体" w:eastAsia="宋体" w:cs="宋体"/>
                <w:color w:val="auto"/>
                <w:kern w:val="0"/>
                <w:sz w:val="24"/>
                <w:szCs w:val="24"/>
                <w:highlight w:val="none"/>
                <w:lang w:bidi="ar"/>
              </w:rPr>
              <w:t>资金分配合理性</w:t>
            </w:r>
          </w:p>
        </w:tc>
        <w:tc>
          <w:tcPr>
            <w:tcW w:w="64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4"/>
                <w:highlight w:val="none"/>
                <w:lang w:val="en-US" w:eastAsia="zh-CN"/>
              </w:rPr>
            </w:pPr>
            <w:r>
              <w:rPr>
                <w:rFonts w:hint="eastAsia" w:ascii="宋体" w:hAnsi="宋体" w:eastAsia="宋体" w:cs="宋体"/>
                <w:i/>
                <w:iCs/>
                <w:color w:val="auto"/>
                <w:sz w:val="24"/>
                <w:szCs w:val="24"/>
                <w:highlight w:val="none"/>
                <w:lang w:val="en-US" w:eastAsia="zh-CN"/>
              </w:rPr>
              <w:t>100%</w:t>
            </w:r>
          </w:p>
        </w:tc>
      </w:tr>
      <w:tr>
        <w:tblPrEx>
          <w:tblBorders>
            <w:top w:val="none" w:color="auto" w:sz="0"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80" w:hRule="exact"/>
          <w:jc w:val="center"/>
        </w:trPr>
        <w:tc>
          <w:tcPr>
            <w:tcW w:w="4352" w:type="pct"/>
            <w:gridSpan w:val="4"/>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决策</w:t>
            </w:r>
            <w:r>
              <w:rPr>
                <w:rFonts w:hint="eastAsia" w:ascii="宋体" w:hAnsi="宋体" w:eastAsia="宋体" w:cs="宋体"/>
                <w:b/>
                <w:color w:val="auto"/>
                <w:sz w:val="24"/>
                <w:szCs w:val="24"/>
                <w:highlight w:val="none"/>
              </w:rPr>
              <w:t>”情况评级</w:t>
            </w:r>
          </w:p>
        </w:tc>
        <w:tc>
          <w:tcPr>
            <w:tcW w:w="647"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良</w:t>
            </w:r>
          </w:p>
        </w:tc>
      </w:tr>
    </w:tbl>
    <w:p>
      <w:pPr>
        <w:keepNext w:val="0"/>
        <w:keepLines w:val="0"/>
        <w:pageBreakBefore w:val="0"/>
        <w:widowControl w:val="0"/>
        <w:kinsoku/>
        <w:wordWrap/>
        <w:overflowPunct/>
        <w:topLinePunct w:val="0"/>
        <w:autoSpaceDE/>
        <w:autoSpaceDN/>
        <w:bidi w:val="0"/>
        <w:adjustRightInd w:val="0"/>
        <w:snapToGrid/>
        <w:spacing w:line="576" w:lineRule="exact"/>
        <w:ind w:left="0" w:leftChars="0"/>
        <w:jc w:val="both"/>
        <w:textAlignment w:val="auto"/>
        <w:rPr>
          <w:rFonts w:hint="default"/>
          <w:b/>
          <w:bCs/>
          <w:color w:val="auto"/>
          <w:highlight w:val="none"/>
          <w:u w:val="none"/>
          <w:lang w:val="en-US" w:eastAsia="zh-CN"/>
        </w:rPr>
      </w:pPr>
      <w:r>
        <w:rPr>
          <w:rFonts w:hint="eastAsia" w:ascii="仿宋_GB2312" w:eastAsia="仿宋_GB2312"/>
          <w:b/>
          <w:bCs/>
          <w:color w:val="auto"/>
          <w:highlight w:val="none"/>
          <w:lang w:val="en-US" w:eastAsia="zh-CN"/>
        </w:rPr>
        <w:t>1.项目决策</w:t>
      </w:r>
    </w:p>
    <w:p>
      <w:pPr>
        <w:keepNext w:val="0"/>
        <w:keepLines w:val="0"/>
        <w:pageBreakBefore w:val="0"/>
        <w:widowControl w:val="0"/>
        <w:numPr>
          <w:ilvl w:val="0"/>
          <w:numId w:val="3"/>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ascii="仿宋_GB2312" w:hAnsi="仿宋_GB2312" w:eastAsia="仿宋_GB2312" w:cs="仿宋_GB2312"/>
          <w:b/>
          <w:bCs w:val="0"/>
          <w:color w:val="auto"/>
          <w:szCs w:val="32"/>
          <w:highlight w:val="none"/>
        </w:rPr>
      </w:pPr>
      <w:r>
        <w:rPr>
          <w:rFonts w:hint="eastAsia" w:cs="仿宋_GB2312"/>
          <w:b/>
          <w:bCs w:val="0"/>
          <w:color w:val="auto"/>
          <w:szCs w:val="32"/>
          <w:highlight w:val="none"/>
          <w:lang w:val="en-US" w:eastAsia="zh-CN"/>
        </w:rPr>
        <w:t>申报</w:t>
      </w:r>
      <w:r>
        <w:rPr>
          <w:rFonts w:hint="eastAsia" w:ascii="仿宋_GB2312" w:hAnsi="仿宋_GB2312" w:eastAsia="仿宋_GB2312" w:cs="仿宋_GB2312"/>
          <w:b/>
          <w:bCs w:val="0"/>
          <w:color w:val="auto"/>
          <w:szCs w:val="32"/>
          <w:highlight w:val="none"/>
        </w:rPr>
        <w:t>依据充分性（</w:t>
      </w:r>
      <w:r>
        <w:rPr>
          <w:rFonts w:hint="eastAsia" w:cs="仿宋_GB2312"/>
          <w:b/>
          <w:bCs w:val="0"/>
          <w:color w:val="auto"/>
          <w:szCs w:val="32"/>
          <w:highlight w:val="none"/>
          <w:lang w:eastAsia="zh-CN"/>
        </w:rPr>
        <w:t>指标分值</w:t>
      </w:r>
      <w:r>
        <w:rPr>
          <w:rFonts w:hint="eastAsia" w:ascii="Times New Roman" w:hAnsi="Times New Roman" w:eastAsia="仿宋_GB2312" w:cs="Times New Roman"/>
          <w:b/>
          <w:bCs/>
          <w:color w:val="auto"/>
          <w:highlight w:val="none"/>
          <w:lang w:val="en-US" w:eastAsia="zh-CN"/>
        </w:rPr>
        <w:t>3分）（得分3</w:t>
      </w:r>
      <w:r>
        <w:rPr>
          <w:rFonts w:hint="eastAsia" w:ascii="仿宋_GB2312" w:eastAsia="仿宋_GB2312"/>
          <w:b/>
          <w:bCs/>
          <w:color w:val="auto"/>
          <w:highlight w:val="none"/>
          <w:u w:val="none"/>
          <w:lang w:val="en-US" w:eastAsia="zh-CN"/>
        </w:rPr>
        <w:t>分）</w:t>
      </w:r>
    </w:p>
    <w:p>
      <w:pPr>
        <w:pStyle w:val="6"/>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cs="Times New Roman"/>
          <w:b w:val="0"/>
          <w:bCs w:val="0"/>
          <w:color w:val="auto"/>
          <w:sz w:val="32"/>
          <w:szCs w:val="32"/>
          <w:highlight w:val="none"/>
          <w:lang w:val="en-US" w:eastAsia="zh-CN"/>
        </w:rPr>
      </w:pPr>
      <w:r>
        <w:rPr>
          <w:rFonts w:hint="eastAsia"/>
          <w:lang w:val="en-US" w:eastAsia="zh-CN"/>
        </w:rPr>
        <w:t>校园安全关系广大师生的人身安全，是办学的底线，是保障学生健康成长、全面发展的前提和基础，事关亿万家庭幸福和社会和谐稳定。城中区教育局</w:t>
      </w:r>
      <w:r>
        <w:rPr>
          <w:rFonts w:hint="eastAsia" w:cs="仿宋_GB2312"/>
          <w:b w:val="0"/>
          <w:bCs w:val="0"/>
          <w:color w:val="auto"/>
          <w:sz w:val="32"/>
          <w:szCs w:val="32"/>
          <w:highlight w:val="none"/>
          <w:lang w:val="en-US" w:eastAsia="zh-CN"/>
        </w:rPr>
        <w:t>依据《国务院办公厅关于加强中小学幼儿园安全风险防控体系建设的意见》《中小学幼儿园安全管理办法》（教育部令第</w:t>
      </w:r>
      <w:r>
        <w:rPr>
          <w:rFonts w:hint="default" w:ascii="Times New Roman" w:hAnsi="Times New Roman" w:cs="Times New Roman"/>
          <w:b w:val="0"/>
          <w:bCs w:val="0"/>
          <w:color w:val="auto"/>
          <w:sz w:val="32"/>
          <w:szCs w:val="32"/>
          <w:highlight w:val="none"/>
          <w:lang w:val="en-US" w:eastAsia="zh-CN"/>
        </w:rPr>
        <w:t>23</w:t>
      </w:r>
      <w:r>
        <w:rPr>
          <w:rFonts w:hint="eastAsia" w:cs="仿宋_GB2312"/>
          <w:b w:val="0"/>
          <w:bCs w:val="0"/>
          <w:color w:val="auto"/>
          <w:sz w:val="32"/>
          <w:szCs w:val="32"/>
          <w:highlight w:val="none"/>
          <w:lang w:val="en-US" w:eastAsia="zh-CN"/>
        </w:rPr>
        <w:t>号）《国务院教育督导委员会办公室关于进一步加强中小学（幼儿园）安全工作的紧急通知》（国教督办</w:t>
      </w:r>
      <w:r>
        <w:rPr>
          <w:rFonts w:hint="eastAsia" w:ascii="Times New Roman" w:hAnsi="Times New Roman" w:cs="Times New Roman"/>
          <w:b w:val="0"/>
          <w:bCs w:val="0"/>
          <w:color w:val="auto"/>
          <w:sz w:val="32"/>
          <w:szCs w:val="32"/>
          <w:highlight w:val="none"/>
          <w:lang w:val="en-US" w:eastAsia="zh-CN"/>
        </w:rPr>
        <w:t>〔2018〕4号）、《公安部 教育部关于印发加快推动全国中小学幼儿园安全防范建设三年行动计划的通知》《保安服务管理条例》（2020年修订）、《对十三届全国人大三次会议第6578号建议的答复》（教督建议〔2020〕306号）等相关文件要求，认真落实安全管理主体责任制，加强学校安全工作，聘请第三方保安公司配备84</w:t>
      </w:r>
      <w:r>
        <w:rPr>
          <w:rFonts w:hint="eastAsia"/>
          <w:lang w:val="en-US" w:eastAsia="zh-CN"/>
        </w:rPr>
        <w:t>名保安人员负责城中区</w:t>
      </w:r>
      <w:r>
        <w:rPr>
          <w:rFonts w:hint="eastAsia" w:ascii="Times New Roman" w:hAnsi="Times New Roman" w:cs="Times New Roman"/>
          <w:b w:val="0"/>
          <w:bCs w:val="0"/>
          <w:color w:val="auto"/>
          <w:sz w:val="32"/>
          <w:szCs w:val="32"/>
          <w:highlight w:val="none"/>
          <w:lang w:val="en-US" w:eastAsia="zh-CN"/>
        </w:rPr>
        <w:t>21所学校、3个教学点、1所保育院、2所幼儿园的安保工作。</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cs="仿宋_GB2312"/>
          <w:b w:val="0"/>
          <w:bCs w:val="0"/>
          <w:color w:val="auto"/>
          <w:sz w:val="32"/>
          <w:szCs w:val="32"/>
          <w:highlight w:val="none"/>
          <w:lang w:val="en-US" w:eastAsia="zh-CN"/>
        </w:rPr>
      </w:pPr>
      <w:r>
        <w:rPr>
          <w:rFonts w:hint="eastAsia" w:cs="仿宋_GB2312"/>
          <w:b w:val="0"/>
          <w:bCs w:val="0"/>
          <w:color w:val="auto"/>
          <w:sz w:val="32"/>
          <w:szCs w:val="32"/>
          <w:highlight w:val="none"/>
          <w:lang w:val="en-US" w:eastAsia="zh-CN"/>
        </w:rPr>
        <w:t>根据指标体系评分标准，项目申报符合国家法律法规、国民经济发展规划和相关政策、符合行业发展规划和政策要求与部门职责范围，属于公共财政支持范围，与相关部门同类项目或部门内部相关项目无重复。指标得分</w:t>
      </w:r>
      <w:r>
        <w:rPr>
          <w:rFonts w:hint="eastAsia" w:ascii="Times New Roman" w:hAnsi="Times New Roman" w:eastAsia="仿宋_GB2312" w:cs="Times New Roman"/>
          <w:b w:val="0"/>
          <w:bCs w:val="0"/>
          <w:color w:val="auto"/>
          <w:kern w:val="2"/>
          <w:sz w:val="32"/>
          <w:szCs w:val="32"/>
          <w:highlight w:val="none"/>
          <w:lang w:val="en-US" w:eastAsia="zh-CN" w:bidi="ar-SA"/>
        </w:rPr>
        <w:t>3分</w:t>
      </w:r>
      <w:r>
        <w:rPr>
          <w:rFonts w:hint="eastAsia" w:cs="仿宋_GB2312"/>
          <w:b w:val="0"/>
          <w:bCs w:val="0"/>
          <w:color w:val="auto"/>
          <w:sz w:val="32"/>
          <w:szCs w:val="32"/>
          <w:highlight w:val="none"/>
          <w:lang w:val="en-US" w:eastAsia="zh-CN"/>
        </w:rPr>
        <w:t>。</w:t>
      </w:r>
    </w:p>
    <w:p>
      <w:pPr>
        <w:keepNext w:val="0"/>
        <w:keepLines w:val="0"/>
        <w:pageBreakBefore w:val="0"/>
        <w:widowControl w:val="0"/>
        <w:numPr>
          <w:ilvl w:val="0"/>
          <w:numId w:val="3"/>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ascii="仿宋_GB2312" w:hAnsi="仿宋_GB2312" w:eastAsia="仿宋_GB2312" w:cs="仿宋_GB2312"/>
          <w:b/>
          <w:strike w:val="0"/>
          <w:dstrike w:val="0"/>
          <w:color w:val="auto"/>
          <w:szCs w:val="32"/>
          <w:highlight w:val="none"/>
        </w:rPr>
      </w:pPr>
      <w:r>
        <w:rPr>
          <w:rFonts w:hint="eastAsia" w:cs="仿宋_GB2312"/>
          <w:b/>
          <w:strike w:val="0"/>
          <w:dstrike w:val="0"/>
          <w:color w:val="auto"/>
          <w:szCs w:val="32"/>
          <w:highlight w:val="none"/>
          <w:lang w:val="en-US" w:eastAsia="zh-CN"/>
        </w:rPr>
        <w:t>申报程序</w:t>
      </w:r>
      <w:r>
        <w:rPr>
          <w:rFonts w:hint="eastAsia" w:ascii="仿宋_GB2312" w:hAnsi="仿宋_GB2312" w:eastAsia="仿宋_GB2312" w:cs="仿宋_GB2312"/>
          <w:b/>
          <w:strike w:val="0"/>
          <w:dstrike w:val="0"/>
          <w:color w:val="auto"/>
          <w:szCs w:val="32"/>
          <w:highlight w:val="none"/>
        </w:rPr>
        <w:t>规范性</w:t>
      </w:r>
      <w:r>
        <w:rPr>
          <w:rFonts w:hint="eastAsia" w:ascii="仿宋_GB2312" w:hAnsi="仿宋_GB2312" w:eastAsia="仿宋_GB2312" w:cs="仿宋_GB2312"/>
          <w:b/>
          <w:bCs w:val="0"/>
          <w:color w:val="auto"/>
          <w:szCs w:val="32"/>
          <w:highlight w:val="none"/>
        </w:rPr>
        <w:t>（</w:t>
      </w:r>
      <w:r>
        <w:rPr>
          <w:rFonts w:hint="eastAsia" w:cs="仿宋_GB2312"/>
          <w:b/>
          <w:bCs w:val="0"/>
          <w:color w:val="auto"/>
          <w:szCs w:val="32"/>
          <w:highlight w:val="none"/>
          <w:lang w:eastAsia="zh-CN"/>
        </w:rPr>
        <w:t>指标分值</w:t>
      </w:r>
      <w:r>
        <w:rPr>
          <w:rFonts w:hint="eastAsia" w:cs="仿宋_GB2312"/>
          <w:b/>
          <w:bCs w:val="0"/>
          <w:color w:val="auto"/>
          <w:szCs w:val="32"/>
          <w:highlight w:val="none"/>
          <w:lang w:val="en-US" w:eastAsia="zh-CN"/>
        </w:rPr>
        <w:t>3</w:t>
      </w:r>
      <w:r>
        <w:rPr>
          <w:rFonts w:hint="eastAsia" w:ascii="仿宋_GB2312" w:hAnsi="仿宋_GB2312" w:eastAsia="仿宋_GB2312" w:cs="仿宋_GB2312"/>
          <w:b/>
          <w:bCs w:val="0"/>
          <w:color w:val="auto"/>
          <w:szCs w:val="32"/>
          <w:highlight w:val="none"/>
        </w:rPr>
        <w:t>分）</w:t>
      </w:r>
      <w:r>
        <w:rPr>
          <w:rFonts w:hint="eastAsia" w:ascii="仿宋_GB2312" w:eastAsia="仿宋_GB2312"/>
          <w:b/>
          <w:bCs/>
          <w:color w:val="auto"/>
          <w:highlight w:val="none"/>
          <w:u w:val="none"/>
          <w:lang w:val="en-US" w:eastAsia="zh-CN"/>
        </w:rPr>
        <w:t>（得分3分）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2020年11月，城中区教育局向财政局申请部门预算，其中包括2021-2025年购买保安服务专项资金1159.20万元，231.84万元/年。根据西宁市城中区财政局《关于批复2021年区级部门预算的通知》（城中财字〔2021〕025号），2021年4月6日，西宁市城中区财政局向教育局安排资金231.84万元，同时下达资金预算指标。</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根据指标体系评分标准，西宁市城中区2021年校园保安专项资金申请程序合规，提交材料符合要求，项目申报程序规范。指标得分3分。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b/>
          <w:bCs/>
          <w:color w:val="auto"/>
          <w:highlight w:val="none"/>
          <w:lang w:val="en-US" w:eastAsia="zh-CN"/>
        </w:rPr>
      </w:pPr>
      <w:r>
        <w:rPr>
          <w:rFonts w:hint="eastAsia" w:ascii="仿宋_GB2312" w:eastAsia="仿宋_GB2312"/>
          <w:b/>
          <w:bCs/>
          <w:color w:val="auto"/>
          <w:highlight w:val="none"/>
          <w:lang w:val="en-US" w:eastAsia="zh-CN"/>
        </w:rPr>
        <w:t>2.绩效目标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color w:val="auto"/>
          <w:szCs w:val="32"/>
          <w:highlight w:val="none"/>
          <w:lang w:eastAsia="zh-CN"/>
        </w:rPr>
      </w:pPr>
      <w:r>
        <w:rPr>
          <w:rFonts w:hint="eastAsia" w:cs="仿宋_GB2312"/>
          <w:b/>
          <w:color w:val="auto"/>
          <w:szCs w:val="32"/>
          <w:highlight w:val="none"/>
          <w:lang w:eastAsia="zh-CN"/>
        </w:rPr>
        <w:t>（</w:t>
      </w:r>
      <w:r>
        <w:rPr>
          <w:rFonts w:hint="eastAsia" w:cs="仿宋_GB2312"/>
          <w:b/>
          <w:color w:val="auto"/>
          <w:szCs w:val="32"/>
          <w:highlight w:val="none"/>
          <w:lang w:val="en-US" w:eastAsia="zh-CN"/>
        </w:rPr>
        <w:t>1</w:t>
      </w:r>
      <w:r>
        <w:rPr>
          <w:rFonts w:hint="eastAsia" w:cs="仿宋_GB2312"/>
          <w:b/>
          <w:color w:val="auto"/>
          <w:szCs w:val="32"/>
          <w:highlight w:val="none"/>
          <w:lang w:eastAsia="zh-CN"/>
        </w:rPr>
        <w:t>）</w:t>
      </w:r>
      <w:r>
        <w:rPr>
          <w:rFonts w:hint="eastAsia" w:ascii="仿宋_GB2312" w:hAnsi="仿宋_GB2312" w:eastAsia="仿宋_GB2312" w:cs="仿宋_GB2312"/>
          <w:b/>
          <w:color w:val="auto"/>
          <w:szCs w:val="32"/>
          <w:highlight w:val="none"/>
        </w:rPr>
        <w:t>绩效目标合理性</w:t>
      </w:r>
      <w:r>
        <w:rPr>
          <w:rFonts w:hint="eastAsia" w:ascii="仿宋_GB2312" w:hAnsi="仿宋_GB2312" w:eastAsia="仿宋_GB2312" w:cs="仿宋_GB2312"/>
          <w:b/>
          <w:bCs w:val="0"/>
          <w:color w:val="auto"/>
          <w:szCs w:val="32"/>
          <w:highlight w:val="none"/>
        </w:rPr>
        <w:t>（</w:t>
      </w:r>
      <w:r>
        <w:rPr>
          <w:rFonts w:hint="eastAsia" w:cs="仿宋_GB2312"/>
          <w:b/>
          <w:bCs w:val="0"/>
          <w:color w:val="auto"/>
          <w:szCs w:val="32"/>
          <w:highlight w:val="none"/>
          <w:lang w:eastAsia="zh-CN"/>
        </w:rPr>
        <w:t>指标分值</w:t>
      </w:r>
      <w:r>
        <w:rPr>
          <w:rFonts w:hint="eastAsia" w:cs="仿宋_GB2312"/>
          <w:b/>
          <w:bCs w:val="0"/>
          <w:color w:val="auto"/>
          <w:szCs w:val="32"/>
          <w:highlight w:val="none"/>
          <w:lang w:val="en-US" w:eastAsia="zh-CN"/>
        </w:rPr>
        <w:t>3</w:t>
      </w:r>
      <w:r>
        <w:rPr>
          <w:rFonts w:hint="eastAsia" w:ascii="仿宋_GB2312" w:hAnsi="仿宋_GB2312" w:eastAsia="仿宋_GB2312" w:cs="仿宋_GB2312"/>
          <w:b/>
          <w:bCs w:val="0"/>
          <w:color w:val="auto"/>
          <w:szCs w:val="32"/>
          <w:highlight w:val="none"/>
        </w:rPr>
        <w:t>分）</w:t>
      </w:r>
      <w:r>
        <w:rPr>
          <w:rFonts w:hint="eastAsia" w:ascii="仿宋_GB2312" w:eastAsia="仿宋_GB2312"/>
          <w:b/>
          <w:bCs/>
          <w:color w:val="auto"/>
          <w:highlight w:val="none"/>
          <w:u w:val="none"/>
          <w:lang w:val="en-US" w:eastAsia="zh-CN"/>
        </w:rPr>
        <w:t>（得分3分）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0"/>
          <w:sz w:val="32"/>
          <w:szCs w:val="32"/>
          <w:highlight w:val="none"/>
          <w:lang w:val="en-US" w:eastAsia="zh-CN" w:bidi="ar-SA"/>
        </w:rPr>
        <w:t>根据城中区教育局提供的相关资料，</w:t>
      </w:r>
      <w:r>
        <w:rPr>
          <w:rFonts w:hint="eastAsia" w:cs="仿宋_GB2312"/>
          <w:b w:val="0"/>
          <w:bCs w:val="0"/>
          <w:color w:val="auto"/>
          <w:kern w:val="0"/>
          <w:sz w:val="32"/>
          <w:szCs w:val="32"/>
          <w:highlight w:val="none"/>
          <w:lang w:val="en-US" w:eastAsia="zh-CN" w:bidi="ar-SA"/>
        </w:rPr>
        <w:t>经查看《校园保安专项资金绩效监控表》，西宁市城中</w:t>
      </w:r>
      <w:r>
        <w:rPr>
          <w:rFonts w:hint="eastAsia" w:ascii="Times New Roman" w:hAnsi="Times New Roman" w:eastAsia="仿宋_GB2312" w:cs="Times New Roman"/>
          <w:b w:val="0"/>
          <w:bCs w:val="0"/>
          <w:color w:val="auto"/>
          <w:kern w:val="2"/>
          <w:sz w:val="32"/>
          <w:szCs w:val="32"/>
          <w:highlight w:val="none"/>
          <w:lang w:val="en-US" w:eastAsia="zh-CN" w:bidi="ar-SA"/>
        </w:rPr>
        <w:t>区2021年校园保安专项资金已设定绩效目标，且绩效目标与实际工作内容有相关性，预期产出效益与实际情况相符合。</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根据指标体系评分标准，指标得分3分。</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76" w:lineRule="exact"/>
        <w:ind w:left="0" w:leftChars="0"/>
        <w:jc w:val="both"/>
        <w:textAlignment w:val="auto"/>
        <w:rPr>
          <w:rFonts w:hint="eastAsia" w:cs="仿宋_GB2312"/>
          <w:b/>
          <w:color w:val="auto"/>
          <w:sz w:val="32"/>
          <w:szCs w:val="32"/>
          <w:highlight w:val="none"/>
          <w:lang w:val="en-US" w:eastAsia="zh-CN"/>
        </w:rPr>
      </w:pPr>
      <w:r>
        <w:rPr>
          <w:rFonts w:hint="eastAsia" w:cs="仿宋_GB2312"/>
          <w:b/>
          <w:color w:val="auto"/>
          <w:sz w:val="32"/>
          <w:szCs w:val="32"/>
          <w:highlight w:val="none"/>
          <w:lang w:val="en-US" w:eastAsia="zh-CN"/>
        </w:rPr>
        <w:t>（2）绩效指标明确性</w:t>
      </w:r>
      <w:r>
        <w:rPr>
          <w:rFonts w:hint="eastAsia" w:ascii="仿宋_GB2312" w:hAnsi="仿宋_GB2312" w:eastAsia="仿宋_GB2312" w:cs="仿宋_GB2312"/>
          <w:b/>
          <w:bCs w:val="0"/>
          <w:color w:val="auto"/>
          <w:kern w:val="2"/>
          <w:sz w:val="32"/>
          <w:szCs w:val="32"/>
          <w:highlight w:val="none"/>
          <w:lang w:val="en-US" w:eastAsia="zh-CN" w:bidi="ar-SA"/>
        </w:rPr>
        <w:t>（指标分值</w:t>
      </w:r>
      <w:r>
        <w:rPr>
          <w:rFonts w:hint="eastAsia" w:cs="仿宋_GB2312"/>
          <w:b/>
          <w:bCs w:val="0"/>
          <w:color w:val="auto"/>
          <w:kern w:val="2"/>
          <w:sz w:val="32"/>
          <w:szCs w:val="32"/>
          <w:highlight w:val="none"/>
          <w:lang w:val="en-US" w:eastAsia="zh-CN" w:bidi="ar-SA"/>
        </w:rPr>
        <w:t>3</w:t>
      </w:r>
      <w:r>
        <w:rPr>
          <w:rFonts w:hint="eastAsia" w:ascii="仿宋_GB2312" w:hAnsi="仿宋_GB2312" w:eastAsia="仿宋_GB2312" w:cs="仿宋_GB2312"/>
          <w:b/>
          <w:bCs w:val="0"/>
          <w:color w:val="auto"/>
          <w:kern w:val="2"/>
          <w:sz w:val="32"/>
          <w:szCs w:val="32"/>
          <w:highlight w:val="none"/>
          <w:lang w:val="en-US" w:eastAsia="zh-CN" w:bidi="ar-SA"/>
        </w:rPr>
        <w:t>分）（得分</w:t>
      </w:r>
      <w:r>
        <w:rPr>
          <w:rFonts w:hint="eastAsia" w:cs="仿宋_GB2312"/>
          <w:b/>
          <w:bCs w:val="0"/>
          <w:color w:val="auto"/>
          <w:kern w:val="2"/>
          <w:sz w:val="32"/>
          <w:szCs w:val="32"/>
          <w:highlight w:val="none"/>
          <w:lang w:val="en-US" w:eastAsia="zh-CN" w:bidi="ar-SA"/>
        </w:rPr>
        <w:t>3</w:t>
      </w:r>
      <w:r>
        <w:rPr>
          <w:rFonts w:hint="eastAsia" w:ascii="仿宋_GB2312" w:hAnsi="仿宋_GB2312" w:eastAsia="仿宋_GB2312" w:cs="仿宋_GB2312"/>
          <w:b/>
          <w:bCs w:val="0"/>
          <w:color w:val="auto"/>
          <w:kern w:val="2"/>
          <w:sz w:val="32"/>
          <w:szCs w:val="32"/>
          <w:highlight w:val="none"/>
          <w:lang w:val="en-US" w:eastAsia="zh-CN" w:bidi="ar-SA"/>
        </w:rPr>
        <w:t>分）</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76" w:lineRule="exact"/>
        <w:ind w:left="0" w:leftChars="0"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cs="仿宋_GB2312"/>
          <w:b w:val="0"/>
          <w:bCs w:val="0"/>
          <w:color w:val="auto"/>
          <w:sz w:val="32"/>
          <w:szCs w:val="32"/>
          <w:highlight w:val="none"/>
          <w:lang w:val="en-US" w:eastAsia="zh-CN"/>
        </w:rPr>
        <w:t>根据城中区教育局提供的相关资料，</w:t>
      </w:r>
      <w:r>
        <w:rPr>
          <w:rFonts w:hint="eastAsia" w:cs="仿宋_GB2312"/>
          <w:b w:val="0"/>
          <w:bCs w:val="0"/>
          <w:color w:val="auto"/>
          <w:kern w:val="0"/>
          <w:sz w:val="32"/>
          <w:szCs w:val="32"/>
          <w:highlight w:val="none"/>
          <w:lang w:val="en-US" w:eastAsia="zh-CN" w:bidi="ar-SA"/>
        </w:rPr>
        <w:t>经查看《校园保安专项资金绩效监控表》，西宁市城中区</w:t>
      </w:r>
      <w:r>
        <w:rPr>
          <w:rFonts w:hint="eastAsia" w:ascii="Times New Roman" w:hAnsi="Times New Roman" w:eastAsia="仿宋_GB2312" w:cs="Times New Roman"/>
          <w:b w:val="0"/>
          <w:bCs w:val="0"/>
          <w:color w:val="auto"/>
          <w:kern w:val="2"/>
          <w:sz w:val="32"/>
          <w:szCs w:val="32"/>
          <w:highlight w:val="none"/>
          <w:lang w:val="en-US" w:eastAsia="zh-CN" w:bidi="ar-SA"/>
        </w:rPr>
        <w:t>2021年校园保安专项资金绩效目标细化分解为具体的绩效指标，且绩效目标指标值清晰、可衡量，与预算确定的资金量相匹配。</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76" w:lineRule="exact"/>
        <w:ind w:left="0" w:leftChars="0"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根据指标体系评分标准，指标得分3分。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default" w:ascii="仿宋_GB2312" w:hAnsi="仿宋_GB2312" w:eastAsia="仿宋_GB2312" w:cs="仿宋_GB2312"/>
          <w:b/>
          <w:color w:val="auto"/>
          <w:szCs w:val="32"/>
          <w:highlight w:val="none"/>
          <w:lang w:val="en-US" w:eastAsia="zh-CN"/>
        </w:rPr>
      </w:pP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.资金</w:t>
      </w:r>
      <w:r>
        <w:rPr>
          <w:rFonts w:hint="eastAsia" w:cs="仿宋_GB2312"/>
          <w:b/>
          <w:color w:val="auto"/>
          <w:szCs w:val="32"/>
          <w:highlight w:val="none"/>
          <w:lang w:val="en-US" w:eastAsia="zh-CN"/>
        </w:rPr>
        <w:t>投入</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color w:val="auto"/>
          <w:szCs w:val="32"/>
          <w:highlight w:val="none"/>
          <w:lang w:val="en-US" w:eastAsia="zh-CN"/>
        </w:rPr>
      </w:pPr>
      <w:r>
        <w:rPr>
          <w:rFonts w:hint="eastAsia" w:ascii="仿宋_GB2312" w:hAnsi="仿宋_GB2312" w:eastAsia="仿宋_GB2312" w:cs="仿宋_GB2312"/>
          <w:b/>
          <w:color w:val="auto"/>
          <w:szCs w:val="32"/>
          <w:highlight w:val="none"/>
          <w:lang w:val="en-US" w:eastAsia="zh-CN"/>
        </w:rPr>
        <w:t>（1）预算编制科学性</w:t>
      </w:r>
      <w:r>
        <w:rPr>
          <w:rFonts w:hint="eastAsia" w:ascii="仿宋_GB2312" w:hAnsi="仿宋_GB2312" w:eastAsia="仿宋_GB2312" w:cs="仿宋_GB2312"/>
          <w:b/>
          <w:bCs w:val="0"/>
          <w:color w:val="auto"/>
          <w:szCs w:val="32"/>
          <w:highlight w:val="none"/>
        </w:rPr>
        <w:t>（</w:t>
      </w:r>
      <w:r>
        <w:rPr>
          <w:rFonts w:hint="eastAsia" w:cs="仿宋_GB2312"/>
          <w:b/>
          <w:bCs w:val="0"/>
          <w:color w:val="auto"/>
          <w:szCs w:val="32"/>
          <w:highlight w:val="none"/>
          <w:lang w:eastAsia="zh-CN"/>
        </w:rPr>
        <w:t>指标分值</w:t>
      </w:r>
      <w:r>
        <w:rPr>
          <w:rFonts w:hint="eastAsia" w:cs="仿宋_GB2312"/>
          <w:b/>
          <w:bCs w:val="0"/>
          <w:color w:val="auto"/>
          <w:szCs w:val="32"/>
          <w:highlight w:val="none"/>
          <w:lang w:val="en-US" w:eastAsia="zh-CN"/>
        </w:rPr>
        <w:t>5</w:t>
      </w:r>
      <w:r>
        <w:rPr>
          <w:rFonts w:hint="eastAsia" w:ascii="仿宋_GB2312" w:hAnsi="仿宋_GB2312" w:eastAsia="仿宋_GB2312" w:cs="仿宋_GB2312"/>
          <w:b/>
          <w:bCs w:val="0"/>
          <w:color w:val="auto"/>
          <w:szCs w:val="32"/>
          <w:highlight w:val="none"/>
        </w:rPr>
        <w:t>分）</w:t>
      </w:r>
      <w:r>
        <w:rPr>
          <w:rFonts w:hint="eastAsia" w:ascii="仿宋_GB2312" w:eastAsia="仿宋_GB2312"/>
          <w:b/>
          <w:bCs/>
          <w:color w:val="auto"/>
          <w:highlight w:val="none"/>
          <w:u w:val="none"/>
          <w:lang w:val="en-US" w:eastAsia="zh-CN"/>
        </w:rPr>
        <w:t>（得分2.5分）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城中区教育局申请2021年购买保安服务预算资金231.84万元，用于84名保安工资支出，每名保安2300元/月。资金预算内容与项目实施相匹配，但城中区教育局申请预算2300元/月工资标准无依据，预算测算依据不充分，不能确定资金量是否与工作任务相匹配。</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根据指标体系评分标准，城中区教育局申请预算2300元/月工资标准无依据，预算测算依据不充分。指标扣2.5分，得分2.5分。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rPr>
          <w:rFonts w:ascii="仿宋_GB2312" w:hAnsi="仿宋_GB2312" w:cs="仿宋_GB2312"/>
          <w:b/>
          <w:bCs/>
          <w:color w:val="auto"/>
          <w:szCs w:val="32"/>
          <w:highlight w:val="none"/>
        </w:rPr>
      </w:pPr>
      <w:r>
        <w:rPr>
          <w:rFonts w:hint="eastAsia" w:cs="仿宋_GB2312"/>
          <w:b/>
          <w:bCs/>
          <w:color w:val="auto"/>
          <w:highlight w:val="none"/>
          <w:lang w:eastAsia="zh-CN"/>
        </w:rPr>
        <w:t>（</w:t>
      </w:r>
      <w:r>
        <w:rPr>
          <w:rFonts w:hint="eastAsia" w:cs="仿宋_GB2312"/>
          <w:b/>
          <w:bCs/>
          <w:color w:val="auto"/>
          <w:highlight w:val="none"/>
          <w:lang w:val="en-US" w:eastAsia="zh-CN"/>
        </w:rPr>
        <w:t>2</w:t>
      </w:r>
      <w:r>
        <w:rPr>
          <w:rFonts w:hint="eastAsia" w:cs="仿宋_GB2312"/>
          <w:b/>
          <w:bCs/>
          <w:color w:val="auto"/>
          <w:highlight w:val="none"/>
          <w:lang w:eastAsia="zh-CN"/>
        </w:rPr>
        <w:t>）</w:t>
      </w:r>
      <w:r>
        <w:rPr>
          <w:rFonts w:hint="eastAsia" w:ascii="仿宋_GB2312" w:hAnsi="仿宋_GB2312" w:cs="仿宋_GB2312"/>
          <w:b/>
          <w:bCs/>
          <w:color w:val="auto"/>
          <w:highlight w:val="none"/>
        </w:rPr>
        <w:t>资金分配合理性</w:t>
      </w:r>
      <w:r>
        <w:rPr>
          <w:rFonts w:hint="eastAsia" w:ascii="仿宋_GB2312" w:hAnsi="仿宋_GB2312" w:eastAsia="仿宋_GB2312" w:cs="仿宋_GB2312"/>
          <w:b/>
          <w:bCs w:val="0"/>
          <w:color w:val="auto"/>
          <w:szCs w:val="32"/>
          <w:highlight w:val="none"/>
        </w:rPr>
        <w:t>（</w:t>
      </w:r>
      <w:r>
        <w:rPr>
          <w:rFonts w:hint="eastAsia" w:cs="仿宋_GB2312"/>
          <w:b/>
          <w:bCs w:val="0"/>
          <w:color w:val="auto"/>
          <w:szCs w:val="32"/>
          <w:highlight w:val="none"/>
          <w:lang w:eastAsia="zh-CN"/>
        </w:rPr>
        <w:t>指标分值</w:t>
      </w:r>
      <w:r>
        <w:rPr>
          <w:rFonts w:hint="eastAsia" w:cs="仿宋_GB2312"/>
          <w:b/>
          <w:bCs w:val="0"/>
          <w:color w:val="auto"/>
          <w:szCs w:val="32"/>
          <w:highlight w:val="none"/>
          <w:lang w:val="en-US" w:eastAsia="zh-CN"/>
        </w:rPr>
        <w:t>3</w:t>
      </w:r>
      <w:r>
        <w:rPr>
          <w:rFonts w:hint="eastAsia" w:ascii="仿宋_GB2312" w:hAnsi="仿宋_GB2312" w:eastAsia="仿宋_GB2312" w:cs="仿宋_GB2312"/>
          <w:b/>
          <w:bCs w:val="0"/>
          <w:color w:val="auto"/>
          <w:szCs w:val="32"/>
          <w:highlight w:val="none"/>
        </w:rPr>
        <w:t>分）</w:t>
      </w:r>
      <w:r>
        <w:rPr>
          <w:rFonts w:hint="eastAsia" w:ascii="仿宋_GB2312" w:eastAsia="仿宋_GB2312"/>
          <w:b/>
          <w:bCs/>
          <w:color w:val="auto"/>
          <w:highlight w:val="none"/>
          <w:u w:val="none"/>
          <w:lang w:val="en-US" w:eastAsia="zh-CN"/>
        </w:rPr>
        <w:t>（得分3分）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cs="仿宋_GB2312"/>
          <w:color w:val="auto"/>
          <w:szCs w:val="32"/>
          <w:highlight w:val="none"/>
          <w:lang w:eastAsia="zh-CN"/>
        </w:rPr>
      </w:pPr>
      <w:r>
        <w:rPr>
          <w:rFonts w:hint="eastAsia" w:cs="仿宋_GB2312"/>
          <w:color w:val="auto"/>
          <w:szCs w:val="32"/>
          <w:highlight w:val="none"/>
          <w:lang w:eastAsia="zh-CN"/>
        </w:rPr>
        <w:t>经现场勘查和查阅城中区教育局、青海宏创保安服务有限责任公司提供的相关资料，城中区教育局每季度根据青海宏创保安服务有限责任公司开具的发票向青海宏创保安服务有限责任公司支付资金，青海宏创保安服务有限责任公司每月</w:t>
      </w:r>
      <w:r>
        <w:rPr>
          <w:rFonts w:hint="eastAsia" w:ascii="Times New Roman" w:hAnsi="Times New Roman" w:eastAsia="仿宋_GB2312" w:cs="Times New Roman"/>
          <w:b w:val="0"/>
          <w:bCs w:val="0"/>
          <w:color w:val="auto"/>
          <w:kern w:val="2"/>
          <w:sz w:val="32"/>
          <w:szCs w:val="32"/>
          <w:highlight w:val="none"/>
          <w:lang w:val="en-US" w:eastAsia="zh-CN" w:bidi="ar-SA"/>
        </w:rPr>
        <w:t>5日</w:t>
      </w:r>
      <w:r>
        <w:rPr>
          <w:rFonts w:hint="eastAsia" w:cs="仿宋_GB2312"/>
          <w:color w:val="auto"/>
          <w:szCs w:val="32"/>
          <w:highlight w:val="none"/>
          <w:lang w:eastAsia="zh-CN"/>
        </w:rPr>
        <w:t>向各学校保安发放工</w:t>
      </w:r>
      <w:r>
        <w:rPr>
          <w:rFonts w:hint="eastAsia" w:cs="仿宋_GB2312"/>
          <w:color w:val="auto"/>
          <w:szCs w:val="32"/>
          <w:highlight w:val="none"/>
          <w:lang w:val="en-US" w:eastAsia="zh-CN"/>
        </w:rPr>
        <w:t>资</w:t>
      </w:r>
      <w:r>
        <w:rPr>
          <w:rFonts w:hint="eastAsia" w:cs="仿宋_GB2312"/>
          <w:color w:val="auto"/>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default" w:ascii="仿宋_GB2312" w:hAnsi="仿宋_GB2312" w:cs="仿宋_GB2312"/>
          <w:color w:val="auto"/>
          <w:szCs w:val="32"/>
          <w:highlight w:val="none"/>
          <w:lang w:val="en-US" w:eastAsia="zh-CN"/>
        </w:rPr>
      </w:pPr>
      <w:r>
        <w:rPr>
          <w:rFonts w:hint="eastAsia" w:cs="仿宋_GB2312"/>
          <w:color w:val="auto"/>
          <w:szCs w:val="32"/>
          <w:highlight w:val="none"/>
          <w:lang w:eastAsia="zh-CN"/>
        </w:rPr>
        <w:t>根据指标体系评分标准，预算资金分配依据充分，额度合理，与各学校保安提供的服务实际相适应。指标得</w:t>
      </w:r>
      <w:r>
        <w:rPr>
          <w:rFonts w:hint="eastAsia" w:ascii="Times New Roman" w:hAnsi="Times New Roman" w:eastAsia="仿宋_GB2312" w:cs="Times New Roman"/>
          <w:b w:val="0"/>
          <w:bCs w:val="0"/>
          <w:color w:val="auto"/>
          <w:kern w:val="2"/>
          <w:sz w:val="32"/>
          <w:szCs w:val="32"/>
          <w:highlight w:val="none"/>
          <w:lang w:val="en-US" w:eastAsia="zh-CN" w:bidi="ar-SA"/>
        </w:rPr>
        <w:t>分3分</w:t>
      </w:r>
      <w:r>
        <w:rPr>
          <w:rFonts w:hint="eastAsia" w:cs="仿宋_GB2312"/>
          <w:color w:val="auto"/>
          <w:szCs w:val="32"/>
          <w:highlight w:val="none"/>
          <w:lang w:eastAsia="zh-CN"/>
        </w:rPr>
        <w:t>。</w:t>
      </w:r>
    </w:p>
    <w:p>
      <w:pPr>
        <w:pStyle w:val="4"/>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楷体" w:hAnsi="楷体" w:eastAsia="楷体" w:cs="楷体"/>
          <w:color w:val="auto"/>
          <w:highlight w:val="none"/>
          <w:lang w:val="en-US" w:eastAsia="zh-CN"/>
        </w:rPr>
      </w:pPr>
      <w:bookmarkStart w:id="308" w:name="_Toc2957"/>
      <w:bookmarkStart w:id="309" w:name="_Toc31663"/>
      <w:bookmarkStart w:id="310" w:name="_Toc1350"/>
      <w:bookmarkStart w:id="311" w:name="_Toc3116"/>
      <w:r>
        <w:rPr>
          <w:rFonts w:hint="eastAsia" w:ascii="楷体" w:hAnsi="楷体" w:eastAsia="楷体" w:cs="楷体"/>
          <w:color w:val="auto"/>
          <w:highlight w:val="none"/>
          <w:lang w:val="en-US" w:eastAsia="zh-CN"/>
        </w:rPr>
        <w:fldChar w:fldCharType="begin"/>
      </w:r>
      <w:r>
        <w:rPr>
          <w:rFonts w:hint="eastAsia" w:ascii="楷体" w:hAnsi="楷体" w:eastAsia="楷体" w:cs="楷体"/>
          <w:color w:val="auto"/>
          <w:highlight w:val="none"/>
          <w:lang w:val="en-US" w:eastAsia="zh-CN"/>
        </w:rPr>
        <w:instrText xml:space="preserve"> HYPERLINK \l "_Toc30985" </w:instrText>
      </w:r>
      <w:r>
        <w:rPr>
          <w:rFonts w:hint="eastAsia" w:ascii="楷体" w:hAnsi="楷体" w:eastAsia="楷体" w:cs="楷体"/>
          <w:color w:val="auto"/>
          <w:highlight w:val="none"/>
          <w:lang w:val="en-US" w:eastAsia="zh-CN"/>
        </w:rPr>
        <w:fldChar w:fldCharType="separate"/>
      </w:r>
      <w:r>
        <w:rPr>
          <w:rFonts w:hint="eastAsia" w:ascii="楷体" w:hAnsi="楷体" w:eastAsia="楷体" w:cs="楷体"/>
          <w:color w:val="auto"/>
          <w:highlight w:val="none"/>
          <w:lang w:val="en-US" w:eastAsia="zh-CN"/>
        </w:rPr>
        <w:t>（二）过程</w:t>
      </w:r>
      <w:r>
        <w:rPr>
          <w:rFonts w:hint="eastAsia" w:ascii="楷体" w:hAnsi="楷体" w:eastAsia="楷体" w:cs="楷体"/>
          <w:color w:val="auto"/>
          <w:highlight w:val="none"/>
          <w:lang w:val="en-US" w:eastAsia="zh-CN"/>
        </w:rPr>
        <w:fldChar w:fldCharType="end"/>
      </w:r>
      <w:r>
        <w:rPr>
          <w:rFonts w:hint="eastAsia" w:ascii="楷体" w:hAnsi="楷体" w:eastAsia="楷体" w:cs="楷体"/>
          <w:color w:val="auto"/>
          <w:highlight w:val="none"/>
          <w:lang w:val="en-US" w:eastAsia="zh-CN"/>
        </w:rPr>
        <w:t>情况</w:t>
      </w:r>
      <w:bookmarkEnd w:id="308"/>
      <w:bookmarkEnd w:id="309"/>
      <w:bookmarkEnd w:id="310"/>
      <w:bookmarkEnd w:id="311"/>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jc w:val="both"/>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西宁市城中</w:t>
      </w:r>
      <w:r>
        <w:rPr>
          <w:rFonts w:hint="eastAsia" w:ascii="Times New Roman" w:hAnsi="Times New Roman" w:eastAsia="仿宋_GB2312" w:cs="Times New Roman"/>
          <w:b w:val="0"/>
          <w:bCs w:val="0"/>
          <w:color w:val="auto"/>
          <w:kern w:val="2"/>
          <w:sz w:val="32"/>
          <w:szCs w:val="32"/>
          <w:highlight w:val="none"/>
          <w:lang w:val="en-US" w:eastAsia="zh-CN" w:bidi="ar-SA"/>
        </w:rPr>
        <w:t>区2021</w:t>
      </w:r>
      <w:r>
        <w:rPr>
          <w:rFonts w:hint="eastAsia" w:ascii="仿宋_GB2312" w:hAnsi="仿宋_GB2312" w:eastAsia="仿宋_GB2312" w:cs="仿宋_GB2312"/>
          <w:color w:val="auto"/>
          <w:highlight w:val="none"/>
          <w:lang w:val="en-US" w:eastAsia="zh-CN"/>
        </w:rPr>
        <w:t>年校园保安专项</w:t>
      </w:r>
      <w:r>
        <w:rPr>
          <w:rFonts w:hint="eastAsia" w:cs="仿宋_GB2312"/>
          <w:color w:val="auto"/>
          <w:highlight w:val="none"/>
          <w:lang w:val="en-US" w:eastAsia="zh-CN"/>
        </w:rPr>
        <w:t>资金</w:t>
      </w:r>
      <w:r>
        <w:rPr>
          <w:rFonts w:hint="eastAsia" w:ascii="仿宋_GB2312" w:hAnsi="仿宋_GB2312" w:eastAsia="仿宋_GB2312" w:cs="仿宋_GB2312"/>
          <w:color w:val="auto"/>
          <w:highlight w:val="none"/>
          <w:lang w:val="en-US" w:eastAsia="zh-CN"/>
        </w:rPr>
        <w:t>绩效评价</w:t>
      </w:r>
      <w:r>
        <w:rPr>
          <w:rFonts w:hint="eastAsia" w:cs="仿宋_GB2312"/>
          <w:color w:val="auto"/>
          <w:highlight w:val="none"/>
          <w:lang w:val="en-US" w:eastAsia="zh-CN"/>
        </w:rPr>
        <w:t>过程</w:t>
      </w:r>
      <w:r>
        <w:rPr>
          <w:rFonts w:hint="eastAsia" w:ascii="仿宋_GB2312" w:hAnsi="仿宋_GB2312" w:eastAsia="仿宋_GB2312" w:cs="仿宋_GB2312"/>
          <w:color w:val="auto"/>
          <w:highlight w:val="none"/>
          <w:lang w:val="en-US" w:eastAsia="zh-CN"/>
        </w:rPr>
        <w:t>类指标分别</w:t>
      </w:r>
      <w:r>
        <w:rPr>
          <w:rFonts w:hint="eastAsia" w:cs="仿宋_GB2312"/>
          <w:color w:val="auto"/>
          <w:highlight w:val="none"/>
          <w:lang w:val="en-US" w:eastAsia="zh-CN"/>
        </w:rPr>
        <w:t>从资金管理</w:t>
      </w:r>
      <w:r>
        <w:rPr>
          <w:rFonts w:hint="eastAsia" w:ascii="仿宋_GB2312" w:hAnsi="仿宋_GB2312" w:eastAsia="仿宋_GB2312" w:cs="仿宋_GB2312"/>
          <w:color w:val="auto"/>
          <w:highlight w:val="none"/>
          <w:lang w:val="en-US" w:eastAsia="zh-CN"/>
        </w:rPr>
        <w:t>和</w:t>
      </w:r>
      <w:r>
        <w:rPr>
          <w:rFonts w:hint="eastAsia" w:cs="仿宋_GB2312"/>
          <w:color w:val="auto"/>
          <w:highlight w:val="none"/>
          <w:lang w:val="en-US" w:eastAsia="zh-CN"/>
        </w:rPr>
        <w:t>组织实施两个方面进行综合分析。各项</w:t>
      </w:r>
      <w:r>
        <w:rPr>
          <w:rFonts w:hint="eastAsia" w:ascii="仿宋_GB2312" w:hAnsi="仿宋_GB2312" w:eastAsia="仿宋_GB2312" w:cs="仿宋_GB2312"/>
          <w:color w:val="auto"/>
          <w:highlight w:val="none"/>
          <w:lang w:val="en-US" w:eastAsia="zh-CN"/>
        </w:rPr>
        <w:t>指标具体得分情况如下表所示：</w:t>
      </w:r>
    </w:p>
    <w:tbl>
      <w:tblPr>
        <w:tblStyle w:val="13"/>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02"/>
        <w:gridCol w:w="2314"/>
        <w:gridCol w:w="3208"/>
        <w:gridCol w:w="143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000" w:type="pct"/>
            <w:gridSpan w:val="4"/>
            <w:tcBorders>
              <w:top w:val="nil"/>
              <w:bottom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 xml:space="preserve">7 </w:t>
            </w:r>
            <w:r>
              <w:rPr>
                <w:rFonts w:hint="eastAsia" w:ascii="宋体" w:hAnsi="宋体" w:eastAsia="宋体" w:cs="宋体"/>
                <w:b/>
                <w:bCs/>
                <w:color w:val="auto"/>
                <w:sz w:val="28"/>
                <w:szCs w:val="28"/>
                <w:highlight w:val="none"/>
                <w:lang w:eastAsia="zh-CN"/>
              </w:rPr>
              <w:t>过程</w:t>
            </w:r>
            <w:r>
              <w:rPr>
                <w:rFonts w:hint="eastAsia" w:ascii="宋体" w:hAnsi="宋体" w:eastAsia="宋体" w:cs="宋体"/>
                <w:b/>
                <w:bCs/>
                <w:color w:val="auto"/>
                <w:sz w:val="28"/>
                <w:szCs w:val="28"/>
                <w:highlight w:val="none"/>
              </w:rPr>
              <w:t>类各项指标绩效评价</w:t>
            </w:r>
            <w:r>
              <w:rPr>
                <w:rFonts w:hint="eastAsia" w:ascii="宋体" w:hAnsi="宋体" w:eastAsia="宋体" w:cs="宋体"/>
                <w:b/>
                <w:color w:val="auto"/>
                <w:sz w:val="28"/>
                <w:szCs w:val="28"/>
                <w:highlight w:val="none"/>
              </w:rPr>
              <w:t>得分表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6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127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176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79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60" w:type="pct"/>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过程</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83.33</w:t>
            </w:r>
            <w:r>
              <w:rPr>
                <w:rFonts w:hint="eastAsia" w:ascii="宋体" w:hAnsi="宋体" w:eastAsia="宋体" w:cs="宋体"/>
                <w:bCs/>
                <w:color w:val="auto"/>
                <w:sz w:val="24"/>
                <w:szCs w:val="22"/>
                <w:highlight w:val="none"/>
              </w:rPr>
              <w:t>%</w:t>
            </w:r>
          </w:p>
        </w:tc>
        <w:tc>
          <w:tcPr>
            <w:tcW w:w="1277" w:type="pct"/>
            <w:vMerge w:val="restar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资金管理</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83.33</w:t>
            </w:r>
            <w:r>
              <w:rPr>
                <w:rFonts w:hint="eastAsia" w:ascii="宋体" w:hAnsi="宋体" w:eastAsia="宋体" w:cs="宋体"/>
                <w:bCs/>
                <w:color w:val="auto"/>
                <w:sz w:val="24"/>
                <w:szCs w:val="22"/>
                <w:highlight w:val="none"/>
              </w:rPr>
              <w:t>%</w:t>
            </w:r>
          </w:p>
        </w:tc>
        <w:tc>
          <w:tcPr>
            <w:tcW w:w="176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资金到位率</w:t>
            </w:r>
          </w:p>
        </w:tc>
        <w:tc>
          <w:tcPr>
            <w:tcW w:w="792"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60"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77"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76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预算执行率</w:t>
            </w:r>
          </w:p>
        </w:tc>
        <w:tc>
          <w:tcPr>
            <w:tcW w:w="792"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60"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77" w:type="pct"/>
            <w:vMerge w:val="continue"/>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76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资金使用合规性</w:t>
            </w:r>
          </w:p>
        </w:tc>
        <w:tc>
          <w:tcPr>
            <w:tcW w:w="792"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50%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60" w:type="pct"/>
            <w:vMerge w:val="continue"/>
            <w:tcBorders>
              <w:top w:val="single" w:color="auto" w:sz="4" w:space="0"/>
              <w:lef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77" w:type="pct"/>
            <w:vMerge w:val="restart"/>
            <w:tcBorders>
              <w:top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
                <w:color w:val="auto"/>
                <w:sz w:val="24"/>
                <w:szCs w:val="22"/>
                <w:highlight w:val="none"/>
                <w:u w:val="single"/>
              </w:rPr>
              <w:t>组织实施</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83.33</w:t>
            </w:r>
            <w:r>
              <w:rPr>
                <w:rFonts w:hint="eastAsia" w:ascii="宋体" w:hAnsi="宋体" w:eastAsia="宋体" w:cs="宋体"/>
                <w:bCs/>
                <w:color w:val="auto"/>
                <w:sz w:val="24"/>
                <w:szCs w:val="22"/>
                <w:highlight w:val="none"/>
              </w:rPr>
              <w:t>%</w:t>
            </w:r>
          </w:p>
        </w:tc>
        <w:tc>
          <w:tcPr>
            <w:tcW w:w="1768" w:type="pct"/>
            <w:tcBorders>
              <w:top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管理制度健全性</w:t>
            </w:r>
          </w:p>
        </w:tc>
        <w:tc>
          <w:tcPr>
            <w:tcW w:w="792" w:type="pct"/>
            <w:tcBorders>
              <w:top w:val="single" w:color="auto" w:sz="4" w:space="0"/>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66.67%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60" w:type="pct"/>
            <w:vMerge w:val="continue"/>
            <w:tcBorders>
              <w:lef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77" w:type="pct"/>
            <w:vMerge w:val="continue"/>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768"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制度执行有效性</w:t>
            </w:r>
          </w:p>
        </w:tc>
        <w:tc>
          <w:tcPr>
            <w:tcW w:w="792" w:type="pct"/>
            <w:tcBorders>
              <w:right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207" w:type="pct"/>
            <w:gridSpan w:val="3"/>
            <w:tcBorders>
              <w:left w:val="single" w:color="auto" w:sz="4" w:space="0"/>
              <w:bottom w:val="single" w:color="auto" w:sz="4" w:space="0"/>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val="en-US" w:eastAsia="zh-CN"/>
              </w:rPr>
              <w:t>过程</w:t>
            </w:r>
            <w:r>
              <w:rPr>
                <w:rFonts w:hint="eastAsia" w:ascii="宋体" w:hAnsi="宋体" w:eastAsia="宋体" w:cs="宋体"/>
                <w:b/>
                <w:color w:val="auto"/>
                <w:sz w:val="24"/>
                <w:szCs w:val="22"/>
                <w:highlight w:val="none"/>
              </w:rPr>
              <w:t>”情况评级</w:t>
            </w:r>
          </w:p>
        </w:tc>
        <w:tc>
          <w:tcPr>
            <w:tcW w:w="792" w:type="pct"/>
            <w:tcBorders>
              <w:bottom w:val="single" w:color="auto" w:sz="4" w:space="0"/>
              <w:right w:val="single" w:color="auto" w:sz="4" w:space="0"/>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良</w:t>
            </w:r>
          </w:p>
        </w:tc>
      </w:tr>
    </w:tbl>
    <w:p>
      <w:pPr>
        <w:keepNext w:val="0"/>
        <w:keepLines w:val="0"/>
        <w:pageBreakBefore w:val="0"/>
        <w:widowControl w:val="0"/>
        <w:kinsoku/>
        <w:wordWrap/>
        <w:overflowPunct/>
        <w:topLinePunct w:val="0"/>
        <w:autoSpaceDE/>
        <w:autoSpaceDN/>
        <w:bidi w:val="0"/>
        <w:adjustRightInd w:val="0"/>
        <w:snapToGrid/>
        <w:spacing w:line="576" w:lineRule="exact"/>
        <w:ind w:left="0" w:leftChars="0" w:firstLine="643" w:firstLineChars="200"/>
        <w:jc w:val="both"/>
        <w:textAlignment w:val="auto"/>
        <w:rPr>
          <w:rFonts w:hint="default"/>
          <w:b/>
          <w:bCs/>
          <w:color w:val="auto"/>
          <w:highlight w:val="none"/>
          <w:lang w:val="en-US" w:eastAsia="zh-CN"/>
        </w:rPr>
      </w:pPr>
      <w:r>
        <w:rPr>
          <w:rFonts w:hint="eastAsia" w:ascii="仿宋_GB2312" w:eastAsia="仿宋_GB2312"/>
          <w:b/>
          <w:bCs/>
          <w:color w:val="000000" w:themeColor="text1"/>
          <w:highlight w:val="none"/>
          <w:lang w:val="en-US" w:eastAsia="zh-CN"/>
          <w14:textFill>
            <w14:solidFill>
              <w14:schemeClr w14:val="tx1"/>
            </w14:solidFill>
          </w14:textFill>
        </w:rPr>
        <w:t>1.资金管理</w:t>
      </w:r>
    </w:p>
    <w:p>
      <w:pPr>
        <w:pStyle w:val="12"/>
        <w:keepNext w:val="0"/>
        <w:keepLines w:val="0"/>
        <w:pageBreakBefore w:val="0"/>
        <w:widowControl w:val="0"/>
        <w:numPr>
          <w:ilvl w:val="0"/>
          <w:numId w:val="0"/>
        </w:numPr>
        <w:kinsoku/>
        <w:wordWrap/>
        <w:overflowPunct/>
        <w:topLinePunct w:val="0"/>
        <w:autoSpaceDE/>
        <w:autoSpaceDN/>
        <w:bidi w:val="0"/>
        <w:adjustRightInd w:val="0"/>
        <w:snapToGrid/>
        <w:spacing w:beforeAutospacing="0" w:afterAutospacing="0" w:line="576" w:lineRule="exact"/>
        <w:ind w:left="0" w:leftChars="0" w:firstLine="643" w:firstLineChars="200"/>
        <w:jc w:val="both"/>
        <w:textAlignment w:val="auto"/>
        <w:rPr>
          <w:rFonts w:hint="eastAsia" w:cs="仿宋_GB2312"/>
          <w:b/>
          <w:bCs/>
          <w:color w:val="auto"/>
          <w:sz w:val="32"/>
          <w:szCs w:val="32"/>
          <w:highlight w:val="none"/>
          <w:lang w:val="en-US" w:eastAsia="zh-CN"/>
        </w:rPr>
      </w:pPr>
      <w:r>
        <w:rPr>
          <w:rFonts w:hint="eastAsia" w:cs="仿宋_GB2312"/>
          <w:b/>
          <w:bCs/>
          <w:color w:val="auto"/>
          <w:sz w:val="32"/>
          <w:szCs w:val="32"/>
          <w:highlight w:val="none"/>
          <w:lang w:val="en-US" w:eastAsia="zh-CN"/>
        </w:rPr>
        <w:t>（1）资金到位率（指标分值6分）（得分6分）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cs="仿宋_GB2312"/>
          <w:color w:val="auto"/>
          <w:highlight w:val="none"/>
          <w:lang w:val="en-US" w:eastAsia="zh-CN"/>
        </w:rPr>
        <w:t>根据西宁市城中区财政局</w:t>
      </w:r>
      <w:r>
        <w:rPr>
          <w:rFonts w:hint="eastAsia" w:ascii="Times New Roman" w:hAnsi="Times New Roman" w:eastAsia="仿宋_GB2312" w:cs="Times New Roman"/>
          <w:b w:val="0"/>
          <w:bCs w:val="0"/>
          <w:color w:val="auto"/>
          <w:kern w:val="2"/>
          <w:sz w:val="32"/>
          <w:szCs w:val="32"/>
          <w:highlight w:val="none"/>
          <w:lang w:val="en-US" w:eastAsia="zh-CN" w:bidi="ar-SA"/>
        </w:rPr>
        <w:t>《关于批复2021年区级部门预算的通知》（城中财字（2021）025号）要求，城中区财政局向教育局安排购买保安服务资金231.84万元。经核查和查阅西宁市城中区教育局提供的项目资金记账凭证，西宁市城中区教育局2021年4月实际收到2021年校园保安专项资金指标231.84万元，资金到位率=（实际到位资金/预算资金）×100%=231.84/231.84×100%=100%。</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根据指标体系评分标准，资金到位率100%。指标分值＝资金到位率×满分值6分＝100%×6分＝6分。</w:t>
      </w:r>
    </w:p>
    <w:p>
      <w:pPr>
        <w:pStyle w:val="12"/>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576" w:lineRule="exact"/>
        <w:ind w:left="0" w:leftChars="0" w:firstLine="643" w:firstLineChars="200"/>
        <w:jc w:val="both"/>
        <w:textAlignment w:val="auto"/>
        <w:rPr>
          <w:rFonts w:hint="eastAsia" w:ascii="仿宋_GB2312" w:hAnsi="仿宋_GB2312" w:eastAsia="仿宋_GB2312" w:cs="仿宋_GB2312"/>
          <w:b/>
          <w:bCs/>
          <w:color w:val="auto"/>
          <w:sz w:val="32"/>
          <w:szCs w:val="32"/>
          <w:highlight w:val="none"/>
          <w:lang w:val="en-US" w:eastAsia="zh-CN"/>
        </w:rPr>
      </w:pPr>
      <w:r>
        <w:rPr>
          <w:rFonts w:hint="eastAsia" w:cs="仿宋_GB2312"/>
          <w:b/>
          <w:bCs/>
          <w:color w:val="auto"/>
          <w:sz w:val="32"/>
          <w:szCs w:val="32"/>
          <w:highlight w:val="none"/>
          <w:lang w:val="en-US" w:eastAsia="zh-CN"/>
        </w:rPr>
        <w:t>（2）预算执行率（指标分值6分）（得分6分）</w:t>
      </w:r>
    </w:p>
    <w:p>
      <w:pPr>
        <w:pStyle w:val="6"/>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cs="Times New Roman"/>
          <w:b w:val="0"/>
          <w:bCs w:val="0"/>
          <w:color w:val="auto"/>
          <w:sz w:val="32"/>
          <w:szCs w:val="32"/>
          <w:highlight w:val="none"/>
          <w:lang w:val="en-US" w:eastAsia="zh-CN"/>
        </w:rPr>
      </w:pPr>
      <w:r>
        <w:rPr>
          <w:rFonts w:hint="eastAsia" w:cs="仿宋_GB2312"/>
          <w:color w:val="auto"/>
          <w:kern w:val="2"/>
          <w:sz w:val="32"/>
          <w:szCs w:val="24"/>
          <w:highlight w:val="none"/>
          <w:lang w:val="en-US" w:eastAsia="zh-CN" w:bidi="ar-SA"/>
        </w:rPr>
        <w:t>根据西宁市城中区财政局</w:t>
      </w:r>
      <w:r>
        <w:rPr>
          <w:rFonts w:hint="eastAsia" w:ascii="Times New Roman" w:hAnsi="Times New Roman" w:cs="Times New Roman"/>
          <w:b w:val="0"/>
          <w:bCs w:val="0"/>
          <w:color w:val="auto"/>
          <w:sz w:val="32"/>
          <w:szCs w:val="32"/>
          <w:highlight w:val="none"/>
          <w:lang w:val="en-US" w:eastAsia="zh-CN"/>
        </w:rPr>
        <w:t>《关于批复2021年区级部门预算的通知》（城中财字（2021）025号），城中区财政局向教育局安排购买保安服务资金231.84万元。经核查项目资料、财务凭证，西宁市城中区教育局按季度给青海宏创保安服务有限责任公司拨付保安服务费，截至2021年11月30日，已拨付三次共计175.49万元，其中：2021年3月31日拨付57.96万元、2021年6月30日拨付57.96万元，2021年10月31日拨付59.57万元，剩余资金56.35万元将在第四季度末拨付。</w:t>
      </w:r>
    </w:p>
    <w:p>
      <w:pPr>
        <w:pStyle w:val="6"/>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cs="Times New Roman"/>
          <w:b w:val="0"/>
          <w:bCs w:val="0"/>
          <w:color w:val="auto"/>
          <w:sz w:val="32"/>
          <w:szCs w:val="32"/>
          <w:highlight w:val="none"/>
          <w:lang w:val="en-US" w:eastAsia="zh-CN"/>
        </w:rPr>
      </w:pPr>
      <w:r>
        <w:rPr>
          <w:rFonts w:hint="eastAsia" w:ascii="Times New Roman" w:hAnsi="Times New Roman" w:cs="Times New Roman"/>
          <w:b w:val="0"/>
          <w:bCs w:val="0"/>
          <w:color w:val="auto"/>
          <w:sz w:val="32"/>
          <w:szCs w:val="32"/>
          <w:highlight w:val="none"/>
          <w:lang w:val="en-US" w:eastAsia="zh-CN"/>
        </w:rPr>
        <w:t>预算执行率＝（实际支出资金/实际到位资金）×100%＝175.49/231.84×100%＝75.69%，因季度支付原因，剩余资金于第四季度末支出，符合规定。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cs="仿宋_GB2312"/>
          <w:color w:val="auto"/>
          <w:kern w:val="2"/>
          <w:sz w:val="32"/>
          <w:szCs w:val="24"/>
          <w:highlight w:val="none"/>
          <w:lang w:val="en-US" w:eastAsia="zh-CN" w:bidi="ar-SA"/>
        </w:rPr>
      </w:pPr>
      <w:r>
        <w:rPr>
          <w:rFonts w:hint="eastAsia" w:cs="仿宋_GB2312"/>
          <w:color w:val="auto"/>
          <w:kern w:val="2"/>
          <w:sz w:val="32"/>
          <w:szCs w:val="24"/>
          <w:highlight w:val="none"/>
          <w:lang w:val="en-US" w:eastAsia="zh-CN" w:bidi="ar-SA"/>
        </w:rPr>
        <w:t>根据指标体系评分标准，预算执行率为</w:t>
      </w:r>
      <w:r>
        <w:rPr>
          <w:rFonts w:hint="eastAsia" w:ascii="Times New Roman" w:hAnsi="Times New Roman" w:eastAsia="仿宋_GB2312" w:cs="Times New Roman"/>
          <w:b w:val="0"/>
          <w:bCs w:val="0"/>
          <w:color w:val="auto"/>
          <w:kern w:val="2"/>
          <w:sz w:val="32"/>
          <w:szCs w:val="32"/>
          <w:highlight w:val="none"/>
          <w:lang w:val="en-US" w:eastAsia="zh-CN" w:bidi="ar-SA"/>
        </w:rPr>
        <w:t>75.69%，</w:t>
      </w:r>
      <w:r>
        <w:rPr>
          <w:rFonts w:hint="eastAsia" w:cs="仿宋_GB2312"/>
          <w:color w:val="auto"/>
          <w:kern w:val="2"/>
          <w:sz w:val="32"/>
          <w:szCs w:val="24"/>
          <w:highlight w:val="none"/>
          <w:lang w:val="en-US" w:eastAsia="zh-CN" w:bidi="ar-SA"/>
        </w:rPr>
        <w:t>因季度支付原因，剩余资金于第四季度末支出，符合规定。指标得分</w:t>
      </w:r>
      <w:r>
        <w:rPr>
          <w:rFonts w:hint="eastAsia" w:ascii="Times New Roman" w:hAnsi="Times New Roman" w:eastAsia="仿宋_GB2312" w:cs="Times New Roman"/>
          <w:b w:val="0"/>
          <w:bCs w:val="0"/>
          <w:color w:val="auto"/>
          <w:kern w:val="2"/>
          <w:sz w:val="32"/>
          <w:szCs w:val="32"/>
          <w:highlight w:val="none"/>
          <w:lang w:val="en-US" w:eastAsia="zh-CN" w:bidi="ar-SA"/>
        </w:rPr>
        <w:t>6分</w:t>
      </w:r>
      <w:r>
        <w:rPr>
          <w:rFonts w:hint="eastAsia" w:cs="仿宋_GB2312"/>
          <w:color w:val="auto"/>
          <w:kern w:val="2"/>
          <w:sz w:val="32"/>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both"/>
        <w:textAlignment w:val="auto"/>
        <w:rPr>
          <w:rFonts w:hint="eastAsia" w:ascii="仿宋_GB2312" w:hAnsi="仿宋_GB2312" w:eastAsia="仿宋_GB2312" w:cs="仿宋_GB2312"/>
          <w:b/>
          <w:color w:val="auto"/>
          <w:szCs w:val="32"/>
          <w:highlight w:val="none"/>
          <w:lang w:val="en-US" w:eastAsia="zh-CN"/>
        </w:rPr>
      </w:pPr>
      <w:r>
        <w:rPr>
          <w:rFonts w:hint="eastAsia" w:cs="仿宋_GB2312"/>
          <w:b/>
          <w:color w:val="auto"/>
          <w:szCs w:val="32"/>
          <w:highlight w:val="none"/>
          <w:lang w:val="en-US" w:eastAsia="zh-CN"/>
        </w:rPr>
        <w:t>（3）</w:t>
      </w:r>
      <w:r>
        <w:rPr>
          <w:rFonts w:hint="eastAsia" w:cs="仿宋_GB2312"/>
          <w:b/>
          <w:color w:val="auto"/>
          <w:szCs w:val="32"/>
          <w:highlight w:val="none"/>
          <w:lang w:eastAsia="zh-CN"/>
        </w:rPr>
        <w:t>资金使用合规性</w:t>
      </w:r>
      <w:r>
        <w:rPr>
          <w:rFonts w:hint="eastAsia" w:ascii="仿宋_GB2312" w:hAnsi="仿宋_GB2312" w:eastAsia="仿宋_GB2312" w:cs="仿宋_GB2312"/>
          <w:b/>
          <w:color w:val="auto"/>
          <w:szCs w:val="32"/>
          <w:highlight w:val="none"/>
        </w:rPr>
        <w:t>（指标分值</w:t>
      </w:r>
      <w:r>
        <w:rPr>
          <w:rFonts w:hint="eastAsia" w:cs="仿宋_GB2312"/>
          <w:b/>
          <w:color w:val="auto"/>
          <w:szCs w:val="32"/>
          <w:highlight w:val="none"/>
          <w:lang w:val="en-US" w:eastAsia="zh-CN"/>
        </w:rPr>
        <w:t>6</w:t>
      </w:r>
      <w:r>
        <w:rPr>
          <w:rFonts w:hint="eastAsia" w:ascii="仿宋_GB2312" w:hAnsi="仿宋_GB2312" w:eastAsia="仿宋_GB2312" w:cs="仿宋_GB2312"/>
          <w:b/>
          <w:color w:val="auto"/>
          <w:szCs w:val="32"/>
          <w:highlight w:val="none"/>
        </w:rPr>
        <w:t>分）（得分</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cs="仿宋_GB2312"/>
          <w:color w:val="auto"/>
          <w:kern w:val="2"/>
          <w:sz w:val="32"/>
          <w:szCs w:val="24"/>
          <w:highlight w:val="none"/>
          <w:lang w:val="en-US" w:eastAsia="zh-CN" w:bidi="ar-SA"/>
        </w:rPr>
      </w:pPr>
      <w:r>
        <w:rPr>
          <w:rFonts w:hint="eastAsia" w:cs="仿宋_GB2312"/>
          <w:color w:val="auto"/>
          <w:kern w:val="2"/>
          <w:sz w:val="32"/>
          <w:szCs w:val="24"/>
          <w:highlight w:val="none"/>
          <w:lang w:val="en-US" w:eastAsia="zh-CN" w:bidi="ar-SA"/>
        </w:rPr>
        <w:t>根据西宁市城中区教育局《财务管理办法（试行）》和青海宏创保安服务有限责任公司《财务制度》，经现场勘查及核查项目资料、会计凭证，西宁市城中区</w:t>
      </w:r>
      <w:r>
        <w:rPr>
          <w:rFonts w:hint="eastAsia" w:ascii="Times New Roman" w:hAnsi="Times New Roman" w:eastAsia="仿宋_GB2312" w:cs="Times New Roman"/>
          <w:b w:val="0"/>
          <w:bCs w:val="0"/>
          <w:color w:val="auto"/>
          <w:kern w:val="2"/>
          <w:sz w:val="32"/>
          <w:szCs w:val="32"/>
          <w:highlight w:val="none"/>
          <w:lang w:val="en-US" w:eastAsia="zh-CN" w:bidi="ar-SA"/>
        </w:rPr>
        <w:t>2021</w:t>
      </w:r>
      <w:r>
        <w:rPr>
          <w:rFonts w:hint="eastAsia" w:cs="仿宋_GB2312"/>
          <w:color w:val="auto"/>
          <w:kern w:val="2"/>
          <w:sz w:val="32"/>
          <w:szCs w:val="24"/>
          <w:highlight w:val="none"/>
          <w:lang w:val="en-US" w:eastAsia="zh-CN" w:bidi="ar-SA"/>
        </w:rPr>
        <w:t>年校园保安专项资金的支出时部分资金用于支付保洁工资和保险费、管理费等其他费用，资金支出未全部用于保安工资。资金支出不符合项目预算申请及批复的用途。</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cs="仿宋_GB2312"/>
          <w:color w:val="auto"/>
          <w:kern w:val="2"/>
          <w:sz w:val="32"/>
          <w:szCs w:val="24"/>
          <w:highlight w:val="none"/>
          <w:lang w:val="en-US" w:eastAsia="zh-CN" w:bidi="ar-SA"/>
        </w:rPr>
      </w:pPr>
      <w:r>
        <w:rPr>
          <w:rFonts w:hint="eastAsia" w:cs="仿宋_GB2312"/>
          <w:color w:val="auto"/>
          <w:kern w:val="2"/>
          <w:sz w:val="32"/>
          <w:szCs w:val="24"/>
          <w:highlight w:val="none"/>
          <w:lang w:val="en-US" w:eastAsia="zh-CN" w:bidi="ar-SA"/>
        </w:rPr>
        <w:t>根据指标体系评分标准，西宁市城中</w:t>
      </w:r>
      <w:r>
        <w:rPr>
          <w:rFonts w:hint="eastAsia" w:ascii="Times New Roman" w:hAnsi="Times New Roman" w:eastAsia="仿宋_GB2312" w:cs="Times New Roman"/>
          <w:b w:val="0"/>
          <w:bCs w:val="0"/>
          <w:color w:val="auto"/>
          <w:kern w:val="2"/>
          <w:sz w:val="32"/>
          <w:szCs w:val="32"/>
          <w:highlight w:val="none"/>
          <w:lang w:val="en-US" w:eastAsia="zh-CN" w:bidi="ar-SA"/>
        </w:rPr>
        <w:t>区2021</w:t>
      </w:r>
      <w:r>
        <w:rPr>
          <w:rFonts w:hint="eastAsia" w:cs="仿宋_GB2312"/>
          <w:color w:val="auto"/>
          <w:kern w:val="2"/>
          <w:sz w:val="32"/>
          <w:szCs w:val="24"/>
          <w:highlight w:val="none"/>
          <w:lang w:val="en-US" w:eastAsia="zh-CN" w:bidi="ar-SA"/>
        </w:rPr>
        <w:t>年校园保安专项资金支出不符合项目预算申请及批复的用途。指标扣</w:t>
      </w:r>
      <w:r>
        <w:rPr>
          <w:rFonts w:hint="eastAsia" w:ascii="Times New Roman" w:hAnsi="Times New Roman" w:eastAsia="仿宋_GB2312" w:cs="Times New Roman"/>
          <w:b w:val="0"/>
          <w:bCs w:val="0"/>
          <w:color w:val="auto"/>
          <w:kern w:val="2"/>
          <w:sz w:val="32"/>
          <w:szCs w:val="32"/>
          <w:highlight w:val="none"/>
          <w:lang w:val="en-US" w:eastAsia="zh-CN" w:bidi="ar-SA"/>
        </w:rPr>
        <w:t>3分，得分3分。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default"/>
          <w:b/>
          <w:bCs/>
          <w:color w:val="auto"/>
          <w:highlight w:val="none"/>
          <w:lang w:val="en-US" w:eastAsia="zh-CN"/>
        </w:rPr>
      </w:pPr>
      <w:r>
        <w:rPr>
          <w:rFonts w:hint="eastAsia" w:ascii="仿宋_GB2312" w:eastAsia="仿宋_GB2312"/>
          <w:b/>
          <w:bCs/>
          <w:color w:val="auto"/>
          <w:highlight w:val="none"/>
          <w:lang w:val="en-US" w:eastAsia="zh-CN"/>
        </w:rPr>
        <w:t>2.组织实施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both"/>
        <w:textAlignment w:val="auto"/>
        <w:rPr>
          <w:rFonts w:hint="default" w:ascii="仿宋_GB2312" w:hAnsi="仿宋_GB2312" w:eastAsia="仿宋_GB2312" w:cs="仿宋_GB2312"/>
          <w:b/>
          <w:color w:val="auto"/>
          <w:szCs w:val="32"/>
          <w:highlight w:val="none"/>
          <w:lang w:val="en-US"/>
        </w:rPr>
      </w:pPr>
      <w:r>
        <w:rPr>
          <w:rFonts w:hint="eastAsia" w:cs="仿宋_GB2312"/>
          <w:b/>
          <w:color w:val="auto"/>
          <w:szCs w:val="32"/>
          <w:highlight w:val="none"/>
          <w:lang w:eastAsia="zh-CN"/>
        </w:rPr>
        <w:t>（</w:t>
      </w:r>
      <w:r>
        <w:rPr>
          <w:rFonts w:hint="eastAsia" w:cs="仿宋_GB2312"/>
          <w:b/>
          <w:color w:val="auto"/>
          <w:szCs w:val="32"/>
          <w:highlight w:val="none"/>
          <w:lang w:val="en-US" w:eastAsia="zh-CN"/>
        </w:rPr>
        <w:t>1</w:t>
      </w:r>
      <w:r>
        <w:rPr>
          <w:rFonts w:hint="eastAsia" w:cs="仿宋_GB2312"/>
          <w:b/>
          <w:color w:val="auto"/>
          <w:szCs w:val="32"/>
          <w:highlight w:val="none"/>
          <w:lang w:eastAsia="zh-CN"/>
        </w:rPr>
        <w:t>）</w:t>
      </w:r>
      <w:r>
        <w:rPr>
          <w:rFonts w:hint="default" w:ascii="仿宋_GB2312" w:hAnsi="仿宋_GB2312" w:eastAsia="仿宋_GB2312" w:cs="仿宋_GB2312"/>
          <w:b/>
          <w:color w:val="auto"/>
          <w:szCs w:val="32"/>
          <w:highlight w:val="none"/>
          <w:lang w:val="en-US" w:eastAsia="zh-CN"/>
        </w:rPr>
        <w:t>管理制度健全性</w:t>
      </w:r>
      <w:r>
        <w:rPr>
          <w:rFonts w:hint="eastAsia" w:ascii="仿宋_GB2312" w:hAnsi="仿宋_GB2312" w:eastAsia="仿宋_GB2312" w:cs="仿宋_GB2312"/>
          <w:b/>
          <w:bCs w:val="0"/>
          <w:color w:val="auto"/>
          <w:szCs w:val="32"/>
          <w:highlight w:val="none"/>
        </w:rPr>
        <w:t>（</w:t>
      </w:r>
      <w:r>
        <w:rPr>
          <w:rFonts w:hint="eastAsia" w:cs="仿宋_GB2312"/>
          <w:b/>
          <w:bCs w:val="0"/>
          <w:color w:val="auto"/>
          <w:szCs w:val="32"/>
          <w:highlight w:val="none"/>
          <w:lang w:eastAsia="zh-CN"/>
        </w:rPr>
        <w:t>指标分值</w:t>
      </w:r>
      <w:r>
        <w:rPr>
          <w:rFonts w:hint="eastAsia" w:cs="仿宋_GB2312"/>
          <w:b/>
          <w:bCs w:val="0"/>
          <w:color w:val="auto"/>
          <w:szCs w:val="32"/>
          <w:highlight w:val="none"/>
          <w:lang w:val="en-US" w:eastAsia="zh-CN"/>
        </w:rPr>
        <w:t>6</w:t>
      </w:r>
      <w:r>
        <w:rPr>
          <w:rFonts w:hint="eastAsia" w:ascii="仿宋_GB2312" w:hAnsi="仿宋_GB2312" w:eastAsia="仿宋_GB2312" w:cs="仿宋_GB2312"/>
          <w:b/>
          <w:bCs w:val="0"/>
          <w:color w:val="auto"/>
          <w:szCs w:val="32"/>
          <w:highlight w:val="none"/>
        </w:rPr>
        <w:t>分）</w:t>
      </w:r>
      <w:r>
        <w:rPr>
          <w:rFonts w:hint="eastAsia" w:ascii="仿宋_GB2312" w:eastAsia="仿宋_GB2312"/>
          <w:b/>
          <w:bCs/>
          <w:color w:val="auto"/>
          <w:highlight w:val="none"/>
          <w:u w:val="none"/>
          <w:lang w:val="en-US" w:eastAsia="zh-CN"/>
        </w:rPr>
        <w:t>（得分4分）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cs="仿宋_GB2312"/>
          <w:color w:val="auto"/>
          <w:kern w:val="2"/>
          <w:sz w:val="32"/>
          <w:szCs w:val="24"/>
          <w:highlight w:val="none"/>
          <w:lang w:val="en-US" w:eastAsia="zh-CN" w:bidi="ar-SA"/>
        </w:rPr>
      </w:pPr>
      <w:r>
        <w:rPr>
          <w:rFonts w:hint="eastAsia" w:cs="仿宋_GB2312"/>
          <w:color w:val="auto"/>
          <w:kern w:val="2"/>
          <w:sz w:val="32"/>
          <w:szCs w:val="24"/>
          <w:highlight w:val="none"/>
          <w:lang w:val="en-US" w:eastAsia="zh-CN" w:bidi="ar-SA"/>
        </w:rPr>
        <w:t>根据</w:t>
      </w:r>
      <w:r>
        <w:rPr>
          <w:rFonts w:hint="eastAsia" w:cs="仿宋_GB2312"/>
          <w:color w:val="auto"/>
          <w:highlight w:val="none"/>
          <w:lang w:val="en-US" w:eastAsia="zh-CN"/>
        </w:rPr>
        <w:t>城中区教育局、青海宏创保安服务有限责任公司</w:t>
      </w:r>
      <w:r>
        <w:rPr>
          <w:rFonts w:hint="eastAsia" w:cs="仿宋_GB2312"/>
          <w:color w:val="auto"/>
          <w:kern w:val="2"/>
          <w:sz w:val="32"/>
          <w:szCs w:val="24"/>
          <w:highlight w:val="none"/>
          <w:lang w:val="en-US" w:eastAsia="zh-CN" w:bidi="ar-SA"/>
        </w:rPr>
        <w:t>提供的相关资料，青海宏创保安服务有限责任公司针对校园保安服务制定了《保安服务管理制度》《保安人员管理制度》《保安岗位责任制度》《财务制度》，项目实施所依据的业务管理制度健全且合法、合规、完整。但城中区教育局作为项目实施主管单位，未制定校园保安管理细则，未明确保安公司、教育局、各个学校、保安人员的主要职责，以及校园保安待遇及考核制度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cs="仿宋_GB2312"/>
          <w:color w:val="auto"/>
          <w:kern w:val="2"/>
          <w:sz w:val="32"/>
          <w:szCs w:val="24"/>
          <w:highlight w:val="none"/>
          <w:lang w:val="en-US" w:eastAsia="zh-CN" w:bidi="ar-SA"/>
        </w:rPr>
        <w:t>根据指标体系评分标准，城中区教育局作为项目实施主管单位，未制定校园保安管理细则，指标</w:t>
      </w:r>
      <w:r>
        <w:rPr>
          <w:rFonts w:hint="eastAsia" w:ascii="Times New Roman" w:hAnsi="Times New Roman" w:eastAsia="仿宋_GB2312" w:cs="Times New Roman"/>
          <w:b w:val="0"/>
          <w:bCs w:val="0"/>
          <w:color w:val="auto"/>
          <w:kern w:val="2"/>
          <w:sz w:val="32"/>
          <w:szCs w:val="32"/>
          <w:highlight w:val="none"/>
          <w:lang w:val="en-US" w:eastAsia="zh-CN" w:bidi="ar-SA"/>
        </w:rPr>
        <w:t>扣2分，指标得分4分。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both"/>
        <w:textAlignment w:val="auto"/>
        <w:rPr>
          <w:rFonts w:hint="default" w:ascii="仿宋_GB2312" w:hAnsi="仿宋_GB2312" w:eastAsia="仿宋_GB2312" w:cs="仿宋_GB2312"/>
          <w:b/>
          <w:color w:val="auto"/>
          <w:szCs w:val="32"/>
          <w:highlight w:val="none"/>
          <w:lang w:val="en-US" w:eastAsia="zh-CN"/>
        </w:rPr>
      </w:pPr>
      <w:r>
        <w:rPr>
          <w:rFonts w:hint="eastAsia" w:cs="仿宋_GB2312"/>
          <w:b/>
          <w:color w:val="auto"/>
          <w:szCs w:val="32"/>
          <w:highlight w:val="none"/>
          <w:lang w:val="en-US" w:eastAsia="zh-CN"/>
        </w:rPr>
        <w:t>（2）制度执行有效性</w:t>
      </w:r>
      <w:r>
        <w:rPr>
          <w:rFonts w:hint="eastAsia" w:ascii="仿宋_GB2312" w:hAnsi="仿宋_GB2312" w:eastAsia="仿宋_GB2312" w:cs="仿宋_GB2312"/>
          <w:b/>
          <w:bCs w:val="0"/>
          <w:color w:val="auto"/>
          <w:szCs w:val="32"/>
          <w:highlight w:val="none"/>
        </w:rPr>
        <w:t>（</w:t>
      </w:r>
      <w:r>
        <w:rPr>
          <w:rFonts w:hint="eastAsia" w:cs="仿宋_GB2312"/>
          <w:b/>
          <w:bCs w:val="0"/>
          <w:color w:val="auto"/>
          <w:szCs w:val="32"/>
          <w:highlight w:val="none"/>
          <w:lang w:eastAsia="zh-CN"/>
        </w:rPr>
        <w:t>指标分值</w:t>
      </w:r>
      <w:r>
        <w:rPr>
          <w:rFonts w:hint="eastAsia" w:cs="仿宋_GB2312"/>
          <w:b/>
          <w:bCs w:val="0"/>
          <w:color w:val="auto"/>
          <w:szCs w:val="32"/>
          <w:highlight w:val="none"/>
          <w:lang w:val="en-US" w:eastAsia="zh-CN"/>
        </w:rPr>
        <w:t>6</w:t>
      </w:r>
      <w:r>
        <w:rPr>
          <w:rFonts w:hint="eastAsia" w:ascii="仿宋_GB2312" w:hAnsi="仿宋_GB2312" w:eastAsia="仿宋_GB2312" w:cs="仿宋_GB2312"/>
          <w:b/>
          <w:bCs w:val="0"/>
          <w:color w:val="auto"/>
          <w:szCs w:val="32"/>
          <w:highlight w:val="none"/>
        </w:rPr>
        <w:t>分）</w:t>
      </w:r>
      <w:r>
        <w:rPr>
          <w:rFonts w:hint="eastAsia" w:ascii="仿宋_GB2312" w:eastAsia="仿宋_GB2312"/>
          <w:b/>
          <w:bCs/>
          <w:color w:val="auto"/>
          <w:highlight w:val="none"/>
          <w:u w:val="none"/>
          <w:lang w:val="en-US" w:eastAsia="zh-CN"/>
        </w:rPr>
        <w:t>（得分6分）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cs="仿宋_GB2312"/>
          <w:color w:val="auto"/>
          <w:highlight w:val="none"/>
          <w:lang w:val="en-US" w:eastAsia="zh-CN"/>
        </w:rPr>
      </w:pPr>
      <w:r>
        <w:rPr>
          <w:rFonts w:hint="eastAsia" w:cs="仿宋_GB2312"/>
          <w:color w:val="auto"/>
          <w:highlight w:val="none"/>
          <w:lang w:val="en-US" w:eastAsia="zh-CN"/>
        </w:rPr>
        <w:t>经现场勘查和查阅城中区教育局、青海宏创保安服务有限责任公司提供的相关资料，</w:t>
      </w:r>
      <w:r>
        <w:rPr>
          <w:rFonts w:hint="eastAsia" w:ascii="Times New Roman" w:hAnsi="Times New Roman" w:eastAsia="仿宋_GB2312" w:cs="Times New Roman"/>
          <w:b w:val="0"/>
          <w:bCs w:val="0"/>
          <w:color w:val="auto"/>
          <w:kern w:val="2"/>
          <w:sz w:val="32"/>
          <w:szCs w:val="32"/>
          <w:highlight w:val="none"/>
          <w:lang w:val="en-US" w:eastAsia="zh-CN" w:bidi="ar-SA"/>
        </w:rPr>
        <w:t>2021年校园保安项目由城中区教育局通过公开招标，青海宏创保安服务有限责任公司中标，并与之签订服务合同；城中区教育局作为主管单位，联合城中区委政法委、城中区检察院、城中区公安分局、交警二大队、城中区市场监督管理局等部门召开城中区2021年秋季校园及周边社会治安综合治理联席会议，会后各成员单位分成2个小组对辖区21所学校开展</w:t>
      </w:r>
      <w:r>
        <w:rPr>
          <w:rFonts w:hint="eastAsia" w:cs="仿宋_GB2312"/>
          <w:color w:val="auto"/>
          <w:highlight w:val="none"/>
          <w:lang w:val="en-US" w:eastAsia="zh-CN"/>
        </w:rPr>
        <w:t>了周边环境专项整治工作，对校园周边治安秩序进行检查整治。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cs="仿宋_GB2312"/>
          <w:color w:val="auto"/>
          <w:highlight w:val="none"/>
          <w:lang w:val="en-US" w:eastAsia="zh-CN"/>
        </w:rPr>
      </w:pPr>
      <w:r>
        <w:rPr>
          <w:rFonts w:hint="eastAsia" w:cs="仿宋_GB2312"/>
          <w:color w:val="auto"/>
          <w:highlight w:val="none"/>
          <w:lang w:val="en-US" w:eastAsia="zh-CN"/>
        </w:rPr>
        <w:t>根据指标体系评分标准，项目实施遵守相关法律法规和相关管理规定，项目资料齐全并及时归档，项目主管单位开展监督检查工作。指标得分</w:t>
      </w:r>
      <w:r>
        <w:rPr>
          <w:rFonts w:hint="eastAsia" w:ascii="Times New Roman" w:hAnsi="Times New Roman" w:eastAsia="仿宋_GB2312" w:cs="Times New Roman"/>
          <w:b w:val="0"/>
          <w:bCs w:val="0"/>
          <w:color w:val="auto"/>
          <w:kern w:val="2"/>
          <w:sz w:val="32"/>
          <w:szCs w:val="32"/>
          <w:highlight w:val="none"/>
          <w:lang w:val="en-US" w:eastAsia="zh-CN" w:bidi="ar-SA"/>
        </w:rPr>
        <w:t>6分</w:t>
      </w:r>
      <w:r>
        <w:rPr>
          <w:rFonts w:hint="eastAsia" w:cs="仿宋_GB2312"/>
          <w:color w:val="auto"/>
          <w:highlight w:val="none"/>
          <w:lang w:val="en-US" w:eastAsia="zh-CN"/>
        </w:rPr>
        <w:t>。</w:t>
      </w:r>
    </w:p>
    <w:p>
      <w:pPr>
        <w:pStyle w:val="4"/>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楷体" w:hAnsi="楷体" w:eastAsia="楷体" w:cs="仿宋_GB2312"/>
          <w:b/>
          <w:bCs/>
          <w:color w:val="auto"/>
          <w:szCs w:val="32"/>
          <w:highlight w:val="none"/>
        </w:rPr>
      </w:pPr>
      <w:bookmarkStart w:id="312" w:name="_Toc3812"/>
      <w:bookmarkStart w:id="313" w:name="_Toc5890"/>
      <w:bookmarkStart w:id="314" w:name="_Toc19096"/>
      <w:bookmarkStart w:id="315" w:name="_Toc20272"/>
      <w:r>
        <w:rPr>
          <w:rFonts w:hint="eastAsia" w:ascii="楷体" w:hAnsi="楷体" w:eastAsia="楷体" w:cs="楷体"/>
          <w:color w:val="auto"/>
          <w:highlight w:val="none"/>
          <w:lang w:val="en-US" w:eastAsia="zh-CN"/>
        </w:rPr>
        <w:fldChar w:fldCharType="begin"/>
      </w:r>
      <w:r>
        <w:rPr>
          <w:rFonts w:hint="eastAsia" w:ascii="楷体" w:hAnsi="楷体" w:eastAsia="楷体" w:cs="楷体"/>
          <w:color w:val="auto"/>
          <w:highlight w:val="none"/>
          <w:lang w:val="en-US" w:eastAsia="zh-CN"/>
        </w:rPr>
        <w:instrText xml:space="preserve"> HYPERLINK \l "_Toc32280" </w:instrText>
      </w:r>
      <w:r>
        <w:rPr>
          <w:rFonts w:hint="eastAsia" w:ascii="楷体" w:hAnsi="楷体" w:eastAsia="楷体" w:cs="楷体"/>
          <w:color w:val="auto"/>
          <w:highlight w:val="none"/>
          <w:lang w:val="en-US" w:eastAsia="zh-CN"/>
        </w:rPr>
        <w:fldChar w:fldCharType="separate"/>
      </w:r>
      <w:r>
        <w:rPr>
          <w:rFonts w:hint="eastAsia" w:ascii="楷体" w:hAnsi="楷体" w:eastAsia="楷体" w:cs="楷体"/>
          <w:color w:val="auto"/>
          <w:highlight w:val="none"/>
          <w:lang w:val="en-US" w:eastAsia="zh-CN"/>
        </w:rPr>
        <w:t>（三）产出</w:t>
      </w:r>
      <w:r>
        <w:rPr>
          <w:rFonts w:hint="eastAsia" w:ascii="楷体" w:hAnsi="楷体" w:eastAsia="楷体" w:cs="楷体"/>
          <w:color w:val="auto"/>
          <w:highlight w:val="none"/>
          <w:lang w:val="en-US" w:eastAsia="zh-CN"/>
        </w:rPr>
        <w:fldChar w:fldCharType="end"/>
      </w:r>
      <w:r>
        <w:rPr>
          <w:rFonts w:hint="eastAsia" w:ascii="楷体" w:hAnsi="楷体" w:eastAsia="楷体" w:cs="楷体"/>
          <w:color w:val="auto"/>
          <w:highlight w:val="none"/>
          <w:lang w:val="en-US" w:eastAsia="zh-CN"/>
        </w:rPr>
        <w:t>情况</w:t>
      </w:r>
      <w:bookmarkEnd w:id="312"/>
      <w:bookmarkEnd w:id="313"/>
      <w:bookmarkEnd w:id="314"/>
      <w:bookmarkEnd w:id="315"/>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jc w:val="both"/>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西宁市城中区</w:t>
      </w:r>
      <w:r>
        <w:rPr>
          <w:rFonts w:hint="eastAsia" w:ascii="Times New Roman" w:hAnsi="Times New Roman" w:eastAsia="仿宋_GB2312" w:cs="Times New Roman"/>
          <w:b w:val="0"/>
          <w:bCs w:val="0"/>
          <w:color w:val="auto"/>
          <w:kern w:val="2"/>
          <w:sz w:val="32"/>
          <w:szCs w:val="32"/>
          <w:highlight w:val="none"/>
          <w:lang w:val="en-US" w:eastAsia="zh-CN" w:bidi="ar-SA"/>
        </w:rPr>
        <w:t>2021年</w:t>
      </w:r>
      <w:r>
        <w:rPr>
          <w:rFonts w:hint="eastAsia" w:ascii="仿宋_GB2312" w:hAnsi="仿宋_GB2312" w:eastAsia="仿宋_GB2312" w:cs="仿宋_GB2312"/>
          <w:color w:val="auto"/>
          <w:highlight w:val="none"/>
          <w:lang w:val="en-US" w:eastAsia="zh-CN"/>
        </w:rPr>
        <w:t>校园保安专项</w:t>
      </w:r>
      <w:r>
        <w:rPr>
          <w:rFonts w:hint="eastAsia" w:cs="仿宋_GB2312"/>
          <w:color w:val="auto"/>
          <w:highlight w:val="none"/>
          <w:lang w:val="en-US" w:eastAsia="zh-CN"/>
        </w:rPr>
        <w:t>资金</w:t>
      </w:r>
      <w:r>
        <w:rPr>
          <w:rFonts w:hint="eastAsia" w:ascii="仿宋_GB2312" w:hAnsi="仿宋_GB2312" w:eastAsia="仿宋_GB2312" w:cs="仿宋_GB2312"/>
          <w:color w:val="auto"/>
          <w:highlight w:val="none"/>
          <w:lang w:val="en-US" w:eastAsia="zh-CN"/>
        </w:rPr>
        <w:t>绩效评价</w:t>
      </w:r>
      <w:r>
        <w:rPr>
          <w:rFonts w:hint="eastAsia" w:cs="仿宋_GB2312"/>
          <w:color w:val="auto"/>
          <w:highlight w:val="none"/>
          <w:lang w:val="en-US" w:eastAsia="zh-CN"/>
        </w:rPr>
        <w:t>产出</w:t>
      </w:r>
      <w:r>
        <w:rPr>
          <w:rFonts w:hint="eastAsia" w:ascii="仿宋_GB2312" w:hAnsi="仿宋_GB2312" w:eastAsia="仿宋_GB2312" w:cs="仿宋_GB2312"/>
          <w:color w:val="auto"/>
          <w:highlight w:val="none"/>
          <w:lang w:val="en-US" w:eastAsia="zh-CN"/>
        </w:rPr>
        <w:t>类指标分别</w:t>
      </w:r>
      <w:r>
        <w:rPr>
          <w:rFonts w:hint="eastAsia" w:cs="仿宋_GB2312"/>
          <w:color w:val="auto"/>
          <w:highlight w:val="none"/>
          <w:lang w:val="en-US" w:eastAsia="zh-CN"/>
        </w:rPr>
        <w:t>从</w:t>
      </w:r>
      <w:r>
        <w:rPr>
          <w:rFonts w:hint="eastAsia"/>
          <w:color w:val="auto"/>
          <w:highlight w:val="none"/>
        </w:rPr>
        <w:t>产出数量、产出质量、产出时效</w:t>
      </w:r>
      <w:r>
        <w:rPr>
          <w:rFonts w:hint="eastAsia" w:eastAsia="仿宋_GB2312"/>
          <w:color w:val="auto"/>
          <w:highlight w:val="none"/>
          <w:lang w:eastAsia="zh-CN"/>
        </w:rPr>
        <w:t>三</w:t>
      </w:r>
      <w:r>
        <w:rPr>
          <w:rFonts w:hint="eastAsia"/>
          <w:color w:val="auto"/>
          <w:highlight w:val="none"/>
        </w:rPr>
        <w:t>个方面进行绩效分析</w:t>
      </w:r>
      <w:r>
        <w:rPr>
          <w:rFonts w:hint="eastAsia" w:cs="仿宋_GB2312"/>
          <w:color w:val="auto"/>
          <w:highlight w:val="none"/>
          <w:lang w:val="en-US" w:eastAsia="zh-CN"/>
        </w:rPr>
        <w:t>。各项</w:t>
      </w:r>
      <w:r>
        <w:rPr>
          <w:rFonts w:hint="eastAsia" w:ascii="仿宋_GB2312" w:hAnsi="仿宋_GB2312" w:eastAsia="仿宋_GB2312" w:cs="仿宋_GB2312"/>
          <w:color w:val="auto"/>
          <w:highlight w:val="none"/>
          <w:lang w:val="en-US" w:eastAsia="zh-CN"/>
        </w:rPr>
        <w:t>指标具体得分情况如下表所示：</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4"/>
        <w:gridCol w:w="2204"/>
        <w:gridCol w:w="3588"/>
        <w:gridCol w:w="7"/>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000" w:type="pct"/>
            <w:gridSpan w:val="5"/>
            <w:tcBorders>
              <w:top w:val="nil"/>
              <w:left w:val="nil"/>
              <w:bottom w:val="single" w:color="auto" w:sz="4" w:space="0"/>
              <w:right w:val="nil"/>
            </w:tcBorders>
            <w:shd w:val="clear" w:color="auto" w:fill="auto"/>
            <w:vAlign w:val="center"/>
          </w:tcPr>
          <w:p>
            <w:pPr>
              <w:pageBreakBefore w:val="0"/>
              <w:overflowPunct/>
              <w:topLinePunct w:val="0"/>
              <w:bidi w:val="0"/>
              <w:spacing w:line="576" w:lineRule="exact"/>
              <w:ind w:left="0" w:leftChars="0"/>
              <w:jc w:val="center"/>
              <w:rPr>
                <w:rFonts w:hint="eastAsia" w:ascii="宋体" w:hAnsi="宋体" w:eastAsia="宋体" w:cs="宋体"/>
                <w:b/>
                <w:color w:val="auto"/>
                <w:sz w:val="24"/>
                <w:szCs w:val="22"/>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8 产出</w:t>
            </w:r>
            <w:r>
              <w:rPr>
                <w:rFonts w:hint="eastAsia" w:ascii="宋体" w:hAnsi="宋体" w:eastAsia="宋体" w:cs="宋体"/>
                <w:b/>
                <w:bCs/>
                <w:color w:val="auto"/>
                <w:sz w:val="28"/>
                <w:szCs w:val="28"/>
                <w:highlight w:val="none"/>
              </w:rPr>
              <w:t>类各项指标绩效评价</w:t>
            </w:r>
            <w:r>
              <w:rPr>
                <w:rFonts w:hint="eastAsia" w:ascii="宋体" w:hAnsi="宋体" w:eastAsia="宋体" w:cs="宋体"/>
                <w:b/>
                <w:color w:val="auto"/>
                <w:sz w:val="28"/>
                <w:szCs w:val="28"/>
                <w:highlight w:val="none"/>
              </w:rPr>
              <w:t>得分表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50" w:type="pct"/>
            <w:tcBorders>
              <w:top w:val="single" w:color="auto" w:sz="4" w:space="0"/>
              <w:lef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1216" w:type="pct"/>
            <w:tcBorders>
              <w:top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1980" w:type="pct"/>
            <w:tcBorders>
              <w:top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653" w:type="pct"/>
            <w:gridSpan w:val="2"/>
            <w:tcBorders>
              <w:top w:val="single" w:color="auto" w:sz="4" w:space="0"/>
              <w:righ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exact"/>
          <w:jc w:val="center"/>
        </w:trPr>
        <w:tc>
          <w:tcPr>
            <w:tcW w:w="1150" w:type="pct"/>
            <w:vMerge w:val="restart"/>
            <w:tcBorders>
              <w:lef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eastAsia="zh-CN"/>
              </w:rPr>
            </w:pPr>
            <w:r>
              <w:rPr>
                <w:rFonts w:hint="eastAsia" w:ascii="宋体" w:hAnsi="宋体" w:eastAsia="宋体" w:cs="宋体"/>
                <w:b/>
                <w:color w:val="auto"/>
                <w:sz w:val="24"/>
                <w:szCs w:val="22"/>
                <w:highlight w:val="none"/>
                <w:u w:val="single"/>
                <w:lang w:val="en-US" w:eastAsia="zh-CN"/>
              </w:rPr>
              <w:t>产出</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83.33</w:t>
            </w:r>
            <w:r>
              <w:rPr>
                <w:rFonts w:hint="eastAsia" w:ascii="宋体" w:hAnsi="宋体" w:eastAsia="宋体" w:cs="宋体"/>
                <w:bCs/>
                <w:color w:val="auto"/>
                <w:sz w:val="24"/>
                <w:szCs w:val="22"/>
                <w:highlight w:val="none"/>
              </w:rPr>
              <w:t>%</w:t>
            </w:r>
          </w:p>
        </w:tc>
        <w:tc>
          <w:tcPr>
            <w:tcW w:w="1216"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产出数量</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198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color w:val="auto"/>
                <w:kern w:val="0"/>
                <w:sz w:val="24"/>
                <w:highlight w:val="none"/>
                <w:lang w:bidi="ar"/>
              </w:rPr>
              <w:t>领取工资保安数实际完成率</w:t>
            </w:r>
          </w:p>
        </w:tc>
        <w:tc>
          <w:tcPr>
            <w:tcW w:w="653" w:type="pct"/>
            <w:gridSpan w:val="2"/>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50" w:type="pct"/>
            <w:vMerge w:val="continue"/>
            <w:tcBorders>
              <w:lef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6"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产出质量</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50</w:t>
            </w:r>
            <w:r>
              <w:rPr>
                <w:rFonts w:hint="eastAsia" w:ascii="宋体" w:hAnsi="宋体" w:eastAsia="宋体" w:cs="宋体"/>
                <w:bCs/>
                <w:color w:val="auto"/>
                <w:sz w:val="24"/>
                <w:szCs w:val="22"/>
                <w:highlight w:val="none"/>
              </w:rPr>
              <w:t>%</w:t>
            </w:r>
          </w:p>
        </w:tc>
        <w:tc>
          <w:tcPr>
            <w:tcW w:w="198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Cs/>
                <w:i w:val="0"/>
                <w:iCs w:val="0"/>
                <w:color w:val="auto"/>
                <w:sz w:val="24"/>
                <w:szCs w:val="22"/>
                <w:highlight w:val="none"/>
                <w:lang w:val="en-US" w:eastAsia="zh-CN"/>
              </w:rPr>
            </w:pPr>
            <w:r>
              <w:rPr>
                <w:rFonts w:hint="eastAsia" w:ascii="宋体" w:hAnsi="宋体" w:eastAsia="宋体" w:cs="宋体"/>
                <w:color w:val="auto"/>
                <w:kern w:val="0"/>
                <w:sz w:val="24"/>
                <w:highlight w:val="none"/>
                <w:lang w:val="en-US" w:eastAsia="zh-CN" w:bidi="ar"/>
              </w:rPr>
              <w:t>保安提供服务达标情况</w:t>
            </w:r>
          </w:p>
        </w:tc>
        <w:tc>
          <w:tcPr>
            <w:tcW w:w="653" w:type="pct"/>
            <w:gridSpan w:val="2"/>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50" w:type="pct"/>
            <w:vMerge w:val="continue"/>
            <w:tcBorders>
              <w:lef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6"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8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color w:val="auto"/>
                <w:kern w:val="0"/>
                <w:sz w:val="24"/>
                <w:highlight w:val="none"/>
                <w:lang w:bidi="ar"/>
              </w:rPr>
              <w:t>工资按标准足额发放</w:t>
            </w:r>
          </w:p>
        </w:tc>
        <w:tc>
          <w:tcPr>
            <w:tcW w:w="653" w:type="pct"/>
            <w:gridSpan w:val="2"/>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exact"/>
          <w:jc w:val="center"/>
        </w:trPr>
        <w:tc>
          <w:tcPr>
            <w:tcW w:w="1150" w:type="pct"/>
            <w:vMerge w:val="continue"/>
            <w:tcBorders>
              <w:lef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6"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产出时效</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198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color w:val="auto"/>
                <w:kern w:val="0"/>
                <w:sz w:val="24"/>
                <w:highlight w:val="none"/>
                <w:lang w:bidi="ar"/>
              </w:rPr>
              <w:t>工资发放完成及时率</w:t>
            </w:r>
          </w:p>
        </w:tc>
        <w:tc>
          <w:tcPr>
            <w:tcW w:w="653" w:type="pct"/>
            <w:gridSpan w:val="2"/>
            <w:tcBorders>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350" w:type="pct"/>
            <w:gridSpan w:val="4"/>
            <w:tcBorders>
              <w:left w:val="single" w:color="auto" w:sz="4" w:space="0"/>
              <w:bottom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val="en-US" w:eastAsia="zh-CN"/>
              </w:rPr>
              <w:t>产出</w:t>
            </w:r>
            <w:r>
              <w:rPr>
                <w:rFonts w:hint="eastAsia" w:ascii="宋体" w:hAnsi="宋体" w:eastAsia="宋体" w:cs="宋体"/>
                <w:b/>
                <w:color w:val="auto"/>
                <w:sz w:val="24"/>
                <w:szCs w:val="22"/>
                <w:highlight w:val="none"/>
              </w:rPr>
              <w:t>”情况评级</w:t>
            </w:r>
          </w:p>
        </w:tc>
        <w:tc>
          <w:tcPr>
            <w:tcW w:w="649" w:type="pct"/>
            <w:tcBorders>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良</w:t>
            </w:r>
          </w:p>
        </w:tc>
      </w:tr>
    </w:tbl>
    <w:p>
      <w:pPr>
        <w:keepNext w:val="0"/>
        <w:keepLines w:val="0"/>
        <w:pageBreakBefore w:val="0"/>
        <w:widowControl w:val="0"/>
        <w:kinsoku/>
        <w:wordWrap/>
        <w:overflowPunct/>
        <w:topLinePunct w:val="0"/>
        <w:autoSpaceDE/>
        <w:autoSpaceDN/>
        <w:bidi w:val="0"/>
        <w:adjustRightInd w:val="0"/>
        <w:snapToGrid/>
        <w:spacing w:line="576" w:lineRule="exact"/>
        <w:ind w:left="0" w:leftChars="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1.产出数量</w:t>
      </w:r>
    </w:p>
    <w:p>
      <w:pPr>
        <w:keepNext w:val="0"/>
        <w:keepLines w:val="0"/>
        <w:pageBreakBefore w:val="0"/>
        <w:widowControl w:val="0"/>
        <w:numPr>
          <w:ilvl w:val="0"/>
          <w:numId w:val="0"/>
        </w:numPr>
        <w:kinsoku/>
        <w:wordWrap/>
        <w:overflowPunct/>
        <w:topLinePunct w:val="0"/>
        <w:autoSpaceDE/>
        <w:autoSpaceDN/>
        <w:bidi w:val="0"/>
        <w:adjustRightInd w:val="0"/>
        <w:snapToGrid/>
        <w:spacing w:line="576" w:lineRule="exact"/>
        <w:ind w:left="0" w:leftChars="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（1）领取工资保安数实际完成率（指标分值</w:t>
      </w:r>
      <w:r>
        <w:rPr>
          <w:rFonts w:hint="eastAsia" w:cs="仿宋_GB2312"/>
          <w:b/>
          <w:bCs/>
          <w:color w:val="auto"/>
          <w:kern w:val="2"/>
          <w:sz w:val="32"/>
          <w:szCs w:val="32"/>
          <w:highlight w:val="none"/>
          <w:lang w:val="en-US" w:eastAsia="zh-CN" w:bidi="ar-SA"/>
        </w:rPr>
        <w:t>10</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10</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根据城中区教育局、青海宏创保安服务有限责任公司提供的相关资料，</w:t>
      </w:r>
      <w:r>
        <w:rPr>
          <w:rFonts w:hint="eastAsia" w:ascii="Times New Roman" w:hAnsi="Times New Roman" w:eastAsia="仿宋_GB2312" w:cs="Times New Roman"/>
          <w:b w:val="0"/>
          <w:bCs w:val="0"/>
          <w:color w:val="auto"/>
          <w:kern w:val="2"/>
          <w:sz w:val="32"/>
          <w:szCs w:val="32"/>
          <w:highlight w:val="none"/>
          <w:lang w:val="en-US" w:eastAsia="zh-CN" w:bidi="ar-SA"/>
        </w:rPr>
        <w:t>2021年计划向各学校安置保安84名，实际向各学校安置保安84名。领取工资保安数实际完成率=（领取工资保安数实际数/领取工资保安计划数）×100%=84/84×100%=100%。</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根据指标体系评分标准，领取工资保安数实际完成率指标得分分值＝领取工资保安数实际完成率×指标满分值10分，指标得分10分。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产出质量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（1）保安提供服务达标情况（指标分值</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提供的相关资料，青海宏创保安服务有限责任公司邀请城中区公安分局定期对派遣到各学校的保安人员进行培训，具体包括消防培训、军事素质培训等；各学校保安开展夜间巡查，对出入学校区域的人员证件、出入的车辆和物品进行登记；在服务区域内进行巡逻、守护、安全检查、报警监控。</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根据指标体系评分标准，校园保安提供所提供的服务质量符合《保安服务管理条例》（</w:t>
      </w:r>
      <w:r>
        <w:rPr>
          <w:rFonts w:hint="eastAsia" w:ascii="Times New Roman" w:hAnsi="Times New Roman" w:eastAsia="仿宋_GB2312" w:cs="Times New Roman"/>
          <w:b w:val="0"/>
          <w:bCs w:val="0"/>
          <w:color w:val="auto"/>
          <w:kern w:val="2"/>
          <w:sz w:val="32"/>
          <w:szCs w:val="32"/>
          <w:highlight w:val="none"/>
          <w:lang w:val="en-US" w:eastAsia="zh-CN" w:bidi="ar-SA"/>
        </w:rPr>
        <w:t>2020年修订）相关规定，指标得分5分。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（2）工资按标准足额发放（指标分值</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0</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经现场勘查和查阅城中区教育局、青海宏创保安服务有限责任公司提供的相关资料，校园保安实际发放工资数额标准不一致，均低于城中区教育局向财政局申请资金预算时所提供的</w:t>
      </w:r>
      <w:r>
        <w:rPr>
          <w:rFonts w:hint="eastAsia" w:ascii="Times New Roman" w:hAnsi="Times New Roman" w:eastAsia="仿宋_GB2312" w:cs="Times New Roman"/>
          <w:b w:val="0"/>
          <w:bCs w:val="0"/>
          <w:color w:val="auto"/>
          <w:kern w:val="2"/>
          <w:sz w:val="32"/>
          <w:szCs w:val="32"/>
          <w:highlight w:val="none"/>
          <w:lang w:val="en-US" w:eastAsia="zh-CN" w:bidi="ar-SA"/>
        </w:rPr>
        <w:t>2300元/月。</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根据指标体系评分标准，校园保安实际发放工资数额标准不一致，均低于申请资金预算2300元/月。指标扣5分，得分0分。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3.产出时效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1</w:t>
      </w:r>
      <w:r>
        <w:rPr>
          <w:rFonts w:hint="eastAsia" w:ascii="仿宋_GB2312" w:hAnsi="仿宋_GB2312" w:eastAsia="仿宋_GB2312" w:cs="仿宋_GB2312"/>
          <w:b/>
          <w:bCs/>
          <w:color w:val="auto"/>
          <w:kern w:val="2"/>
          <w:sz w:val="32"/>
          <w:szCs w:val="32"/>
          <w:highlight w:val="none"/>
          <w:lang w:val="en-US" w:eastAsia="zh-CN" w:bidi="ar-SA"/>
        </w:rPr>
        <w:t>）工资发放完成及时率（指标分值</w:t>
      </w:r>
      <w:r>
        <w:rPr>
          <w:rFonts w:hint="eastAsia" w:cs="仿宋_GB2312"/>
          <w:b/>
          <w:bCs/>
          <w:color w:val="auto"/>
          <w:kern w:val="2"/>
          <w:sz w:val="32"/>
          <w:szCs w:val="32"/>
          <w:highlight w:val="none"/>
          <w:lang w:val="en-US" w:eastAsia="zh-CN" w:bidi="ar-SA"/>
        </w:rPr>
        <w:t>10</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10</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青海宏创保安服务有限责任公司提供的相关资料，经评价组现场对学校保安进行访谈，青海宏创保安服务有限责任公司每月五号准时向各学校保安发放工资，工资发放以现金形式并由本人签字确认。工资发放完成及时率</w:t>
      </w:r>
      <w:r>
        <w:rPr>
          <w:rFonts w:hint="eastAsia" w:ascii="Times New Roman" w:hAnsi="Times New Roman" w:eastAsia="仿宋_GB2312" w:cs="Times New Roman"/>
          <w:b w:val="0"/>
          <w:bCs w:val="0"/>
          <w:color w:val="auto"/>
          <w:kern w:val="2"/>
          <w:sz w:val="32"/>
          <w:szCs w:val="32"/>
          <w:highlight w:val="none"/>
          <w:lang w:val="en-US" w:eastAsia="zh-CN" w:bidi="ar-SA"/>
        </w:rPr>
        <w:t>100%。</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根据指标体系评分标准，工资发放完成及时率指标得分分值＝工资发放完成及时率</w:t>
      </w:r>
      <w:r>
        <w:rPr>
          <w:rFonts w:hint="default" w:ascii="Times New Roman" w:hAnsi="Times New Roman" w:eastAsia="仿宋_GB2312" w:cs="Times New Roman"/>
          <w:b w:val="0"/>
          <w:bCs w:val="0"/>
          <w:color w:val="auto"/>
          <w:kern w:val="2"/>
          <w:sz w:val="32"/>
          <w:szCs w:val="32"/>
          <w:highlight w:val="none"/>
          <w:lang w:val="en-US" w:eastAsia="zh-CN" w:bidi="ar-SA"/>
        </w:rPr>
        <w:t>×</w:t>
      </w:r>
      <w:r>
        <w:rPr>
          <w:rFonts w:hint="eastAsia" w:ascii="Times New Roman" w:hAnsi="Times New Roman" w:eastAsia="仿宋_GB2312" w:cs="Times New Roman"/>
          <w:b w:val="0"/>
          <w:bCs w:val="0"/>
          <w:color w:val="auto"/>
          <w:kern w:val="2"/>
          <w:sz w:val="32"/>
          <w:szCs w:val="32"/>
          <w:highlight w:val="none"/>
          <w:lang w:val="en-US" w:eastAsia="zh-CN" w:bidi="ar-SA"/>
        </w:rPr>
        <w:t>指标满分值10分，指标得10分。</w:t>
      </w:r>
    </w:p>
    <w:p>
      <w:pPr>
        <w:pStyle w:val="4"/>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楷体" w:hAnsi="楷体" w:eastAsia="楷体" w:cs="仿宋_GB2312"/>
          <w:b/>
          <w:bCs/>
          <w:color w:val="auto"/>
          <w:szCs w:val="32"/>
          <w:highlight w:val="none"/>
        </w:rPr>
      </w:pPr>
      <w:bookmarkStart w:id="316" w:name="_Toc16438"/>
      <w:bookmarkStart w:id="317" w:name="_Toc395"/>
      <w:bookmarkStart w:id="318" w:name="_Toc19529"/>
      <w:bookmarkStart w:id="319" w:name="_Toc11404"/>
      <w:bookmarkStart w:id="320" w:name="_Toc28027"/>
      <w:r>
        <w:rPr>
          <w:rFonts w:hint="eastAsia" w:ascii="楷体" w:hAnsi="楷体" w:eastAsia="楷体" w:cs="楷体"/>
          <w:color w:val="auto"/>
          <w:highlight w:val="none"/>
          <w:lang w:val="en-US" w:eastAsia="zh-CN"/>
        </w:rPr>
        <w:fldChar w:fldCharType="begin"/>
      </w:r>
      <w:r>
        <w:rPr>
          <w:rFonts w:hint="eastAsia" w:ascii="楷体" w:hAnsi="楷体" w:eastAsia="楷体" w:cs="楷体"/>
          <w:color w:val="auto"/>
          <w:highlight w:val="none"/>
          <w:lang w:val="en-US" w:eastAsia="zh-CN"/>
        </w:rPr>
        <w:instrText xml:space="preserve"> HYPERLINK \l "_Toc31209" </w:instrText>
      </w:r>
      <w:r>
        <w:rPr>
          <w:rFonts w:hint="eastAsia" w:ascii="楷体" w:hAnsi="楷体" w:eastAsia="楷体" w:cs="楷体"/>
          <w:color w:val="auto"/>
          <w:highlight w:val="none"/>
          <w:lang w:val="en-US" w:eastAsia="zh-CN"/>
        </w:rPr>
        <w:fldChar w:fldCharType="separate"/>
      </w:r>
      <w:r>
        <w:rPr>
          <w:rFonts w:hint="eastAsia" w:ascii="楷体" w:hAnsi="楷体" w:eastAsia="楷体" w:cs="楷体"/>
          <w:color w:val="auto"/>
          <w:highlight w:val="none"/>
          <w:lang w:val="en-US" w:eastAsia="zh-CN"/>
        </w:rPr>
        <w:t>（四）效益</w:t>
      </w:r>
      <w:r>
        <w:rPr>
          <w:rFonts w:hint="eastAsia" w:ascii="楷体" w:hAnsi="楷体" w:eastAsia="楷体" w:cs="楷体"/>
          <w:color w:val="auto"/>
          <w:highlight w:val="none"/>
          <w:lang w:val="en-US" w:eastAsia="zh-CN"/>
        </w:rPr>
        <w:fldChar w:fldCharType="end"/>
      </w:r>
      <w:r>
        <w:rPr>
          <w:rFonts w:hint="eastAsia" w:ascii="楷体" w:hAnsi="楷体" w:eastAsia="楷体" w:cs="楷体"/>
          <w:color w:val="auto"/>
          <w:highlight w:val="none"/>
          <w:lang w:val="en-US" w:eastAsia="zh-CN"/>
        </w:rPr>
        <w:t>情况</w:t>
      </w:r>
      <w:bookmarkEnd w:id="316"/>
      <w:bookmarkEnd w:id="317"/>
      <w:bookmarkEnd w:id="318"/>
      <w:bookmarkEnd w:id="319"/>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jc w:val="both"/>
        <w:textAlignment w:val="auto"/>
        <w:rPr>
          <w:rFonts w:hint="eastAsia"/>
          <w:lang w:val="en-US" w:eastAsia="zh-CN"/>
        </w:rPr>
      </w:pPr>
      <w:r>
        <w:rPr>
          <w:rFonts w:hint="eastAsia" w:ascii="仿宋_GB2312" w:hAnsi="仿宋_GB2312" w:eastAsia="仿宋_GB2312" w:cs="仿宋_GB2312"/>
          <w:color w:val="auto"/>
          <w:highlight w:val="none"/>
          <w:lang w:val="en-US" w:eastAsia="zh-CN"/>
        </w:rPr>
        <w:t>西宁市城中</w:t>
      </w:r>
      <w:r>
        <w:rPr>
          <w:rFonts w:hint="eastAsia" w:ascii="Times New Roman" w:hAnsi="Times New Roman" w:eastAsia="仿宋_GB2312" w:cs="Times New Roman"/>
          <w:b w:val="0"/>
          <w:bCs w:val="0"/>
          <w:color w:val="auto"/>
          <w:kern w:val="2"/>
          <w:sz w:val="32"/>
          <w:szCs w:val="32"/>
          <w:highlight w:val="none"/>
          <w:lang w:val="en-US" w:eastAsia="zh-CN" w:bidi="ar-SA"/>
        </w:rPr>
        <w:t>区2021年</w:t>
      </w:r>
      <w:r>
        <w:rPr>
          <w:rFonts w:hint="eastAsia" w:ascii="仿宋_GB2312" w:hAnsi="仿宋_GB2312" w:eastAsia="仿宋_GB2312" w:cs="仿宋_GB2312"/>
          <w:color w:val="auto"/>
          <w:highlight w:val="none"/>
          <w:lang w:val="en-US" w:eastAsia="zh-CN"/>
        </w:rPr>
        <w:t>校园保安专项</w:t>
      </w:r>
      <w:r>
        <w:rPr>
          <w:rFonts w:hint="eastAsia" w:cs="仿宋_GB2312"/>
          <w:color w:val="auto"/>
          <w:highlight w:val="none"/>
          <w:lang w:val="en-US" w:eastAsia="zh-CN"/>
        </w:rPr>
        <w:t>资金</w:t>
      </w:r>
      <w:r>
        <w:rPr>
          <w:rFonts w:hint="eastAsia" w:ascii="仿宋_GB2312" w:hAnsi="仿宋_GB2312" w:eastAsia="仿宋_GB2312" w:cs="仿宋_GB2312"/>
          <w:color w:val="auto"/>
          <w:highlight w:val="none"/>
          <w:lang w:val="en-US" w:eastAsia="zh-CN"/>
        </w:rPr>
        <w:t>绩效评价</w:t>
      </w:r>
      <w:r>
        <w:rPr>
          <w:rFonts w:hint="eastAsia" w:cs="仿宋_GB2312"/>
          <w:color w:val="auto"/>
          <w:highlight w:val="none"/>
          <w:lang w:val="en-US" w:eastAsia="zh-CN"/>
        </w:rPr>
        <w:t>效益</w:t>
      </w:r>
      <w:r>
        <w:rPr>
          <w:rFonts w:hint="eastAsia" w:ascii="仿宋_GB2312" w:hAnsi="仿宋_GB2312" w:eastAsia="仿宋_GB2312" w:cs="仿宋_GB2312"/>
          <w:color w:val="auto"/>
          <w:highlight w:val="none"/>
          <w:lang w:val="en-US" w:eastAsia="zh-CN"/>
        </w:rPr>
        <w:t>类指标分别</w:t>
      </w:r>
      <w:r>
        <w:rPr>
          <w:rFonts w:hint="eastAsia" w:cs="仿宋_GB2312"/>
          <w:color w:val="auto"/>
          <w:highlight w:val="none"/>
          <w:lang w:val="en-US" w:eastAsia="zh-CN"/>
        </w:rPr>
        <w:t>从</w:t>
      </w:r>
      <w:r>
        <w:rPr>
          <w:rFonts w:hint="eastAsia" w:cs="Times New Roman"/>
          <w:color w:val="auto"/>
          <w:highlight w:val="none"/>
        </w:rPr>
        <w:t>社会效益、可持续影响、满意度</w:t>
      </w:r>
      <w:r>
        <w:rPr>
          <w:rFonts w:hint="eastAsia" w:cs="Times New Roman"/>
          <w:color w:val="auto"/>
          <w:highlight w:val="none"/>
          <w:lang w:eastAsia="zh-CN"/>
        </w:rPr>
        <w:t>三</w:t>
      </w:r>
      <w:r>
        <w:rPr>
          <w:rFonts w:hint="eastAsia" w:cs="Times New Roman"/>
          <w:color w:val="auto"/>
          <w:highlight w:val="none"/>
        </w:rPr>
        <w:t>个方面进行评价分析</w:t>
      </w:r>
      <w:r>
        <w:rPr>
          <w:rFonts w:hint="eastAsia" w:cs="仿宋_GB2312"/>
          <w:color w:val="auto"/>
          <w:highlight w:val="none"/>
          <w:lang w:val="en-US" w:eastAsia="zh-CN"/>
        </w:rPr>
        <w:t>。各项</w:t>
      </w:r>
      <w:r>
        <w:rPr>
          <w:rFonts w:hint="eastAsia" w:ascii="仿宋_GB2312" w:hAnsi="仿宋_GB2312" w:eastAsia="仿宋_GB2312" w:cs="仿宋_GB2312"/>
          <w:color w:val="auto"/>
          <w:highlight w:val="none"/>
          <w:lang w:val="en-US" w:eastAsia="zh-CN"/>
        </w:rPr>
        <w:t>指标具体得分情况如下表所示：</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2216"/>
        <w:gridCol w:w="3568"/>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5000" w:type="pct"/>
            <w:gridSpan w:val="4"/>
            <w:tcBorders>
              <w:top w:val="nil"/>
              <w:left w:val="nil"/>
              <w:bottom w:val="single" w:color="auto" w:sz="4" w:space="0"/>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9 效益</w:t>
            </w:r>
            <w:r>
              <w:rPr>
                <w:rFonts w:hint="eastAsia" w:ascii="宋体" w:hAnsi="宋体" w:eastAsia="宋体" w:cs="宋体"/>
                <w:b/>
                <w:bCs/>
                <w:color w:val="auto"/>
                <w:sz w:val="28"/>
                <w:szCs w:val="28"/>
                <w:highlight w:val="none"/>
              </w:rPr>
              <w:t>类各项指标绩效评价</w:t>
            </w:r>
            <w:r>
              <w:rPr>
                <w:rFonts w:hint="eastAsia" w:ascii="宋体" w:hAnsi="宋体" w:eastAsia="宋体" w:cs="宋体"/>
                <w:b/>
                <w:color w:val="auto"/>
                <w:sz w:val="28"/>
                <w:szCs w:val="28"/>
                <w:highlight w:val="none"/>
              </w:rPr>
              <w:t>得分表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55" w:type="pct"/>
            <w:tcBorders>
              <w:top w:val="single" w:color="auto" w:sz="4" w:space="0"/>
              <w:lef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一级指标</w:t>
            </w:r>
          </w:p>
        </w:tc>
        <w:tc>
          <w:tcPr>
            <w:tcW w:w="1223" w:type="pct"/>
            <w:tcBorders>
              <w:top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二级指标</w:t>
            </w:r>
          </w:p>
        </w:tc>
        <w:tc>
          <w:tcPr>
            <w:tcW w:w="1969" w:type="pct"/>
            <w:tcBorders>
              <w:top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三级指标</w:t>
            </w:r>
          </w:p>
        </w:tc>
        <w:tc>
          <w:tcPr>
            <w:tcW w:w="652" w:type="pct"/>
            <w:tcBorders>
              <w:top w:val="single" w:color="auto" w:sz="4" w:space="0"/>
              <w:righ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55" w:type="pct"/>
            <w:vMerge w:val="restart"/>
            <w:tcBorders>
              <w:lef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lang w:eastAsia="zh-CN"/>
              </w:rPr>
            </w:pPr>
            <w:r>
              <w:rPr>
                <w:rFonts w:hint="eastAsia" w:ascii="宋体" w:hAnsi="宋体" w:eastAsia="宋体" w:cs="宋体"/>
                <w:b/>
                <w:color w:val="auto"/>
                <w:sz w:val="24"/>
                <w:szCs w:val="24"/>
                <w:highlight w:val="none"/>
                <w:u w:val="single"/>
                <w:lang w:val="en-US" w:eastAsia="zh-CN"/>
              </w:rPr>
              <w:t>效益</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r>
              <w:rPr>
                <w:rFonts w:hint="eastAsia" w:ascii="宋体" w:hAnsi="宋体" w:eastAsia="宋体" w:cs="宋体"/>
                <w:bCs/>
                <w:color w:val="auto"/>
                <w:sz w:val="24"/>
                <w:szCs w:val="24"/>
                <w:highlight w:val="none"/>
              </w:rPr>
              <w:t>得分率：</w:t>
            </w:r>
            <w:r>
              <w:rPr>
                <w:rFonts w:hint="eastAsia" w:ascii="宋体" w:hAnsi="宋体" w:eastAsia="宋体" w:cs="宋体"/>
                <w:bCs/>
                <w:color w:val="auto"/>
                <w:sz w:val="24"/>
                <w:szCs w:val="24"/>
                <w:highlight w:val="none"/>
                <w:lang w:val="en-US" w:eastAsia="zh-CN"/>
              </w:rPr>
              <w:t>95</w:t>
            </w:r>
            <w:r>
              <w:rPr>
                <w:rFonts w:hint="eastAsia" w:ascii="宋体" w:hAnsi="宋体" w:eastAsia="宋体" w:cs="宋体"/>
                <w:bCs/>
                <w:color w:val="auto"/>
                <w:sz w:val="24"/>
                <w:szCs w:val="24"/>
                <w:highlight w:val="none"/>
              </w:rPr>
              <w:t>%</w:t>
            </w:r>
          </w:p>
        </w:tc>
        <w:tc>
          <w:tcPr>
            <w:tcW w:w="1223"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u w:val="single"/>
                <w:lang w:val="en-US" w:eastAsia="zh-CN"/>
              </w:rPr>
              <w:t>社会效益</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r>
              <w:rPr>
                <w:rFonts w:hint="eastAsia" w:ascii="宋体" w:hAnsi="宋体" w:eastAsia="宋体" w:cs="宋体"/>
                <w:bCs/>
                <w:color w:val="auto"/>
                <w:sz w:val="24"/>
                <w:szCs w:val="24"/>
                <w:highlight w:val="none"/>
              </w:rPr>
              <w:t>得分率：</w:t>
            </w:r>
            <w:r>
              <w:rPr>
                <w:rFonts w:hint="eastAsia" w:ascii="宋体" w:hAnsi="宋体" w:eastAsia="宋体" w:cs="宋体"/>
                <w:bCs/>
                <w:color w:val="auto"/>
                <w:sz w:val="24"/>
                <w:szCs w:val="24"/>
                <w:highlight w:val="none"/>
                <w:lang w:val="en-US" w:eastAsia="zh-CN"/>
              </w:rPr>
              <w:t>100</w:t>
            </w:r>
            <w:r>
              <w:rPr>
                <w:rFonts w:hint="eastAsia" w:ascii="宋体" w:hAnsi="宋体" w:eastAsia="宋体" w:cs="宋体"/>
                <w:bCs/>
                <w:color w:val="auto"/>
                <w:sz w:val="24"/>
                <w:szCs w:val="24"/>
                <w:highlight w:val="none"/>
              </w:rPr>
              <w:t>%</w:t>
            </w:r>
          </w:p>
        </w:tc>
        <w:tc>
          <w:tcPr>
            <w:tcW w:w="196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保障校园安全</w:t>
            </w:r>
          </w:p>
        </w:tc>
        <w:tc>
          <w:tcPr>
            <w:tcW w:w="652" w:type="pct"/>
            <w:tcBorders>
              <w:right w:val="single" w:color="auto" w:sz="4" w:space="0"/>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4"/>
                <w:highlight w:val="none"/>
                <w:lang w:val="en-US" w:eastAsia="zh-CN"/>
              </w:rPr>
            </w:pPr>
            <w:r>
              <w:rPr>
                <w:rFonts w:hint="eastAsia" w:ascii="宋体" w:hAnsi="宋体" w:eastAsia="宋体" w:cs="宋体"/>
                <w:i/>
                <w:iCs/>
                <w:color w:val="auto"/>
                <w:sz w:val="24"/>
                <w:szCs w:val="24"/>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155" w:type="pct"/>
            <w:vMerge w:val="continue"/>
            <w:tcBorders>
              <w:lef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4"/>
                <w:highlight w:val="none"/>
              </w:rPr>
            </w:pPr>
          </w:p>
        </w:tc>
        <w:tc>
          <w:tcPr>
            <w:tcW w:w="1223"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4"/>
                <w:highlight w:val="none"/>
              </w:rPr>
            </w:pPr>
          </w:p>
        </w:tc>
        <w:tc>
          <w:tcPr>
            <w:tcW w:w="196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color w:val="auto"/>
                <w:kern w:val="0"/>
                <w:sz w:val="24"/>
                <w:szCs w:val="24"/>
                <w:highlight w:val="none"/>
                <w:lang w:bidi="ar"/>
              </w:rPr>
              <w:t>提供就业机会</w:t>
            </w:r>
          </w:p>
        </w:tc>
        <w:tc>
          <w:tcPr>
            <w:tcW w:w="652" w:type="pct"/>
            <w:tcBorders>
              <w:right w:val="single" w:color="auto" w:sz="4" w:space="0"/>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4"/>
                <w:highlight w:val="none"/>
                <w:lang w:val="en-US" w:eastAsia="zh-CN"/>
              </w:rPr>
            </w:pPr>
            <w:r>
              <w:rPr>
                <w:rFonts w:hint="eastAsia" w:ascii="宋体" w:hAnsi="宋体" w:eastAsia="宋体" w:cs="宋体"/>
                <w:i/>
                <w:iCs/>
                <w:color w:val="auto"/>
                <w:sz w:val="24"/>
                <w:szCs w:val="24"/>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exact"/>
          <w:jc w:val="center"/>
        </w:trPr>
        <w:tc>
          <w:tcPr>
            <w:tcW w:w="1155" w:type="pct"/>
            <w:vMerge w:val="continue"/>
            <w:tcBorders>
              <w:lef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p>
        </w:tc>
        <w:tc>
          <w:tcPr>
            <w:tcW w:w="1223"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u w:val="single"/>
                <w:lang w:val="en-US" w:eastAsia="zh-CN"/>
              </w:rPr>
              <w:t>可持续影响</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r>
              <w:rPr>
                <w:rFonts w:hint="eastAsia" w:ascii="宋体" w:hAnsi="宋体" w:eastAsia="宋体" w:cs="宋体"/>
                <w:bCs/>
                <w:color w:val="auto"/>
                <w:sz w:val="24"/>
                <w:szCs w:val="24"/>
                <w:highlight w:val="none"/>
              </w:rPr>
              <w:t>得分率：</w:t>
            </w:r>
            <w:r>
              <w:rPr>
                <w:rFonts w:hint="eastAsia" w:ascii="宋体" w:hAnsi="宋体" w:eastAsia="宋体" w:cs="宋体"/>
                <w:bCs/>
                <w:color w:val="auto"/>
                <w:sz w:val="24"/>
                <w:szCs w:val="24"/>
                <w:highlight w:val="none"/>
                <w:lang w:val="en-US" w:eastAsia="zh-CN"/>
              </w:rPr>
              <w:t>100</w:t>
            </w:r>
            <w:r>
              <w:rPr>
                <w:rFonts w:hint="eastAsia" w:ascii="宋体" w:hAnsi="宋体" w:eastAsia="宋体" w:cs="宋体"/>
                <w:bCs/>
                <w:color w:val="auto"/>
                <w:sz w:val="24"/>
                <w:szCs w:val="24"/>
                <w:highlight w:val="none"/>
              </w:rPr>
              <w:t>%</w:t>
            </w:r>
          </w:p>
        </w:tc>
        <w:tc>
          <w:tcPr>
            <w:tcW w:w="196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维护校园</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Cs/>
                <w:i w:val="0"/>
                <w:iCs w:val="0"/>
                <w:color w:val="auto"/>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bidi="ar-SA"/>
              </w:rPr>
              <w:t>周边良好的治安秩序</w:t>
            </w:r>
          </w:p>
        </w:tc>
        <w:tc>
          <w:tcPr>
            <w:tcW w:w="652" w:type="pct"/>
            <w:tcBorders>
              <w:right w:val="single" w:color="auto" w:sz="4" w:space="0"/>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4"/>
                <w:highlight w:val="none"/>
                <w:lang w:val="en-US" w:eastAsia="zh-CN"/>
              </w:rPr>
            </w:pPr>
            <w:r>
              <w:rPr>
                <w:rFonts w:hint="eastAsia" w:ascii="宋体" w:hAnsi="宋体" w:eastAsia="宋体" w:cs="宋体"/>
                <w:i/>
                <w:iCs/>
                <w:color w:val="auto"/>
                <w:sz w:val="24"/>
                <w:szCs w:val="24"/>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exact"/>
          <w:jc w:val="center"/>
        </w:trPr>
        <w:tc>
          <w:tcPr>
            <w:tcW w:w="1155" w:type="pct"/>
            <w:vMerge w:val="continue"/>
            <w:tcBorders>
              <w:left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rPr>
            </w:pPr>
          </w:p>
        </w:tc>
        <w:tc>
          <w:tcPr>
            <w:tcW w:w="1223"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u w:val="single"/>
                <w:lang w:val="en-US" w:eastAsia="zh-CN"/>
              </w:rPr>
              <w:t>满意度</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rPr>
              <w:t>得分率：</w:t>
            </w:r>
            <w:r>
              <w:rPr>
                <w:rFonts w:hint="eastAsia" w:ascii="宋体" w:hAnsi="宋体" w:eastAsia="宋体" w:cs="宋体"/>
                <w:bCs/>
                <w:color w:val="auto"/>
                <w:sz w:val="24"/>
                <w:szCs w:val="24"/>
                <w:highlight w:val="none"/>
                <w:lang w:val="en-US" w:eastAsia="zh-CN"/>
              </w:rPr>
              <w:t>83.33</w:t>
            </w:r>
            <w:r>
              <w:rPr>
                <w:rFonts w:hint="eastAsia" w:ascii="宋体" w:hAnsi="宋体" w:eastAsia="宋体" w:cs="宋体"/>
                <w:bCs/>
                <w:color w:val="auto"/>
                <w:sz w:val="24"/>
                <w:szCs w:val="24"/>
                <w:highlight w:val="none"/>
              </w:rPr>
              <w:t>%</w:t>
            </w:r>
          </w:p>
        </w:tc>
        <w:tc>
          <w:tcPr>
            <w:tcW w:w="196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bidi="ar-SA"/>
              </w:rPr>
              <w:t>校园师生满意度</w:t>
            </w:r>
          </w:p>
        </w:tc>
        <w:tc>
          <w:tcPr>
            <w:tcW w:w="652" w:type="pct"/>
            <w:tcBorders>
              <w:right w:val="single" w:color="auto" w:sz="4" w:space="0"/>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4"/>
                <w:highlight w:val="none"/>
                <w:lang w:val="en-US" w:eastAsia="zh-CN"/>
              </w:rPr>
            </w:pPr>
            <w:r>
              <w:rPr>
                <w:rFonts w:hint="eastAsia" w:ascii="宋体" w:hAnsi="宋体" w:eastAsia="宋体" w:cs="宋体"/>
                <w:i/>
                <w:iCs/>
                <w:color w:val="auto"/>
                <w:sz w:val="24"/>
                <w:szCs w:val="24"/>
                <w:highlight w:val="none"/>
                <w:lang w:val="en-US" w:eastAsia="zh-CN"/>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347" w:type="pct"/>
            <w:gridSpan w:val="3"/>
            <w:tcBorders>
              <w:left w:val="single" w:color="auto" w:sz="4" w:space="0"/>
              <w:bottom w:val="sing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效益</w:t>
            </w:r>
            <w:r>
              <w:rPr>
                <w:rFonts w:hint="eastAsia" w:ascii="宋体" w:hAnsi="宋体" w:eastAsia="宋体" w:cs="宋体"/>
                <w:b/>
                <w:color w:val="auto"/>
                <w:sz w:val="24"/>
                <w:szCs w:val="24"/>
                <w:highlight w:val="none"/>
              </w:rPr>
              <w:t>”情况评级</w:t>
            </w:r>
          </w:p>
        </w:tc>
        <w:tc>
          <w:tcPr>
            <w:tcW w:w="652" w:type="pct"/>
            <w:tcBorders>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优</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1.</w:t>
      </w:r>
      <w:r>
        <w:rPr>
          <w:rFonts w:hint="eastAsia" w:ascii="仿宋_GB2312" w:hAnsi="仿宋_GB2312" w:eastAsia="仿宋_GB2312" w:cs="仿宋_GB2312"/>
          <w:b/>
          <w:bCs/>
          <w:color w:val="auto"/>
          <w:kern w:val="2"/>
          <w:sz w:val="32"/>
          <w:szCs w:val="32"/>
          <w:highlight w:val="none"/>
          <w:lang w:val="en-US" w:eastAsia="zh-CN" w:bidi="ar-SA"/>
        </w:rPr>
        <w:t>社会效益</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（1）保障校园安全（指标分值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w:t>
      </w:r>
    </w:p>
    <w:p>
      <w:pPr>
        <w:pStyle w:val="6"/>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default"/>
          <w:lang w:val="en-US"/>
        </w:rPr>
      </w:pPr>
      <w:r>
        <w:rPr>
          <w:rFonts w:hint="eastAsia" w:cs="仿宋_GB2312"/>
          <w:color w:val="auto"/>
          <w:kern w:val="2"/>
          <w:sz w:val="32"/>
          <w:szCs w:val="32"/>
          <w:highlight w:val="none"/>
          <w:lang w:val="en-US" w:eastAsia="zh-CN" w:bidi="ar-SA"/>
        </w:rPr>
        <w:t>学校保安岗位的设置为</w:t>
      </w:r>
      <w:r>
        <w:rPr>
          <w:rFonts w:hint="eastAsia" w:ascii="仿宋_GB2312" w:hAnsi="仿宋_GB2312" w:eastAsia="仿宋_GB2312" w:cs="仿宋_GB2312"/>
          <w:color w:val="auto"/>
          <w:kern w:val="2"/>
          <w:sz w:val="32"/>
          <w:szCs w:val="32"/>
          <w:highlight w:val="none"/>
          <w:lang w:val="en-US" w:eastAsia="zh-CN" w:bidi="ar-SA"/>
        </w:rPr>
        <w:t>学校</w:t>
      </w:r>
      <w:r>
        <w:rPr>
          <w:rFonts w:hint="eastAsia" w:cs="仿宋_GB2312"/>
          <w:color w:val="auto"/>
          <w:kern w:val="2"/>
          <w:sz w:val="32"/>
          <w:szCs w:val="32"/>
          <w:highlight w:val="none"/>
          <w:lang w:val="en-US" w:eastAsia="zh-CN" w:bidi="ar-SA"/>
        </w:rPr>
        <w:t>日常安全、师生人身安全提供有力保障</w:t>
      </w:r>
      <w:r>
        <w:rPr>
          <w:rFonts w:hint="eastAsia" w:ascii="仿宋_GB2312" w:hAnsi="仿宋_GB2312" w:eastAsia="仿宋_GB2312" w:cs="仿宋_GB2312"/>
          <w:color w:val="auto"/>
          <w:kern w:val="2"/>
          <w:sz w:val="32"/>
          <w:szCs w:val="32"/>
          <w:highlight w:val="none"/>
          <w:lang w:val="en-US" w:eastAsia="zh-CN" w:bidi="ar-SA"/>
        </w:rPr>
        <w:t>，</w:t>
      </w:r>
      <w:r>
        <w:rPr>
          <w:rFonts w:hint="eastAsia" w:cs="仿宋_GB2312"/>
          <w:color w:val="auto"/>
          <w:kern w:val="2"/>
          <w:sz w:val="32"/>
          <w:szCs w:val="32"/>
          <w:highlight w:val="none"/>
          <w:lang w:val="en-US" w:eastAsia="zh-CN" w:bidi="ar-SA"/>
        </w:rPr>
        <w:t>校园保安专项资金的设立有效减轻学校资金压力，为学校保安设置提供资金支持，保障了学校</w:t>
      </w:r>
      <w:r>
        <w:rPr>
          <w:rFonts w:hint="eastAsia" w:ascii="仿宋_GB2312" w:hAnsi="仿宋_GB2312" w:eastAsia="仿宋_GB2312" w:cs="仿宋_GB2312"/>
          <w:color w:val="auto"/>
          <w:kern w:val="2"/>
          <w:sz w:val="32"/>
          <w:szCs w:val="32"/>
          <w:highlight w:val="none"/>
          <w:lang w:val="en-US" w:eastAsia="zh-CN" w:bidi="ar-SA"/>
        </w:rPr>
        <w:t>疫情防控安全、消防安全、食品安全、饮水</w:t>
      </w:r>
      <w:r>
        <w:rPr>
          <w:rFonts w:hint="eastAsia" w:cs="仿宋_GB2312"/>
          <w:color w:val="auto"/>
          <w:kern w:val="2"/>
          <w:sz w:val="32"/>
          <w:szCs w:val="32"/>
          <w:highlight w:val="none"/>
          <w:lang w:val="en-US" w:eastAsia="zh-CN" w:bidi="ar-SA"/>
        </w:rPr>
        <w:t>安全、学生活动场所安全等。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根据指标体系评分标准，校园保安对于犯罪分子具有一定的防治作用，维持学校学习秩序，保障学校正常工作，提升校园安全水平。指标得分</w:t>
      </w:r>
      <w:r>
        <w:rPr>
          <w:rFonts w:hint="eastAsia" w:ascii="Times New Roman" w:hAnsi="Times New Roman" w:eastAsia="仿宋_GB2312" w:cs="Times New Roman"/>
          <w:b w:val="0"/>
          <w:bCs w:val="0"/>
          <w:color w:val="auto"/>
          <w:kern w:val="2"/>
          <w:sz w:val="32"/>
          <w:szCs w:val="32"/>
          <w:highlight w:val="none"/>
          <w:lang w:val="en-US" w:eastAsia="zh-CN" w:bidi="ar-SA"/>
        </w:rPr>
        <w:t>4分</w:t>
      </w:r>
      <w:r>
        <w:rPr>
          <w:rFonts w:hint="eastAsia" w:cs="仿宋_GB2312"/>
          <w:color w:val="auto"/>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（2）提供就业机会（指</w:t>
      </w:r>
      <w:r>
        <w:rPr>
          <w:rFonts w:hint="eastAsia" w:cs="仿宋_GB2312"/>
          <w:b/>
          <w:bCs/>
          <w:color w:val="auto"/>
          <w:kern w:val="2"/>
          <w:sz w:val="32"/>
          <w:szCs w:val="32"/>
          <w:highlight w:val="none"/>
          <w:lang w:val="en-US" w:eastAsia="zh-CN" w:bidi="ar-SA"/>
        </w:rPr>
        <w:t>标分值4</w:t>
      </w:r>
      <w:r>
        <w:rPr>
          <w:rFonts w:hint="eastAsia" w:ascii="仿宋_GB2312" w:hAnsi="仿宋_GB2312" w:eastAsia="仿宋_GB2312" w:cs="仿宋_GB2312"/>
          <w:b/>
          <w:bCs/>
          <w:color w:val="auto"/>
          <w:kern w:val="2"/>
          <w:sz w:val="32"/>
          <w:szCs w:val="32"/>
          <w:highlight w:val="none"/>
          <w:lang w:val="en-US" w:eastAsia="zh-CN" w:bidi="ar-SA"/>
        </w:rPr>
        <w:t>分）</w:t>
      </w:r>
      <w:r>
        <w:rPr>
          <w:rFonts w:hint="eastAsia" w:cs="仿宋_GB2312"/>
          <w:b/>
          <w:bCs/>
          <w:color w:val="auto"/>
          <w:kern w:val="2"/>
          <w:sz w:val="32"/>
          <w:szCs w:val="32"/>
          <w:highlight w:val="none"/>
          <w:lang w:val="en-US" w:eastAsia="zh-CN" w:bidi="ar-SA"/>
        </w:rPr>
        <w:t>（得分4分）</w:t>
      </w:r>
    </w:p>
    <w:p>
      <w:pPr>
        <w:pStyle w:val="6"/>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cs="Times New Roman"/>
          <w:b w:val="0"/>
          <w:bCs w:val="0"/>
          <w:color w:val="auto"/>
          <w:sz w:val="32"/>
          <w:szCs w:val="32"/>
          <w:highlight w:val="none"/>
          <w:lang w:val="en-US" w:eastAsia="zh-CN"/>
        </w:rPr>
      </w:pPr>
      <w:r>
        <w:rPr>
          <w:rFonts w:hint="eastAsia" w:cs="仿宋_GB2312"/>
          <w:color w:val="auto"/>
          <w:kern w:val="2"/>
          <w:sz w:val="32"/>
          <w:szCs w:val="32"/>
          <w:highlight w:val="none"/>
          <w:lang w:val="en-US" w:eastAsia="zh-CN" w:bidi="ar-SA"/>
        </w:rPr>
        <w:t>就业是民生之本，对整个社会具有重要意义。就业使得劳动力与生产资料相结合，生产出社会所需要的物质财富和精神财富。</w:t>
      </w:r>
      <w:r>
        <w:rPr>
          <w:rFonts w:hint="eastAsia" w:ascii="仿宋_GB2312" w:hAnsi="仿宋_GB2312" w:eastAsia="仿宋_GB2312" w:cs="仿宋_GB2312"/>
          <w:color w:val="auto"/>
          <w:highlight w:val="none"/>
          <w:lang w:val="en-US" w:eastAsia="zh-CN"/>
        </w:rPr>
        <w:t>西宁市城中区</w:t>
      </w:r>
      <w:r>
        <w:rPr>
          <w:rFonts w:hint="eastAsia" w:ascii="Times New Roman" w:hAnsi="Times New Roman" w:cs="Times New Roman"/>
          <w:b w:val="0"/>
          <w:bCs w:val="0"/>
          <w:color w:val="auto"/>
          <w:sz w:val="32"/>
          <w:szCs w:val="32"/>
          <w:highlight w:val="none"/>
          <w:lang w:val="en-US" w:eastAsia="zh-CN"/>
        </w:rPr>
        <w:t>2021年校园保安专项资金的支出可为84个工作岗位提供支撑，解决了当地富余劳动力就业问题，为当地部分居民提供长期、稳定的就业机会。</w:t>
      </w:r>
    </w:p>
    <w:p>
      <w:pPr>
        <w:pStyle w:val="6"/>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cs="Times New Roman"/>
          <w:b w:val="0"/>
          <w:bCs w:val="0"/>
          <w:color w:val="auto"/>
          <w:sz w:val="32"/>
          <w:szCs w:val="32"/>
          <w:highlight w:val="none"/>
          <w:lang w:val="en-US" w:eastAsia="zh-CN"/>
        </w:rPr>
      </w:pPr>
      <w:r>
        <w:rPr>
          <w:rFonts w:hint="eastAsia" w:ascii="Times New Roman" w:hAnsi="Times New Roman" w:cs="Times New Roman"/>
          <w:b w:val="0"/>
          <w:bCs w:val="0"/>
          <w:color w:val="auto"/>
          <w:sz w:val="32"/>
          <w:szCs w:val="32"/>
          <w:highlight w:val="none"/>
          <w:lang w:val="en-US" w:eastAsia="zh-CN"/>
        </w:rPr>
        <w:t>根据指标体系评分标准，校园保安专项资金能够提供长期、稳定的就业岗位。指标得分4分。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.可持续影响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w:t>
      </w:r>
      <w:r>
        <w:rPr>
          <w:rFonts w:hint="eastAsia" w:cs="仿宋_GB2312"/>
          <w:b/>
          <w:bCs/>
          <w:color w:val="auto"/>
          <w:kern w:val="2"/>
          <w:sz w:val="32"/>
          <w:szCs w:val="32"/>
          <w:highlight w:val="none"/>
          <w:lang w:val="en-US" w:eastAsia="zh-CN" w:bidi="ar-SA"/>
        </w:rPr>
        <w:t>维护校园周边良好的治安秩序</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6</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6</w:t>
      </w:r>
      <w:r>
        <w:rPr>
          <w:rFonts w:hint="eastAsia" w:ascii="仿宋_GB2312" w:hAnsi="仿宋_GB2312" w:eastAsia="仿宋_GB2312" w:cs="仿宋_GB2312"/>
          <w:b/>
          <w:bCs/>
          <w:color w:val="auto"/>
          <w:kern w:val="2"/>
          <w:sz w:val="32"/>
          <w:szCs w:val="32"/>
          <w:highlight w:val="none"/>
          <w:lang w:val="en-US" w:eastAsia="zh-CN" w:bidi="ar-SA"/>
        </w:rPr>
        <w:t>分）</w:t>
      </w:r>
    </w:p>
    <w:p>
      <w:pPr>
        <w:pStyle w:val="6"/>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学校保安承担着保卫治安、防止发生人身事故的职责，能够在一定程度上杜绝他人对校园师生造成伤害，防止校内暴力事件的发生。保安在做好校门管理的同时，还能够加强对校园内安全设施的定期检查，加强学校周边环境安全管理，有效保障固定区域内安全，维护正常工作和治安秩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根据指标体系评分标准，校园保安在一定程度上维护了校园周边良好的治安秩序。指标得</w:t>
      </w:r>
      <w:r>
        <w:rPr>
          <w:rFonts w:hint="eastAsia" w:ascii="Times New Roman" w:hAnsi="Times New Roman" w:eastAsia="仿宋_GB2312" w:cs="Times New Roman"/>
          <w:b w:val="0"/>
          <w:bCs w:val="0"/>
          <w:color w:val="auto"/>
          <w:kern w:val="2"/>
          <w:sz w:val="32"/>
          <w:szCs w:val="32"/>
          <w:highlight w:val="none"/>
          <w:lang w:val="en-US" w:eastAsia="zh-CN" w:bidi="ar-SA"/>
        </w:rPr>
        <w:t>分6分</w:t>
      </w:r>
      <w:r>
        <w:rPr>
          <w:rFonts w:hint="eastAsia" w:ascii="仿宋_GB2312" w:hAnsi="仿宋_GB2312" w:eastAsia="仿宋_GB2312" w:cs="仿宋_GB2312"/>
          <w:color w:val="auto"/>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3.</w:t>
      </w:r>
      <w:r>
        <w:rPr>
          <w:rFonts w:hint="eastAsia" w:ascii="仿宋_GB2312" w:hAnsi="仿宋_GB2312" w:eastAsia="仿宋_GB2312" w:cs="仿宋_GB2312"/>
          <w:b/>
          <w:bCs/>
          <w:color w:val="auto"/>
          <w:kern w:val="2"/>
          <w:sz w:val="32"/>
          <w:szCs w:val="32"/>
          <w:highlight w:val="none"/>
          <w:lang w:val="en-US" w:eastAsia="zh-CN" w:bidi="ar-SA"/>
        </w:rPr>
        <w:t>满意度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w:t>
      </w:r>
      <w:r>
        <w:rPr>
          <w:rFonts w:hint="eastAsia" w:cs="仿宋_GB2312"/>
          <w:b/>
          <w:bCs/>
          <w:color w:val="auto"/>
          <w:kern w:val="2"/>
          <w:sz w:val="32"/>
          <w:szCs w:val="32"/>
          <w:highlight w:val="none"/>
          <w:lang w:val="en-US" w:eastAsia="zh-CN" w:bidi="ar-SA"/>
        </w:rPr>
        <w:t>校园师生满意度</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6</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根据对城中区各校园各师生的</w:t>
      </w:r>
      <w:r>
        <w:rPr>
          <w:rFonts w:hint="eastAsia" w:ascii="Times New Roman" w:hAnsi="Times New Roman" w:eastAsia="仿宋_GB2312" w:cs="Times New Roman"/>
          <w:b w:val="0"/>
          <w:bCs w:val="0"/>
          <w:color w:val="auto"/>
          <w:kern w:val="2"/>
          <w:sz w:val="32"/>
          <w:szCs w:val="32"/>
          <w:highlight w:val="none"/>
          <w:lang w:val="en-US" w:eastAsia="zh-CN" w:bidi="ar-SA"/>
        </w:rPr>
        <w:t>200份满意度调查问卷结果统计分析，校园师生对校园保安提供的相关服务满意率为93.50%。</w:t>
      </w:r>
    </w:p>
    <w:p>
      <w:pPr>
        <w:pStyle w:val="2"/>
        <w:ind w:left="0" w:leftChars="0" w:firstLine="0" w:firstLineChars="0"/>
        <w:rPr>
          <w:rFonts w:hint="eastAsia" w:ascii="仿宋_GB2312" w:hAnsi="仿宋_GB2312" w:eastAsia="仿宋_GB2312" w:cs="仿宋_GB2312"/>
          <w:color w:val="auto"/>
          <w:kern w:val="2"/>
          <w:sz w:val="32"/>
          <w:szCs w:val="32"/>
          <w:highlight w:val="none"/>
          <w:lang w:val="en-US" w:eastAsia="zh-CN" w:bidi="ar-SA"/>
        </w:rPr>
      </w:pPr>
      <w:r>
        <w:drawing>
          <wp:inline distT="0" distB="0" distL="114300" distR="114300">
            <wp:extent cx="5189220" cy="2390775"/>
            <wp:effectExtent l="0" t="0" r="0" b="0"/>
            <wp:docPr id="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ageBreakBefore w:val="0"/>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sz w:val="24"/>
          <w:szCs w:val="24"/>
        </w:rPr>
        <w:t>图</w:t>
      </w: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 xml:space="preserve">  </w:t>
      </w:r>
      <w:r>
        <w:rPr>
          <w:rFonts w:hint="eastAsia" w:ascii="宋体" w:hAnsi="宋体" w:eastAsia="宋体" w:cs="宋体"/>
          <w:b/>
          <w:bCs/>
          <w:sz w:val="24"/>
          <w:szCs w:val="24"/>
          <w:lang w:val="en-US" w:eastAsia="zh-CN"/>
        </w:rPr>
        <w:t>学校师生</w:t>
      </w:r>
      <w:r>
        <w:rPr>
          <w:rFonts w:hint="eastAsia" w:ascii="宋体" w:hAnsi="宋体" w:eastAsia="宋体" w:cs="宋体"/>
          <w:b/>
          <w:bCs/>
          <w:sz w:val="24"/>
          <w:szCs w:val="24"/>
          <w:highlight w:val="none"/>
          <w:lang w:val="en-US" w:eastAsia="zh-CN"/>
        </w:rPr>
        <w:t>对项目实施总体</w:t>
      </w:r>
      <w:r>
        <w:rPr>
          <w:rFonts w:hint="eastAsia" w:ascii="宋体" w:hAnsi="宋体" w:eastAsia="宋体" w:cs="宋体"/>
          <w:b/>
          <w:bCs/>
          <w:sz w:val="24"/>
          <w:szCs w:val="24"/>
          <w:highlight w:val="none"/>
        </w:rPr>
        <w:t>满意度情况</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jc w:val="both"/>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根据指标体系评分标准，</w:t>
      </w:r>
      <w:r>
        <w:rPr>
          <w:rFonts w:hint="eastAsia" w:cs="仿宋_GB2312"/>
          <w:color w:val="auto"/>
          <w:kern w:val="2"/>
          <w:sz w:val="32"/>
          <w:szCs w:val="32"/>
          <w:highlight w:val="none"/>
          <w:lang w:val="en-US" w:eastAsia="zh-CN" w:bidi="ar-SA"/>
        </w:rPr>
        <w:t>学校</w:t>
      </w:r>
      <w:r>
        <w:rPr>
          <w:rFonts w:hint="eastAsia" w:ascii="仿宋_GB2312" w:hAnsi="仿宋_GB2312" w:eastAsia="仿宋_GB2312" w:cs="仿宋_GB2312"/>
          <w:color w:val="auto"/>
          <w:kern w:val="2"/>
          <w:sz w:val="32"/>
          <w:szCs w:val="32"/>
          <w:highlight w:val="none"/>
          <w:lang w:val="en-US" w:eastAsia="zh-CN" w:bidi="ar-SA"/>
        </w:rPr>
        <w:t>师生满意度为</w:t>
      </w:r>
      <w:r>
        <w:rPr>
          <w:rFonts w:hint="eastAsia" w:ascii="Times New Roman" w:hAnsi="Times New Roman" w:eastAsia="仿宋_GB2312" w:cs="Times New Roman"/>
          <w:b w:val="0"/>
          <w:bCs w:val="0"/>
          <w:color w:val="auto"/>
          <w:kern w:val="2"/>
          <w:sz w:val="32"/>
          <w:szCs w:val="32"/>
          <w:highlight w:val="none"/>
          <w:lang w:val="en-US" w:eastAsia="zh-CN" w:bidi="ar-SA"/>
        </w:rPr>
        <w:t>93.50%。指标得分5分。</w:t>
      </w:r>
    </w:p>
    <w:p>
      <w:pPr>
        <w:pStyle w:val="3"/>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outlineLvl w:val="1"/>
        <w:rPr>
          <w:rFonts w:hint="eastAsia" w:ascii="黑体" w:hAnsi="黑体" w:eastAsia="黑体" w:cs="黑体"/>
          <w:b/>
          <w:bCs/>
          <w:color w:val="auto"/>
          <w:sz w:val="32"/>
          <w:szCs w:val="32"/>
          <w:highlight w:val="none"/>
          <w:lang w:val="en-US" w:eastAsia="zh-CN"/>
        </w:rPr>
      </w:pPr>
      <w:bookmarkStart w:id="321" w:name="_Toc19320"/>
      <w:bookmarkStart w:id="322" w:name="_Toc417"/>
      <w:bookmarkStart w:id="323" w:name="_Toc11242"/>
      <w:bookmarkStart w:id="324" w:name="_Toc32549"/>
      <w:r>
        <w:rPr>
          <w:rFonts w:hint="eastAsia" w:ascii="黑体" w:hAnsi="黑体" w:eastAsia="黑体" w:cs="黑体"/>
          <w:b/>
          <w:bCs/>
          <w:color w:val="auto"/>
          <w:sz w:val="32"/>
          <w:szCs w:val="32"/>
          <w:highlight w:val="none"/>
          <w:lang w:val="en-US" w:eastAsia="zh-CN"/>
        </w:rPr>
        <w:fldChar w:fldCharType="begin"/>
      </w:r>
      <w:r>
        <w:rPr>
          <w:rFonts w:hint="eastAsia" w:ascii="黑体" w:hAnsi="黑体" w:eastAsia="黑体" w:cs="黑体"/>
          <w:b/>
          <w:bCs/>
          <w:color w:val="auto"/>
          <w:sz w:val="32"/>
          <w:szCs w:val="32"/>
          <w:highlight w:val="none"/>
          <w:lang w:val="en-US" w:eastAsia="zh-CN"/>
        </w:rPr>
        <w:instrText xml:space="preserve"> HYPERLINK \l _Toc29493 </w:instrText>
      </w:r>
      <w:r>
        <w:rPr>
          <w:rFonts w:hint="eastAsia" w:ascii="黑体" w:hAnsi="黑体" w:eastAsia="黑体" w:cs="黑体"/>
          <w:b/>
          <w:bCs/>
          <w:color w:val="auto"/>
          <w:sz w:val="32"/>
          <w:szCs w:val="32"/>
          <w:highlight w:val="none"/>
          <w:lang w:val="en-US" w:eastAsia="zh-CN"/>
        </w:rPr>
        <w:fldChar w:fldCharType="separate"/>
      </w:r>
      <w:r>
        <w:rPr>
          <w:rFonts w:hint="eastAsia" w:cs="黑体"/>
          <w:b/>
          <w:bCs/>
          <w:color w:val="auto"/>
          <w:sz w:val="32"/>
          <w:szCs w:val="32"/>
          <w:highlight w:val="none"/>
          <w:lang w:val="en-US" w:eastAsia="zh-CN"/>
        </w:rPr>
        <w:t>六</w:t>
      </w:r>
      <w:r>
        <w:rPr>
          <w:rFonts w:hint="eastAsia" w:ascii="黑体" w:hAnsi="黑体" w:eastAsia="黑体" w:cs="黑体"/>
          <w:b/>
          <w:bCs/>
          <w:color w:val="auto"/>
          <w:sz w:val="32"/>
          <w:szCs w:val="32"/>
          <w:highlight w:val="none"/>
          <w:lang w:val="en-US" w:eastAsia="zh-CN"/>
        </w:rPr>
        <w:t>、</w:t>
      </w:r>
      <w:r>
        <w:rPr>
          <w:rFonts w:hint="eastAsia" w:cs="黑体"/>
          <w:b/>
          <w:bCs/>
          <w:color w:val="auto"/>
          <w:sz w:val="32"/>
          <w:szCs w:val="32"/>
          <w:highlight w:val="none"/>
          <w:lang w:val="en-US" w:eastAsia="zh-CN"/>
        </w:rPr>
        <w:t>项目</w:t>
      </w:r>
      <w:r>
        <w:rPr>
          <w:rFonts w:hint="eastAsia" w:ascii="黑体" w:hAnsi="黑体" w:eastAsia="黑体" w:cs="黑体"/>
          <w:b/>
          <w:bCs/>
          <w:color w:val="auto"/>
          <w:sz w:val="32"/>
          <w:szCs w:val="32"/>
          <w:highlight w:val="none"/>
          <w:lang w:val="en-US" w:eastAsia="zh-CN"/>
        </w:rPr>
        <w:t>主要经验及做法</w:t>
      </w:r>
      <w:r>
        <w:rPr>
          <w:rFonts w:hint="eastAsia" w:ascii="黑体" w:hAnsi="黑体" w:eastAsia="黑体" w:cs="黑体"/>
          <w:b/>
          <w:bCs/>
          <w:color w:val="auto"/>
          <w:sz w:val="32"/>
          <w:szCs w:val="32"/>
          <w:highlight w:val="none"/>
          <w:lang w:val="en-US" w:eastAsia="zh-CN"/>
        </w:rPr>
        <w:fldChar w:fldCharType="end"/>
      </w:r>
      <w:bookmarkEnd w:id="320"/>
      <w:bookmarkEnd w:id="321"/>
      <w:bookmarkEnd w:id="322"/>
      <w:bookmarkEnd w:id="323"/>
      <w:bookmarkEnd w:id="324"/>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eastAsia" w:eastAsia="楷体"/>
          <w:highlight w:val="none"/>
          <w:lang w:eastAsia="zh-CN"/>
        </w:rPr>
      </w:pPr>
      <w:bookmarkStart w:id="325" w:name="_Toc31291"/>
      <w:bookmarkStart w:id="326" w:name="_Toc15864"/>
      <w:bookmarkStart w:id="327" w:name="_Toc29995"/>
      <w:bookmarkStart w:id="328" w:name="_Toc21336"/>
      <w:r>
        <w:rPr>
          <w:rFonts w:hint="eastAsia"/>
          <w:highlight w:val="none"/>
        </w:rPr>
        <w:t>（</w:t>
      </w:r>
      <w:r>
        <w:rPr>
          <w:rFonts w:hint="eastAsia"/>
          <w:highlight w:val="none"/>
          <w:lang w:val="en-US" w:eastAsia="zh-CN"/>
        </w:rPr>
        <w:t>一</w:t>
      </w:r>
      <w:r>
        <w:rPr>
          <w:rFonts w:hint="eastAsia"/>
          <w:highlight w:val="none"/>
        </w:rPr>
        <w:t>）监管</w:t>
      </w:r>
      <w:r>
        <w:rPr>
          <w:rFonts w:hint="eastAsia"/>
          <w:highlight w:val="none"/>
          <w:lang w:eastAsia="zh-CN"/>
        </w:rPr>
        <w:t>有力</w:t>
      </w:r>
      <w:r>
        <w:rPr>
          <w:rFonts w:hint="eastAsia"/>
          <w:highlight w:val="none"/>
        </w:rPr>
        <w:t>，政府购买服务效益</w:t>
      </w:r>
      <w:bookmarkEnd w:id="325"/>
      <w:r>
        <w:rPr>
          <w:rFonts w:hint="eastAsia"/>
          <w:highlight w:val="none"/>
          <w:lang w:eastAsia="zh-CN"/>
        </w:rPr>
        <w:t>显著</w:t>
      </w:r>
      <w:bookmarkEnd w:id="326"/>
      <w:bookmarkEnd w:id="327"/>
      <w:bookmarkEnd w:id="328"/>
    </w:p>
    <w:p>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576" w:lineRule="exact"/>
        <w:ind w:left="0" w:leftChars="0" w:right="0" w:firstLine="619"/>
        <w:jc w:val="both"/>
        <w:textAlignment w:val="auto"/>
        <w:rPr>
          <w:rFonts w:hint="default" w:cs="仿宋_GB2312"/>
          <w:color w:val="auto"/>
          <w:kern w:val="2"/>
          <w:sz w:val="32"/>
          <w:szCs w:val="32"/>
          <w:highlight w:val="none"/>
          <w:lang w:val="en-US" w:eastAsia="zh-CN" w:bidi="ar-SA"/>
        </w:rPr>
      </w:pPr>
      <w:r>
        <w:rPr>
          <w:rFonts w:hint="default" w:cs="仿宋_GB2312"/>
          <w:color w:val="auto"/>
          <w:kern w:val="2"/>
          <w:sz w:val="32"/>
          <w:szCs w:val="32"/>
          <w:highlight w:val="none"/>
          <w:lang w:val="en-US" w:eastAsia="zh-CN" w:bidi="ar-SA"/>
        </w:rPr>
        <w:t>城中区教育局作为项目实施单位，联合城中区委政法委、城中区检察院、城中区公安分局等有关部门对校园周边治安秩序进行定期检查整治，有效提高了校园保安服务质量；城中区教育局购买校园</w:t>
      </w:r>
      <w:r>
        <w:rPr>
          <w:rFonts w:hint="eastAsia" w:cs="仿宋_GB2312"/>
          <w:color w:val="auto"/>
          <w:kern w:val="2"/>
          <w:sz w:val="32"/>
          <w:szCs w:val="32"/>
          <w:highlight w:val="none"/>
          <w:lang w:val="en-US" w:eastAsia="zh-CN" w:bidi="ar-SA"/>
        </w:rPr>
        <w:t>保安</w:t>
      </w:r>
      <w:r>
        <w:rPr>
          <w:rFonts w:hint="default" w:cs="仿宋_GB2312"/>
          <w:color w:val="auto"/>
          <w:kern w:val="2"/>
          <w:sz w:val="32"/>
          <w:szCs w:val="32"/>
          <w:highlight w:val="none"/>
          <w:lang w:val="en-US" w:eastAsia="zh-CN" w:bidi="ar-SA"/>
        </w:rPr>
        <w:t>服务合法合规，采购过程公开透明，在一定程度上提高政府购买服务效益。</w:t>
      </w:r>
    </w:p>
    <w:p>
      <w:pPr>
        <w:pStyle w:val="4"/>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3" w:firstLineChars="200"/>
        <w:textAlignment w:val="auto"/>
        <w:rPr>
          <w:rFonts w:hint="eastAsia"/>
          <w:lang w:val="en-US" w:eastAsia="zh-CN"/>
        </w:rPr>
      </w:pPr>
      <w:bookmarkStart w:id="329" w:name="_Toc12750"/>
      <w:bookmarkStart w:id="330" w:name="_Toc27870"/>
      <w:bookmarkStart w:id="331" w:name="_Toc10421"/>
      <w:bookmarkStart w:id="332" w:name="_Toc4922"/>
      <w:r>
        <w:rPr>
          <w:rFonts w:hint="eastAsia"/>
          <w:lang w:val="en-US" w:eastAsia="zh-CN"/>
        </w:rPr>
        <w:t>（二）思想教育有效落实，保安人员工作态度</w:t>
      </w:r>
      <w:bookmarkEnd w:id="329"/>
      <w:r>
        <w:rPr>
          <w:rFonts w:hint="eastAsia"/>
          <w:lang w:val="en-US" w:eastAsia="zh-CN"/>
        </w:rPr>
        <w:t>端正</w:t>
      </w:r>
      <w:bookmarkEnd w:id="330"/>
      <w:bookmarkEnd w:id="331"/>
      <w:bookmarkEnd w:id="332"/>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eastAsia"/>
          <w:lang w:val="en-US" w:eastAsia="zh-CN"/>
        </w:rPr>
      </w:pPr>
      <w:r>
        <w:rPr>
          <w:rFonts w:hint="default" w:ascii="仿宋_GB2312" w:hAnsi="仿宋_GB2312" w:eastAsia="仿宋_GB2312" w:cs="仿宋_GB2312"/>
          <w:color w:val="auto"/>
          <w:kern w:val="2"/>
          <w:sz w:val="32"/>
          <w:szCs w:val="32"/>
          <w:highlight w:val="none"/>
          <w:lang w:val="en-US" w:eastAsia="zh-CN" w:bidi="ar-SA"/>
        </w:rPr>
        <w:t>青海宏创保安服务有限责任公司</w:t>
      </w:r>
      <w:r>
        <w:rPr>
          <w:rFonts w:hint="eastAsia" w:ascii="仿宋_GB2312" w:eastAsia="仿宋_GB2312"/>
          <w:highlight w:val="none"/>
          <w:lang w:val="en-US" w:eastAsia="zh-CN"/>
        </w:rPr>
        <w:t>派驻</w:t>
      </w:r>
      <w:r>
        <w:rPr>
          <w:rFonts w:hint="eastAsia" w:ascii="仿宋_GB2312" w:eastAsia="仿宋_GB2312"/>
          <w:lang w:val="en-US" w:eastAsia="zh-CN"/>
        </w:rPr>
        <w:t>学校的保安人员，牢固树立起为校园安全服务意识，完成保安工作中的具体要求任务，努力做到教育局领导放心，学校满意，校园秩序稳定；认真完成安保任务，落实具体工作，自觉遵守保安管理条例，做到不迟到，不脱岗，上岗时着装严整，举止文明，自觉树立保安人员的形象。</w:t>
      </w:r>
    </w:p>
    <w:p>
      <w:pPr>
        <w:pStyle w:val="3"/>
        <w:keepNext w:val="0"/>
        <w:keepLines w:val="0"/>
        <w:pageBreakBefore w:val="0"/>
        <w:widowControl w:val="0"/>
        <w:numPr>
          <w:ilvl w:val="0"/>
          <w:numId w:val="4"/>
        </w:numPr>
        <w:shd w:val="clear"/>
        <w:kinsoku/>
        <w:wordWrap/>
        <w:overflowPunct/>
        <w:topLinePunct w:val="0"/>
        <w:autoSpaceDE/>
        <w:autoSpaceDN/>
        <w:bidi w:val="0"/>
        <w:adjustRightInd w:val="0"/>
        <w:snapToGrid w:val="0"/>
        <w:spacing w:line="576" w:lineRule="exact"/>
        <w:ind w:left="0" w:leftChars="0"/>
        <w:jc w:val="both"/>
        <w:textAlignment w:val="auto"/>
        <w:outlineLvl w:val="1"/>
        <w:rPr>
          <w:rFonts w:hint="eastAsia" w:ascii="黑体" w:hAnsi="黑体" w:eastAsia="黑体" w:cs="黑体"/>
          <w:b/>
          <w:bCs/>
          <w:color w:val="auto"/>
          <w:sz w:val="32"/>
          <w:szCs w:val="32"/>
          <w:highlight w:val="none"/>
          <w:lang w:val="en-US" w:eastAsia="zh-CN"/>
        </w:rPr>
      </w:pPr>
      <w:bookmarkStart w:id="333" w:name="_Toc19167"/>
      <w:bookmarkStart w:id="334" w:name="_Toc29913"/>
      <w:bookmarkStart w:id="335" w:name="_Toc9863"/>
      <w:bookmarkStart w:id="336" w:name="_Toc19505"/>
      <w:bookmarkStart w:id="337" w:name="_Toc13527"/>
      <w:r>
        <w:rPr>
          <w:rFonts w:hint="eastAsia" w:ascii="黑体" w:hAnsi="黑体" w:eastAsia="黑体" w:cs="黑体"/>
          <w:b/>
          <w:bCs/>
          <w:color w:val="auto"/>
          <w:sz w:val="32"/>
          <w:szCs w:val="32"/>
          <w:highlight w:val="none"/>
          <w:lang w:val="en-US" w:eastAsia="zh-CN"/>
        </w:rPr>
        <w:t>存在的问题及原因分析</w:t>
      </w:r>
      <w:bookmarkEnd w:id="333"/>
      <w:bookmarkEnd w:id="334"/>
      <w:bookmarkEnd w:id="335"/>
      <w:bookmarkEnd w:id="336"/>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lang w:val="en-US" w:eastAsia="zh-CN"/>
        </w:rPr>
      </w:pPr>
      <w:bookmarkStart w:id="338" w:name="_Toc12338"/>
      <w:bookmarkStart w:id="339" w:name="_Toc21409"/>
      <w:bookmarkStart w:id="340" w:name="_Toc1483"/>
      <w:bookmarkStart w:id="341" w:name="_Toc10247"/>
      <w:r>
        <w:rPr>
          <w:rFonts w:hint="eastAsia"/>
          <w:lang w:val="en-US" w:eastAsia="zh-CN"/>
        </w:rPr>
        <w:t>（一）财政预算测算依据不充分</w:t>
      </w:r>
      <w:bookmarkEnd w:id="338"/>
      <w:bookmarkEnd w:id="339"/>
      <w:bookmarkEnd w:id="340"/>
      <w:bookmarkEnd w:id="341"/>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highlight w:val="yellow"/>
          <w:lang w:val="en-US" w:eastAsia="zh-CN"/>
        </w:rPr>
      </w:pPr>
      <w:r>
        <w:rPr>
          <w:rFonts w:hint="eastAsia" w:cs="仿宋_GB2312"/>
          <w:b w:val="0"/>
          <w:bCs w:val="0"/>
          <w:color w:val="auto"/>
          <w:kern w:val="0"/>
          <w:sz w:val="32"/>
          <w:szCs w:val="32"/>
          <w:highlight w:val="none"/>
          <w:lang w:val="en-US" w:eastAsia="zh-CN" w:bidi="ar-SA"/>
        </w:rPr>
        <w:t>城中区教育局申请</w:t>
      </w:r>
      <w:r>
        <w:rPr>
          <w:rFonts w:hint="eastAsia" w:ascii="Times New Roman" w:hAnsi="Times New Roman" w:eastAsia="仿宋_GB2312" w:cs="Times New Roman"/>
          <w:b w:val="0"/>
          <w:bCs w:val="0"/>
          <w:color w:val="auto"/>
          <w:kern w:val="2"/>
          <w:sz w:val="32"/>
          <w:szCs w:val="32"/>
          <w:highlight w:val="none"/>
          <w:lang w:val="en-US" w:eastAsia="zh-CN" w:bidi="ar-SA"/>
        </w:rPr>
        <w:t>2021年购买保安服务预算资金231.84万元，用于84名保安工资支出，每名保安2300元/月。但城中区教育局申请预算2300元</w:t>
      </w:r>
      <w:r>
        <w:rPr>
          <w:rFonts w:hint="eastAsia" w:cs="仿宋_GB2312"/>
          <w:b w:val="0"/>
          <w:bCs w:val="0"/>
          <w:color w:val="auto"/>
          <w:kern w:val="0"/>
          <w:sz w:val="32"/>
          <w:szCs w:val="32"/>
          <w:highlight w:val="none"/>
          <w:lang w:val="en-US" w:eastAsia="zh-CN" w:bidi="ar-SA"/>
        </w:rPr>
        <w:t>/月工资标准无依据，预算测算依据不充分，不能确定资金量是否与工作任务相匹配。</w:t>
      </w:r>
    </w:p>
    <w:p>
      <w:pPr>
        <w:pStyle w:val="4"/>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color w:val="auto"/>
          <w:lang w:val="en-US" w:eastAsia="zh-CN"/>
        </w:rPr>
      </w:pPr>
      <w:bookmarkStart w:id="342" w:name="_Toc9227"/>
      <w:bookmarkStart w:id="343" w:name="_Toc9842"/>
      <w:bookmarkStart w:id="344" w:name="_Toc1017"/>
      <w:bookmarkStart w:id="345" w:name="_Toc11196"/>
      <w:r>
        <w:rPr>
          <w:rFonts w:hint="eastAsia"/>
          <w:color w:val="auto"/>
          <w:lang w:val="en-US" w:eastAsia="zh-CN"/>
        </w:rPr>
        <w:t>（二）资金支出不合规</w:t>
      </w:r>
      <w:bookmarkEnd w:id="342"/>
      <w:bookmarkEnd w:id="343"/>
      <w:bookmarkEnd w:id="344"/>
      <w:bookmarkEnd w:id="345"/>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lang w:val="en-US" w:eastAsia="zh-CN"/>
        </w:rPr>
      </w:pPr>
      <w:r>
        <w:rPr>
          <w:rFonts w:hint="eastAsia" w:ascii="仿宋_GB2312" w:eastAsia="仿宋_GB2312"/>
          <w:lang w:val="en-US" w:eastAsia="zh-CN"/>
        </w:rPr>
        <w:t>经现场勘查及核查相关资料、会计凭证，</w:t>
      </w:r>
      <w:r>
        <w:rPr>
          <w:rFonts w:hint="eastAsia" w:cs="仿宋_GB2312"/>
          <w:b w:val="0"/>
          <w:bCs w:val="0"/>
          <w:color w:val="auto"/>
          <w:kern w:val="0"/>
          <w:sz w:val="32"/>
          <w:szCs w:val="32"/>
          <w:highlight w:val="none"/>
          <w:lang w:val="en-US" w:eastAsia="zh-CN" w:bidi="ar-SA"/>
        </w:rPr>
        <w:t>城中区教育局申请</w:t>
      </w:r>
      <w:r>
        <w:rPr>
          <w:rFonts w:hint="eastAsia" w:ascii="Times New Roman" w:hAnsi="Times New Roman" w:eastAsia="仿宋_GB2312" w:cs="Times New Roman"/>
          <w:b w:val="0"/>
          <w:bCs w:val="0"/>
          <w:color w:val="auto"/>
          <w:kern w:val="2"/>
          <w:sz w:val="32"/>
          <w:szCs w:val="32"/>
          <w:highlight w:val="none"/>
          <w:lang w:val="en-US" w:eastAsia="zh-CN" w:bidi="ar-SA"/>
        </w:rPr>
        <w:t>2021年校园保安专项资金时，资金仅用于84名保安工资，每名保安2300元/月，共计231.84</w:t>
      </w:r>
      <w:r>
        <w:rPr>
          <w:rFonts w:hint="eastAsia" w:cs="仿宋_GB2312"/>
          <w:b w:val="0"/>
          <w:bCs w:val="0"/>
          <w:color w:val="auto"/>
          <w:kern w:val="0"/>
          <w:sz w:val="32"/>
          <w:szCs w:val="32"/>
          <w:highlight w:val="none"/>
          <w:lang w:val="en-US" w:eastAsia="zh-CN" w:bidi="ar-SA"/>
        </w:rPr>
        <w:t>万元。</w:t>
      </w:r>
      <w:r>
        <w:rPr>
          <w:rFonts w:hint="eastAsia" w:ascii="仿宋_GB2312" w:eastAsia="仿宋_GB2312"/>
          <w:lang w:val="en-US" w:eastAsia="zh-CN"/>
        </w:rPr>
        <w:t>但青海宏创保安服务有限责任公司实际支出资金时部分用于支付保洁工资和保险费、培训费、行政办公费等其他费用，资金支出未全部用于保安工资，资金支出不符合预算申请及批复的用途。</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eastAsia"/>
          <w:lang w:val="en-US" w:eastAsia="zh-CN"/>
        </w:rPr>
      </w:pPr>
      <w:bookmarkStart w:id="346" w:name="_Toc2003"/>
      <w:bookmarkStart w:id="347" w:name="_Toc16791"/>
      <w:bookmarkStart w:id="348" w:name="_Toc8084"/>
      <w:bookmarkStart w:id="349" w:name="_Toc22088"/>
      <w:r>
        <w:rPr>
          <w:rFonts w:hint="eastAsia"/>
          <w:lang w:val="en-US" w:eastAsia="zh-CN"/>
        </w:rPr>
        <w:t>（三）未制定实施细则、专项资金管理办法</w:t>
      </w:r>
      <w:bookmarkEnd w:id="346"/>
      <w:bookmarkEnd w:id="347"/>
      <w:bookmarkEnd w:id="348"/>
      <w:bookmarkEnd w:id="349"/>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576" w:lineRule="exact"/>
        <w:ind w:left="0" w:leftChars="0" w:right="0" w:firstLine="560"/>
        <w:jc w:val="both"/>
        <w:textAlignment w:val="auto"/>
        <w:rPr>
          <w:rFonts w:hint="default" w:ascii="仿宋_GB2312" w:hAnsi="仿宋_GB2312" w:eastAsia="仿宋_GB2312" w:cs="仿宋_GB2312"/>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城中区教育局作为项目实施主管单位，未制定校园保安管理细则，未明确保安公司、教育局、各学校、保安人员的主要职责，以及校园保安待遇及</w:t>
      </w:r>
      <w:r>
        <w:rPr>
          <w:rFonts w:hint="default" w:cs="仿宋_GB2312"/>
          <w:color w:val="auto"/>
          <w:kern w:val="2"/>
          <w:sz w:val="32"/>
          <w:szCs w:val="32"/>
          <w:highlight w:val="none"/>
          <w:lang w:val="en-US" w:eastAsia="zh-CN" w:bidi="ar-SA"/>
        </w:rPr>
        <w:t>考核</w:t>
      </w:r>
      <w:r>
        <w:rPr>
          <w:rFonts w:hint="default" w:ascii="仿宋_GB2312" w:hAnsi="仿宋_GB2312" w:eastAsia="仿宋_GB2312" w:cs="仿宋_GB2312"/>
          <w:color w:val="auto"/>
          <w:kern w:val="2"/>
          <w:sz w:val="32"/>
          <w:szCs w:val="32"/>
          <w:highlight w:val="none"/>
          <w:lang w:val="en-US" w:eastAsia="zh-CN" w:bidi="ar-SA"/>
        </w:rPr>
        <w:t>细则等；未建立专项资金管理制度，没有形成一套完整的制度体系，无法从</w:t>
      </w:r>
      <w:r>
        <w:rPr>
          <w:rFonts w:hint="eastAsia" w:cs="仿宋_GB2312"/>
          <w:color w:val="auto"/>
          <w:kern w:val="2"/>
          <w:sz w:val="32"/>
          <w:szCs w:val="32"/>
          <w:highlight w:val="none"/>
          <w:lang w:val="en-US" w:eastAsia="zh-CN" w:bidi="ar-SA"/>
        </w:rPr>
        <w:t>资金</w:t>
      </w:r>
      <w:r>
        <w:rPr>
          <w:rFonts w:hint="default" w:ascii="仿宋_GB2312" w:hAnsi="仿宋_GB2312" w:eastAsia="仿宋_GB2312" w:cs="仿宋_GB2312"/>
          <w:color w:val="auto"/>
          <w:kern w:val="2"/>
          <w:sz w:val="32"/>
          <w:szCs w:val="32"/>
          <w:highlight w:val="none"/>
          <w:lang w:val="en-US" w:eastAsia="zh-CN" w:bidi="ar-SA"/>
        </w:rPr>
        <w:t>申报、分类管理、项目预算、资金管理、项目实施、监督各环节监督项目实施，不利于财政资金的</w:t>
      </w:r>
      <w:r>
        <w:rPr>
          <w:rFonts w:hint="eastAsia" w:cs="仿宋_GB2312"/>
          <w:color w:val="auto"/>
          <w:kern w:val="2"/>
          <w:sz w:val="32"/>
          <w:szCs w:val="32"/>
          <w:highlight w:val="none"/>
          <w:lang w:val="en-US" w:eastAsia="zh-CN" w:bidi="ar-SA"/>
        </w:rPr>
        <w:t>安全高效</w:t>
      </w:r>
      <w:r>
        <w:rPr>
          <w:rFonts w:hint="default" w:ascii="仿宋_GB2312" w:hAnsi="仿宋_GB2312" w:eastAsia="仿宋_GB2312" w:cs="仿宋_GB2312"/>
          <w:color w:val="auto"/>
          <w:kern w:val="2"/>
          <w:sz w:val="32"/>
          <w:szCs w:val="32"/>
          <w:highlight w:val="none"/>
          <w:lang w:val="en-US" w:eastAsia="zh-CN" w:bidi="ar-SA"/>
        </w:rPr>
        <w:t>使用。</w:t>
      </w:r>
      <w:bookmarkStart w:id="350" w:name="_Toc10543"/>
      <w:bookmarkStart w:id="351" w:name="_Toc22502"/>
      <w:bookmarkStart w:id="352" w:name="_Toc8088"/>
      <w:bookmarkStart w:id="353" w:name="_Toc8035"/>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Autospacing="0" w:afterAutospacing="0" w:line="576" w:lineRule="exact"/>
        <w:ind w:left="0" w:leftChars="0" w:right="0" w:firstLine="560"/>
        <w:jc w:val="both"/>
        <w:textAlignment w:val="auto"/>
        <w:rPr>
          <w:rFonts w:hint="eastAsia" w:ascii="仿宋_GB2312" w:hAnsi="仿宋_GB2312" w:eastAsia="楷体" w:cs="Times New Roman"/>
          <w:b/>
          <w:kern w:val="2"/>
          <w:sz w:val="32"/>
          <w:szCs w:val="24"/>
          <w:lang w:val="en-US" w:eastAsia="zh-CN" w:bidi="ar-SA"/>
        </w:rPr>
      </w:pPr>
      <w:r>
        <w:rPr>
          <w:rFonts w:hint="eastAsia" w:ascii="仿宋_GB2312" w:hAnsi="仿宋_GB2312" w:eastAsia="楷体" w:cs="Times New Roman"/>
          <w:b/>
          <w:kern w:val="2"/>
          <w:sz w:val="32"/>
          <w:szCs w:val="24"/>
          <w:lang w:val="en-US" w:eastAsia="zh-CN" w:bidi="ar-SA"/>
        </w:rPr>
        <w:t>（四）保安工资未按预算批复标准足额发放</w:t>
      </w:r>
      <w:bookmarkEnd w:id="350"/>
      <w:bookmarkEnd w:id="351"/>
      <w:bookmarkEnd w:id="352"/>
      <w:bookmarkEnd w:id="353"/>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default" w:ascii="仿宋_GB2312" w:hAnsi="仿宋_GB2312" w:eastAsia="仿宋_GB2312" w:cs="仿宋_GB2312"/>
          <w:color w:val="auto"/>
          <w:kern w:val="2"/>
          <w:sz w:val="32"/>
          <w:szCs w:val="32"/>
          <w:highlight w:val="none"/>
          <w:lang w:val="en-US" w:eastAsia="zh-CN" w:bidi="ar-SA"/>
        </w:rPr>
        <w:t>经查阅城中区教育局、青海宏创保安服务有限责任公司提供的相关资料，保安实际发放工资标准不一致，</w:t>
      </w:r>
      <w:r>
        <w:rPr>
          <w:rFonts w:hint="eastAsia" w:cs="仿宋_GB2312"/>
          <w:color w:val="auto"/>
          <w:kern w:val="2"/>
          <w:sz w:val="32"/>
          <w:szCs w:val="32"/>
          <w:highlight w:val="none"/>
          <w:lang w:val="en-US" w:eastAsia="zh-CN" w:bidi="ar-SA"/>
        </w:rPr>
        <w:t>例如</w:t>
      </w:r>
      <w:r>
        <w:rPr>
          <w:rFonts w:hint="default" w:ascii="Times New Roman" w:hAnsi="Times New Roman" w:eastAsia="仿宋_GB2312" w:cs="Times New Roman"/>
          <w:b w:val="0"/>
          <w:bCs w:val="0"/>
          <w:color w:val="auto"/>
          <w:kern w:val="2"/>
          <w:sz w:val="32"/>
          <w:szCs w:val="32"/>
          <w:highlight w:val="none"/>
          <w:lang w:val="en-US" w:eastAsia="zh-CN" w:bidi="ar-SA"/>
        </w:rPr>
        <w:t>1926</w:t>
      </w:r>
      <w:r>
        <w:rPr>
          <w:rFonts w:hint="eastAsia" w:ascii="Times New Roman" w:hAnsi="Times New Roman" w:eastAsia="仿宋_GB2312" w:cs="Times New Roman"/>
          <w:b w:val="0"/>
          <w:bCs w:val="0"/>
          <w:color w:val="auto"/>
          <w:kern w:val="2"/>
          <w:sz w:val="32"/>
          <w:szCs w:val="32"/>
          <w:highlight w:val="none"/>
          <w:lang w:val="en-US" w:eastAsia="zh-CN" w:bidi="ar-SA"/>
        </w:rPr>
        <w:t>元/月、</w:t>
      </w:r>
      <w:r>
        <w:rPr>
          <w:rFonts w:hint="default" w:ascii="Times New Roman" w:hAnsi="Times New Roman" w:eastAsia="仿宋_GB2312" w:cs="Times New Roman"/>
          <w:b w:val="0"/>
          <w:bCs w:val="0"/>
          <w:color w:val="auto"/>
          <w:kern w:val="2"/>
          <w:sz w:val="32"/>
          <w:szCs w:val="32"/>
          <w:highlight w:val="none"/>
          <w:lang w:val="en-US" w:eastAsia="zh-CN" w:bidi="ar-SA"/>
        </w:rPr>
        <w:t>1920</w:t>
      </w:r>
      <w:r>
        <w:rPr>
          <w:rFonts w:hint="eastAsia" w:ascii="Times New Roman" w:hAnsi="Times New Roman" w:eastAsia="仿宋_GB2312" w:cs="Times New Roman"/>
          <w:b w:val="0"/>
          <w:bCs w:val="0"/>
          <w:color w:val="auto"/>
          <w:kern w:val="2"/>
          <w:sz w:val="32"/>
          <w:szCs w:val="32"/>
          <w:highlight w:val="none"/>
          <w:lang w:val="en-US" w:eastAsia="zh-CN" w:bidi="ar-SA"/>
        </w:rPr>
        <w:t>元/月、</w:t>
      </w:r>
      <w:r>
        <w:rPr>
          <w:rFonts w:hint="default" w:ascii="Times New Roman" w:hAnsi="Times New Roman" w:eastAsia="仿宋_GB2312" w:cs="Times New Roman"/>
          <w:b w:val="0"/>
          <w:bCs w:val="0"/>
          <w:color w:val="auto"/>
          <w:kern w:val="2"/>
          <w:sz w:val="32"/>
          <w:szCs w:val="32"/>
          <w:highlight w:val="none"/>
          <w:lang w:val="en-US" w:eastAsia="zh-CN" w:bidi="ar-SA"/>
        </w:rPr>
        <w:t>1900</w:t>
      </w:r>
      <w:r>
        <w:rPr>
          <w:rFonts w:hint="eastAsia" w:ascii="Times New Roman" w:hAnsi="Times New Roman" w:eastAsia="仿宋_GB2312" w:cs="Times New Roman"/>
          <w:b w:val="0"/>
          <w:bCs w:val="0"/>
          <w:color w:val="auto"/>
          <w:kern w:val="2"/>
          <w:sz w:val="32"/>
          <w:szCs w:val="32"/>
          <w:highlight w:val="none"/>
          <w:lang w:val="en-US" w:eastAsia="zh-CN" w:bidi="ar-SA"/>
        </w:rPr>
        <w:t>元/月、</w:t>
      </w:r>
      <w:r>
        <w:rPr>
          <w:rFonts w:hint="default" w:ascii="Times New Roman" w:hAnsi="Times New Roman" w:eastAsia="仿宋_GB2312" w:cs="Times New Roman"/>
          <w:b w:val="0"/>
          <w:bCs w:val="0"/>
          <w:color w:val="auto"/>
          <w:kern w:val="2"/>
          <w:sz w:val="32"/>
          <w:szCs w:val="32"/>
          <w:highlight w:val="none"/>
          <w:lang w:val="en-US" w:eastAsia="zh-CN" w:bidi="ar-SA"/>
        </w:rPr>
        <w:t>1780</w:t>
      </w:r>
      <w:r>
        <w:rPr>
          <w:rFonts w:hint="eastAsia" w:ascii="Times New Roman" w:hAnsi="Times New Roman" w:eastAsia="仿宋_GB2312" w:cs="Times New Roman"/>
          <w:b w:val="0"/>
          <w:bCs w:val="0"/>
          <w:color w:val="auto"/>
          <w:kern w:val="2"/>
          <w:sz w:val="32"/>
          <w:szCs w:val="32"/>
          <w:highlight w:val="none"/>
          <w:lang w:val="en-US" w:eastAsia="zh-CN" w:bidi="ar-SA"/>
        </w:rPr>
        <w:t>元/月等，</w:t>
      </w:r>
      <w:r>
        <w:rPr>
          <w:rFonts w:hint="default" w:ascii="Times New Roman" w:hAnsi="Times New Roman" w:eastAsia="仿宋_GB2312" w:cs="Times New Roman"/>
          <w:b w:val="0"/>
          <w:bCs w:val="0"/>
          <w:color w:val="auto"/>
          <w:kern w:val="2"/>
          <w:sz w:val="32"/>
          <w:szCs w:val="32"/>
          <w:highlight w:val="none"/>
          <w:lang w:val="en-US" w:eastAsia="zh-CN" w:bidi="ar-SA"/>
        </w:rPr>
        <w:t>均低于申请资金预算2300元/月。</w:t>
      </w:r>
    </w:p>
    <w:p>
      <w:pPr>
        <w:pStyle w:val="3"/>
        <w:keepNext w:val="0"/>
        <w:keepLines w:val="0"/>
        <w:pageBreakBefore w:val="0"/>
        <w:widowControl w:val="0"/>
        <w:shd w:val="clear"/>
        <w:kinsoku/>
        <w:wordWrap/>
        <w:overflowPunct/>
        <w:topLinePunct w:val="0"/>
        <w:autoSpaceDE/>
        <w:autoSpaceDN/>
        <w:bidi w:val="0"/>
        <w:adjustRightInd w:val="0"/>
        <w:snapToGrid w:val="0"/>
        <w:spacing w:beforeAutospacing="0" w:afterAutospacing="0" w:line="576" w:lineRule="exact"/>
        <w:ind w:left="0" w:leftChars="0" w:firstLine="643" w:firstLineChars="200"/>
        <w:jc w:val="both"/>
        <w:textAlignment w:val="auto"/>
        <w:outlineLvl w:val="1"/>
        <w:rPr>
          <w:rFonts w:hint="eastAsia" w:cs="黑体"/>
          <w:b/>
          <w:bCs/>
          <w:color w:val="auto"/>
          <w:sz w:val="32"/>
          <w:szCs w:val="32"/>
          <w:highlight w:val="yellow"/>
          <w:lang w:val="en-US" w:eastAsia="zh-CN"/>
        </w:rPr>
      </w:pPr>
      <w:bookmarkStart w:id="354" w:name="_Toc11230"/>
      <w:bookmarkStart w:id="355" w:name="_Toc10365"/>
      <w:bookmarkStart w:id="356" w:name="_Toc10047"/>
      <w:bookmarkStart w:id="357" w:name="_Toc19784"/>
      <w:r>
        <w:rPr>
          <w:rFonts w:hint="eastAsia" w:ascii="黑体" w:hAnsi="黑体" w:eastAsia="黑体" w:cs="黑体"/>
          <w:b/>
          <w:bCs/>
          <w:color w:val="FF0000"/>
          <w:sz w:val="32"/>
          <w:szCs w:val="32"/>
          <w:highlight w:val="none"/>
          <w:lang w:val="en-US" w:eastAsia="zh-CN"/>
        </w:rPr>
        <w:fldChar w:fldCharType="begin"/>
      </w:r>
      <w:r>
        <w:rPr>
          <w:rFonts w:hint="eastAsia" w:ascii="黑体" w:hAnsi="黑体" w:eastAsia="黑体" w:cs="黑体"/>
          <w:b/>
          <w:bCs/>
          <w:color w:val="FF0000"/>
          <w:sz w:val="32"/>
          <w:szCs w:val="32"/>
          <w:highlight w:val="none"/>
          <w:lang w:val="en-US" w:eastAsia="zh-CN"/>
        </w:rPr>
        <w:instrText xml:space="preserve"> HYPERLINK \l _Toc26431 </w:instrText>
      </w:r>
      <w:r>
        <w:rPr>
          <w:rFonts w:hint="eastAsia" w:ascii="黑体" w:hAnsi="黑体" w:eastAsia="黑体" w:cs="黑体"/>
          <w:b/>
          <w:bCs/>
          <w:color w:val="FF0000"/>
          <w:sz w:val="32"/>
          <w:szCs w:val="32"/>
          <w:highlight w:val="none"/>
          <w:lang w:val="en-US" w:eastAsia="zh-CN"/>
        </w:rPr>
        <w:fldChar w:fldCharType="separate"/>
      </w:r>
      <w:r>
        <w:rPr>
          <w:rFonts w:hint="eastAsia" w:cs="黑体"/>
          <w:b/>
          <w:bCs/>
          <w:color w:val="auto"/>
          <w:sz w:val="32"/>
          <w:szCs w:val="32"/>
          <w:highlight w:val="none"/>
          <w:lang w:val="en-US" w:eastAsia="zh-CN"/>
        </w:rPr>
        <w:t>八</w:t>
      </w:r>
      <w:r>
        <w:rPr>
          <w:rFonts w:hint="eastAsia" w:ascii="黑体" w:hAnsi="黑体" w:eastAsia="黑体" w:cs="黑体"/>
          <w:b/>
          <w:bCs/>
          <w:color w:val="auto"/>
          <w:sz w:val="32"/>
          <w:szCs w:val="32"/>
          <w:highlight w:val="none"/>
          <w:lang w:val="en-US" w:eastAsia="zh-CN"/>
        </w:rPr>
        <w:t>、</w:t>
      </w:r>
      <w:r>
        <w:rPr>
          <w:rFonts w:hint="eastAsia" w:cs="黑体"/>
          <w:b/>
          <w:bCs/>
          <w:color w:val="auto"/>
          <w:sz w:val="32"/>
          <w:szCs w:val="32"/>
          <w:highlight w:val="none"/>
          <w:lang w:val="en-US" w:eastAsia="zh-CN"/>
        </w:rPr>
        <w:t>有关建议</w:t>
      </w:r>
      <w:bookmarkEnd w:id="354"/>
      <w:bookmarkEnd w:id="355"/>
      <w:bookmarkEnd w:id="356"/>
      <w:bookmarkEnd w:id="357"/>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default"/>
          <w:highlight w:val="none"/>
          <w:lang w:val="en-US" w:eastAsia="zh-CN"/>
        </w:rPr>
      </w:pPr>
      <w:bookmarkStart w:id="358" w:name="_Toc6302"/>
      <w:bookmarkStart w:id="359" w:name="_Toc6930"/>
      <w:bookmarkStart w:id="360" w:name="_Toc23393"/>
      <w:bookmarkStart w:id="361" w:name="_Toc3086"/>
      <w:r>
        <w:rPr>
          <w:rFonts w:hint="eastAsia"/>
          <w:highlight w:val="none"/>
          <w:lang w:val="en-US" w:eastAsia="zh-CN"/>
        </w:rPr>
        <w:t>（一）明确预算申请测算依据，提高资金使用效率</w:t>
      </w:r>
      <w:bookmarkEnd w:id="358"/>
      <w:bookmarkEnd w:id="359"/>
      <w:bookmarkEnd w:id="360"/>
      <w:bookmarkEnd w:id="361"/>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eastAsia" w:ascii="仿宋_GB2312" w:hAnsi="仿宋_GB2312" w:eastAsia="仿宋_GB2312" w:cs="仿宋_GB2312"/>
          <w:color w:val="0000FF"/>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根据《中华人民共和国预算法实施条例》：“第二十一条 地方各级政府财政部门应当根据财政部制定的预算支出标准，结合本地区经济社会发展水平、财力状况等，制定本地区或者本级的预算支出标准。”为了加强财政资金拨付管理，保障资金使用安全，提高财政资金使用效率，城中区教育局作为预算单位，申请</w:t>
      </w:r>
      <w:r>
        <w:rPr>
          <w:rFonts w:hint="eastAsia" w:cs="仿宋_GB2312"/>
          <w:color w:val="auto"/>
          <w:kern w:val="2"/>
          <w:sz w:val="32"/>
          <w:szCs w:val="32"/>
          <w:highlight w:val="none"/>
          <w:lang w:val="en-US" w:eastAsia="zh-CN" w:bidi="ar-SA"/>
        </w:rPr>
        <w:t>校园保安专项资金</w:t>
      </w:r>
      <w:r>
        <w:rPr>
          <w:rFonts w:hint="eastAsia" w:ascii="仿宋_GB2312" w:hAnsi="仿宋_GB2312" w:eastAsia="仿宋_GB2312" w:cs="仿宋_GB2312"/>
          <w:color w:val="auto"/>
          <w:kern w:val="2"/>
          <w:sz w:val="32"/>
          <w:szCs w:val="32"/>
          <w:highlight w:val="none"/>
          <w:lang w:val="en-US" w:eastAsia="zh-CN" w:bidi="ar-SA"/>
        </w:rPr>
        <w:t>应严格依据当地工资标准，使</w:t>
      </w:r>
      <w:r>
        <w:rPr>
          <w:rFonts w:hint="eastAsia" w:cs="仿宋_GB2312"/>
          <w:color w:val="auto"/>
          <w:kern w:val="2"/>
          <w:sz w:val="32"/>
          <w:szCs w:val="32"/>
          <w:highlight w:val="none"/>
          <w:lang w:val="en-US" w:eastAsia="zh-CN" w:bidi="ar-SA"/>
        </w:rPr>
        <w:t>资金</w:t>
      </w:r>
      <w:r>
        <w:rPr>
          <w:rFonts w:hint="eastAsia" w:ascii="仿宋_GB2312" w:hAnsi="仿宋_GB2312" w:eastAsia="仿宋_GB2312" w:cs="仿宋_GB2312"/>
          <w:color w:val="auto"/>
          <w:kern w:val="2"/>
          <w:sz w:val="32"/>
          <w:szCs w:val="32"/>
          <w:highlight w:val="none"/>
          <w:lang w:val="en-US" w:eastAsia="zh-CN" w:bidi="ar-SA"/>
        </w:rPr>
        <w:t>在执行过程中有依据和标准，以提高</w:t>
      </w:r>
      <w:r>
        <w:rPr>
          <w:rFonts w:hint="eastAsia" w:cs="仿宋_GB2312"/>
          <w:color w:val="auto"/>
          <w:kern w:val="2"/>
          <w:sz w:val="32"/>
          <w:szCs w:val="32"/>
          <w:highlight w:val="none"/>
          <w:lang w:val="en-US" w:eastAsia="zh-CN" w:bidi="ar-SA"/>
        </w:rPr>
        <w:t>财政</w:t>
      </w:r>
      <w:r>
        <w:rPr>
          <w:rFonts w:hint="eastAsia" w:ascii="仿宋_GB2312" w:hAnsi="仿宋_GB2312" w:eastAsia="仿宋_GB2312" w:cs="仿宋_GB2312"/>
          <w:color w:val="auto"/>
          <w:kern w:val="2"/>
          <w:sz w:val="32"/>
          <w:szCs w:val="32"/>
          <w:highlight w:val="none"/>
          <w:lang w:val="en-US" w:eastAsia="zh-CN" w:bidi="ar-SA"/>
        </w:rPr>
        <w:t>资金使用效益。</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default"/>
          <w:lang w:val="en-US" w:eastAsia="zh-CN"/>
        </w:rPr>
      </w:pPr>
      <w:bookmarkStart w:id="362" w:name="_Toc20584"/>
      <w:bookmarkStart w:id="363" w:name="_Toc10288"/>
      <w:bookmarkStart w:id="364" w:name="_Toc30501"/>
      <w:bookmarkStart w:id="365" w:name="_Toc17359"/>
      <w:r>
        <w:rPr>
          <w:rFonts w:hint="eastAsia"/>
          <w:lang w:val="en-US" w:eastAsia="zh-CN"/>
        </w:rPr>
        <w:t>（二）合理使用资金，确保资金支出规范</w:t>
      </w:r>
      <w:bookmarkEnd w:id="362"/>
      <w:bookmarkEnd w:id="363"/>
      <w:bookmarkEnd w:id="364"/>
      <w:bookmarkEnd w:id="365"/>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default" w:ascii="仿宋_GB2312" w:hAnsi="仿宋_GB2312" w:eastAsia="仿宋_GB2312" w:cs="仿宋_GB2312"/>
          <w:bCs w:val="0"/>
          <w:color w:val="auto"/>
          <w:kern w:val="2"/>
          <w:sz w:val="32"/>
          <w:szCs w:val="32"/>
          <w:highlight w:val="none"/>
          <w:lang w:val="en-US" w:eastAsia="zh-CN" w:bidi="ar-SA"/>
        </w:rPr>
      </w:pPr>
      <w:r>
        <w:rPr>
          <w:rFonts w:hint="eastAsia" w:ascii="仿宋_GB2312" w:hAnsi="仿宋_GB2312" w:eastAsia="仿宋_GB2312" w:cs="仿宋_GB2312"/>
          <w:bCs w:val="0"/>
          <w:color w:val="auto"/>
          <w:kern w:val="2"/>
          <w:sz w:val="32"/>
          <w:szCs w:val="32"/>
          <w:highlight w:val="none"/>
          <w:lang w:val="en-US" w:eastAsia="zh-CN" w:bidi="ar-SA"/>
        </w:rPr>
        <w:t>根据《中华人民共和国预算法实施条例》：“第五十七条 各级政府财政部门应当加强对预算资金拨付的管理，并遵循下列原则</w:t>
      </w:r>
      <w:r>
        <w:rPr>
          <w:rFonts w:hint="eastAsia" w:cs="仿宋_GB2312"/>
          <w:bCs w:val="0"/>
          <w:color w:val="auto"/>
          <w:kern w:val="2"/>
          <w:sz w:val="32"/>
          <w:szCs w:val="32"/>
          <w:highlight w:val="none"/>
          <w:lang w:val="en-US" w:eastAsia="zh-CN" w:bidi="ar-SA"/>
        </w:rPr>
        <w:t>：</w:t>
      </w:r>
      <w:r>
        <w:rPr>
          <w:rFonts w:hint="eastAsia" w:ascii="仿宋_GB2312" w:hAnsi="仿宋_GB2312" w:cs="仿宋_GB2312"/>
          <w:bCs w:val="0"/>
          <w:color w:val="auto"/>
          <w:kern w:val="2"/>
          <w:sz w:val="32"/>
          <w:szCs w:val="32"/>
          <w:highlight w:val="none"/>
          <w:lang w:val="en-US" w:eastAsia="zh-CN" w:bidi="ar-SA"/>
        </w:rPr>
        <w:t>（一）</w:t>
      </w:r>
      <w:r>
        <w:rPr>
          <w:rFonts w:hint="eastAsia" w:ascii="仿宋_GB2312" w:hAnsi="仿宋_GB2312" w:eastAsia="仿宋_GB2312" w:cs="仿宋_GB2312"/>
          <w:bCs w:val="0"/>
          <w:color w:val="auto"/>
          <w:kern w:val="2"/>
          <w:sz w:val="32"/>
          <w:szCs w:val="32"/>
          <w:highlight w:val="none"/>
          <w:lang w:val="en-US" w:eastAsia="zh-CN" w:bidi="ar-SA"/>
        </w:rPr>
        <w:t>按照预算拨付，即按照批准的年度预算和用款计划拨付资金。除预算法第五十四条规定的在预算草案批准前可以安排支出的情形外，不得办理无预算、无用款计划、超预算或者超计划的资金拨付，不得擅自改变支出用途</w:t>
      </w:r>
      <w:r>
        <w:rPr>
          <w:rFonts w:hint="eastAsia" w:ascii="仿宋_GB2312" w:hAnsi="仿宋_GB2312" w:cs="仿宋_GB2312"/>
          <w:bCs w:val="0"/>
          <w:color w:val="auto"/>
          <w:kern w:val="2"/>
          <w:sz w:val="32"/>
          <w:szCs w:val="32"/>
          <w:highlight w:val="none"/>
          <w:lang w:val="en-US" w:eastAsia="zh-CN" w:bidi="ar-SA"/>
        </w:rPr>
        <w:t>。”</w:t>
      </w:r>
      <w:r>
        <w:rPr>
          <w:rFonts w:hint="eastAsia" w:cs="仿宋_GB2312"/>
          <w:bCs w:val="0"/>
          <w:color w:val="auto"/>
          <w:kern w:val="2"/>
          <w:sz w:val="32"/>
          <w:szCs w:val="32"/>
          <w:highlight w:val="none"/>
          <w:lang w:val="en-US" w:eastAsia="zh-CN" w:bidi="ar-SA"/>
        </w:rPr>
        <w:t>城中区教育局、</w:t>
      </w:r>
      <w:r>
        <w:rPr>
          <w:rFonts w:hint="eastAsia" w:cs="仿宋_GB2312"/>
          <w:b w:val="0"/>
          <w:color w:val="auto"/>
          <w:kern w:val="2"/>
          <w:sz w:val="32"/>
          <w:szCs w:val="32"/>
          <w:highlight w:val="none"/>
          <w:lang w:val="en-US" w:eastAsia="zh-CN" w:bidi="ar-SA"/>
        </w:rPr>
        <w:t>青海宏创保安服务有限责任公司支出</w:t>
      </w:r>
      <w:r>
        <w:rPr>
          <w:rFonts w:hint="eastAsia" w:ascii="仿宋_GB2312" w:hAnsi="仿宋_GB2312" w:cs="仿宋_GB2312"/>
          <w:bCs w:val="0"/>
          <w:color w:val="auto"/>
          <w:kern w:val="2"/>
          <w:sz w:val="32"/>
          <w:szCs w:val="32"/>
          <w:highlight w:val="none"/>
          <w:lang w:val="en-US" w:eastAsia="zh-CN" w:bidi="ar-SA"/>
        </w:rPr>
        <w:t>校园保安专项资金时应严格按照</w:t>
      </w:r>
      <w:r>
        <w:rPr>
          <w:rFonts w:hint="eastAsia" w:cs="仿宋_GB2312"/>
          <w:bCs w:val="0"/>
          <w:color w:val="auto"/>
          <w:kern w:val="2"/>
          <w:sz w:val="32"/>
          <w:szCs w:val="32"/>
          <w:highlight w:val="none"/>
          <w:lang w:val="en-US" w:eastAsia="zh-CN" w:bidi="ar-SA"/>
        </w:rPr>
        <w:t>预算申请及批复</w:t>
      </w:r>
      <w:r>
        <w:rPr>
          <w:rFonts w:hint="eastAsia" w:ascii="仿宋_GB2312" w:hAnsi="仿宋_GB2312" w:cs="仿宋_GB2312"/>
          <w:bCs w:val="0"/>
          <w:color w:val="auto"/>
          <w:kern w:val="2"/>
          <w:sz w:val="32"/>
          <w:szCs w:val="32"/>
          <w:highlight w:val="none"/>
          <w:lang w:val="en-US" w:eastAsia="zh-CN" w:bidi="ar-SA"/>
        </w:rPr>
        <w:t>，不得擅自改变资金支出用途。</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eastAsia"/>
          <w:highlight w:val="none"/>
          <w:lang w:val="en-US" w:eastAsia="zh-CN"/>
        </w:rPr>
      </w:pPr>
      <w:bookmarkStart w:id="366" w:name="_Toc22937"/>
      <w:bookmarkStart w:id="367" w:name="_Toc23665"/>
      <w:bookmarkStart w:id="368" w:name="_Toc28430"/>
      <w:bookmarkStart w:id="369" w:name="_Toc6149"/>
      <w:r>
        <w:rPr>
          <w:rFonts w:hint="eastAsia"/>
          <w:highlight w:val="none"/>
          <w:lang w:val="en-US" w:eastAsia="zh-CN"/>
        </w:rPr>
        <w:t>（三）制定专项资金使用办法及实施细则，提高财政资金使用效益</w:t>
      </w:r>
      <w:bookmarkEnd w:id="366"/>
      <w:bookmarkEnd w:id="367"/>
      <w:bookmarkEnd w:id="368"/>
      <w:bookmarkEnd w:id="369"/>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eastAsia" w:ascii="仿宋_GB2312" w:hAnsi="仿宋_GB2312" w:eastAsia="仿宋_GB2312" w:cs="仿宋_GB2312"/>
          <w:bCs w:val="0"/>
          <w:color w:val="auto"/>
          <w:kern w:val="2"/>
          <w:sz w:val="32"/>
          <w:szCs w:val="32"/>
          <w:highlight w:val="none"/>
          <w:lang w:val="en-US" w:eastAsia="zh-CN" w:bidi="ar-SA"/>
        </w:rPr>
      </w:pPr>
      <w:r>
        <w:rPr>
          <w:rFonts w:hint="eastAsia" w:ascii="仿宋_GB2312" w:hAnsi="仿宋_GB2312" w:eastAsia="仿宋_GB2312" w:cs="仿宋_GB2312"/>
          <w:bCs w:val="0"/>
          <w:color w:val="auto"/>
          <w:kern w:val="2"/>
          <w:sz w:val="32"/>
          <w:szCs w:val="32"/>
          <w:highlight w:val="none"/>
          <w:lang w:val="en-US" w:eastAsia="zh-CN" w:bidi="ar-SA"/>
        </w:rPr>
        <w:t>为进一步规范财政资金审批，增强政府统筹运用资金能力，城中区教育局作为项目实施主管单位，应参照国家和地方政府专项资金管理有关规定和政策并结合本单位实际情况，制订专项资金管理</w:t>
      </w:r>
      <w:r>
        <w:rPr>
          <w:rFonts w:hint="eastAsia" w:cs="仿宋_GB2312"/>
          <w:bCs w:val="0"/>
          <w:color w:val="auto"/>
          <w:kern w:val="2"/>
          <w:sz w:val="32"/>
          <w:szCs w:val="32"/>
          <w:highlight w:val="none"/>
          <w:lang w:val="en-US" w:eastAsia="zh-CN" w:bidi="ar-SA"/>
        </w:rPr>
        <w:t>办法</w:t>
      </w:r>
      <w:r>
        <w:rPr>
          <w:rFonts w:hint="eastAsia" w:ascii="仿宋_GB2312" w:hAnsi="仿宋_GB2312" w:eastAsia="仿宋_GB2312" w:cs="仿宋_GB2312"/>
          <w:bCs w:val="0"/>
          <w:color w:val="auto"/>
          <w:kern w:val="2"/>
          <w:sz w:val="32"/>
          <w:szCs w:val="32"/>
          <w:highlight w:val="none"/>
          <w:lang w:val="en-US" w:eastAsia="zh-CN" w:bidi="ar-SA"/>
        </w:rPr>
        <w:t>以形成完整、便于操作、执行有效的制度体系，依据</w:t>
      </w:r>
      <w:r>
        <w:rPr>
          <w:rFonts w:hint="eastAsia" w:cs="仿宋_GB2312"/>
          <w:bCs w:val="0"/>
          <w:color w:val="auto"/>
          <w:kern w:val="2"/>
          <w:sz w:val="32"/>
          <w:szCs w:val="32"/>
          <w:highlight w:val="none"/>
          <w:lang w:val="en-US" w:eastAsia="zh-CN" w:bidi="ar-SA"/>
        </w:rPr>
        <w:t>批复</w:t>
      </w:r>
      <w:r>
        <w:rPr>
          <w:rFonts w:hint="eastAsia" w:ascii="仿宋_GB2312" w:hAnsi="仿宋_GB2312" w:eastAsia="仿宋_GB2312" w:cs="仿宋_GB2312"/>
          <w:bCs w:val="0"/>
          <w:color w:val="auto"/>
          <w:kern w:val="2"/>
          <w:sz w:val="32"/>
          <w:szCs w:val="32"/>
          <w:highlight w:val="none"/>
          <w:lang w:val="en-US" w:eastAsia="zh-CN" w:bidi="ar-SA"/>
        </w:rPr>
        <w:t>文件确定资金使用范围，以规范财政专项资金管理，保证专项资金合规、有效使用；应与保安服务公司联合制定校园保安管理细则，细则中明确保安公司、教育局、各个学校、保安人员的主要职责，以及校园保安待遇及考核细则等，保安公司每月应根据考核结果对保安人员发放工资。</w:t>
      </w:r>
    </w:p>
    <w:p>
      <w:pPr>
        <w:pStyle w:val="4"/>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default"/>
          <w:highlight w:val="none"/>
          <w:lang w:val="en-US" w:eastAsia="zh-CN"/>
        </w:rPr>
      </w:pPr>
      <w:bookmarkStart w:id="370" w:name="_Toc27720"/>
      <w:bookmarkStart w:id="371" w:name="_Toc20049"/>
      <w:bookmarkStart w:id="372" w:name="_Toc2726"/>
      <w:bookmarkStart w:id="373" w:name="_Toc25063"/>
      <w:r>
        <w:rPr>
          <w:rFonts w:hint="eastAsia"/>
          <w:color w:val="auto"/>
          <w:highlight w:val="none"/>
          <w:lang w:val="en-US" w:eastAsia="zh-CN"/>
        </w:rPr>
        <w:t>（四）按照预算标准发放工资，资金支出符合既定用途</w:t>
      </w:r>
      <w:bookmarkEnd w:id="370"/>
      <w:bookmarkEnd w:id="371"/>
      <w:bookmarkEnd w:id="372"/>
      <w:bookmarkEnd w:id="373"/>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hint="default"/>
          <w:lang w:val="en-US" w:eastAsia="zh-CN"/>
        </w:rPr>
      </w:pPr>
      <w:r>
        <w:rPr>
          <w:rFonts w:hint="eastAsia" w:cs="仿宋_GB2312"/>
          <w:bCs w:val="0"/>
          <w:color w:val="auto"/>
          <w:kern w:val="2"/>
          <w:sz w:val="32"/>
          <w:szCs w:val="32"/>
          <w:highlight w:val="none"/>
          <w:lang w:val="en-US" w:eastAsia="zh-CN" w:bidi="ar-SA"/>
        </w:rPr>
        <w:t>为合理使用以后年度城中区校园保安专项资金，建议城中区教育局申请财政资金预算时，将保安工资与保安保险费、服装费、培训费等一并纳入购买保安服务范围，确保保安工资发放与预算一致，校园保安专项资金支出符合既定用途。</w:t>
      </w:r>
    </w:p>
    <w:p>
      <w:pPr>
        <w:pStyle w:val="3"/>
        <w:keepNext w:val="0"/>
        <w:keepLines w:val="0"/>
        <w:pageBreakBefore w:val="0"/>
        <w:widowControl w:val="0"/>
        <w:shd w:val="clear"/>
        <w:kinsoku/>
        <w:wordWrap/>
        <w:overflowPunct/>
        <w:topLinePunct w:val="0"/>
        <w:autoSpaceDE/>
        <w:autoSpaceDN/>
        <w:bidi w:val="0"/>
        <w:adjustRightInd w:val="0"/>
        <w:snapToGrid w:val="0"/>
        <w:spacing w:beforeAutospacing="0" w:afterAutospacing="0" w:line="576" w:lineRule="exact"/>
        <w:ind w:left="0" w:leftChars="0" w:firstLine="643" w:firstLineChars="200"/>
        <w:jc w:val="both"/>
        <w:textAlignment w:val="auto"/>
        <w:outlineLvl w:val="1"/>
        <w:rPr>
          <w:rFonts w:hint="eastAsia" w:ascii="黑体" w:hAnsi="黑体" w:eastAsia="黑体" w:cs="黑体"/>
          <w:b/>
          <w:bCs/>
          <w:color w:val="FF0000"/>
          <w:sz w:val="32"/>
          <w:szCs w:val="32"/>
          <w:highlight w:val="none"/>
          <w:lang w:val="en-US" w:eastAsia="zh-CN"/>
        </w:rPr>
      </w:pPr>
      <w:bookmarkStart w:id="374" w:name="_Toc10661"/>
      <w:bookmarkStart w:id="375" w:name="_Toc10360"/>
      <w:bookmarkStart w:id="376" w:name="_Toc16149"/>
      <w:bookmarkStart w:id="377" w:name="_Toc17894"/>
      <w:r>
        <w:rPr>
          <w:rFonts w:hint="eastAsia" w:cs="黑体"/>
          <w:b/>
          <w:bCs/>
          <w:color w:val="auto"/>
          <w:sz w:val="32"/>
          <w:szCs w:val="32"/>
          <w:highlight w:val="none"/>
          <w:lang w:val="en-US" w:eastAsia="zh-CN"/>
        </w:rPr>
        <w:t>九、</w:t>
      </w:r>
      <w:r>
        <w:rPr>
          <w:rFonts w:hint="eastAsia" w:ascii="黑体" w:hAnsi="黑体" w:eastAsia="黑体" w:cs="黑体"/>
          <w:b/>
          <w:bCs/>
          <w:color w:val="auto"/>
          <w:sz w:val="32"/>
          <w:szCs w:val="32"/>
          <w:highlight w:val="none"/>
          <w:lang w:val="en-US" w:eastAsia="zh-CN"/>
        </w:rPr>
        <w:t>需要说明的问题</w:t>
      </w:r>
      <w:r>
        <w:rPr>
          <w:rFonts w:hint="eastAsia" w:ascii="黑体" w:hAnsi="黑体" w:eastAsia="黑体" w:cs="黑体"/>
          <w:b/>
          <w:bCs/>
          <w:color w:val="FF0000"/>
          <w:sz w:val="32"/>
          <w:szCs w:val="32"/>
          <w:highlight w:val="none"/>
          <w:lang w:val="en-US" w:eastAsia="zh-CN"/>
        </w:rPr>
        <w:fldChar w:fldCharType="end"/>
      </w:r>
      <w:bookmarkEnd w:id="337"/>
      <w:bookmarkEnd w:id="374"/>
      <w:bookmarkEnd w:id="375"/>
      <w:bookmarkEnd w:id="376"/>
      <w:bookmarkEnd w:id="377"/>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kern w:val="2"/>
          <w:sz w:val="32"/>
          <w:szCs w:val="32"/>
          <w:highlight w:val="yellow"/>
          <w:lang w:val="en-US" w:eastAsia="zh-CN" w:bidi="ar-SA"/>
        </w:rPr>
      </w:pPr>
      <w:r>
        <w:rPr>
          <w:rFonts w:hint="eastAsia" w:cs="仿宋_GB2312"/>
          <w:color w:val="auto"/>
          <w:highlight w:val="none"/>
          <w:lang w:val="en-US" w:eastAsia="zh-CN"/>
        </w:rPr>
        <w:t>1.截至评价结束时间，西</w:t>
      </w:r>
      <w:r>
        <w:rPr>
          <w:rFonts w:hint="eastAsia" w:ascii="仿宋_GB2312" w:hAnsi="仿宋_GB2312" w:eastAsia="仿宋_GB2312" w:cs="仿宋_GB2312"/>
          <w:color w:val="auto"/>
          <w:highlight w:val="none"/>
          <w:lang w:val="en-US" w:eastAsia="zh-CN"/>
        </w:rPr>
        <w:t>宁市城中</w:t>
      </w:r>
      <w:r>
        <w:rPr>
          <w:rFonts w:hint="eastAsia" w:ascii="Times New Roman" w:hAnsi="Times New Roman" w:eastAsia="仿宋_GB2312" w:cs="Times New Roman"/>
          <w:b w:val="0"/>
          <w:bCs w:val="0"/>
          <w:color w:val="auto"/>
          <w:kern w:val="2"/>
          <w:sz w:val="32"/>
          <w:szCs w:val="32"/>
          <w:highlight w:val="none"/>
          <w:lang w:val="en-US" w:eastAsia="zh-CN" w:bidi="ar-SA"/>
        </w:rPr>
        <w:t>区2021</w:t>
      </w:r>
      <w:r>
        <w:rPr>
          <w:rFonts w:hint="eastAsia" w:ascii="仿宋_GB2312" w:hAnsi="仿宋_GB2312" w:eastAsia="仿宋_GB2312" w:cs="仿宋_GB2312"/>
          <w:color w:val="auto"/>
          <w:highlight w:val="none"/>
          <w:lang w:val="en-US" w:eastAsia="zh-CN"/>
        </w:rPr>
        <w:t>年校园保安专项资金</w:t>
      </w:r>
      <w:r>
        <w:rPr>
          <w:rFonts w:hint="eastAsia" w:cs="仿宋_GB2312"/>
          <w:color w:val="auto"/>
          <w:highlight w:val="none"/>
          <w:lang w:val="en-US" w:eastAsia="zh-CN"/>
        </w:rPr>
        <w:t>第四季度资金支出未完成，因季度支付原因，预算执行率指标不扣分。</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lang w:val="en-US" w:eastAsia="zh-CN"/>
        </w:rPr>
      </w:pPr>
      <w:r>
        <w:rPr>
          <w:rFonts w:hint="eastAsia" w:cs="仿宋_GB2312"/>
          <w:color w:val="auto"/>
          <w:kern w:val="2"/>
          <w:sz w:val="32"/>
          <w:szCs w:val="32"/>
          <w:highlight w:val="none"/>
          <w:lang w:val="en-US" w:eastAsia="zh-CN" w:bidi="ar-SA"/>
        </w:rPr>
        <w:t>2.项目评价组通过电子问卷的形式向学校师生开展了“西宁市城中区</w:t>
      </w:r>
      <w:r>
        <w:rPr>
          <w:rFonts w:hint="eastAsia" w:ascii="Times New Roman" w:hAnsi="Times New Roman" w:eastAsia="仿宋_GB2312" w:cs="Times New Roman"/>
          <w:b w:val="0"/>
          <w:bCs w:val="0"/>
          <w:color w:val="auto"/>
          <w:kern w:val="2"/>
          <w:sz w:val="32"/>
          <w:szCs w:val="32"/>
          <w:highlight w:val="none"/>
          <w:lang w:val="en-US" w:eastAsia="zh-CN" w:bidi="ar-SA"/>
        </w:rPr>
        <w:t>2021年校园保安专项资金项目绩效评价校园师生满意度”的问卷调查，有效填写问卷200</w:t>
      </w:r>
      <w:r>
        <w:rPr>
          <w:rFonts w:hint="eastAsia" w:cs="仿宋_GB2312"/>
          <w:color w:val="auto"/>
          <w:kern w:val="2"/>
          <w:sz w:val="32"/>
          <w:szCs w:val="32"/>
          <w:highlight w:val="none"/>
          <w:lang w:val="en-US" w:eastAsia="zh-CN" w:bidi="ar-SA"/>
        </w:rPr>
        <w:t>份，因各学校涉及师生众多，据此得出的评价结论并不能代表所有受益对象的总体情况。</w:t>
      </w:r>
    </w:p>
    <w:p>
      <w:pPr>
        <w:pStyle w:val="3"/>
        <w:keepNext w:val="0"/>
        <w:keepLines w:val="0"/>
        <w:pageBreakBefore w:val="0"/>
        <w:widowControl w:val="0"/>
        <w:shd w:val="clear"/>
        <w:kinsoku/>
        <w:wordWrap/>
        <w:overflowPunct/>
        <w:topLinePunct w:val="0"/>
        <w:autoSpaceDE/>
        <w:autoSpaceDN/>
        <w:bidi w:val="0"/>
        <w:adjustRightInd w:val="0"/>
        <w:snapToGrid w:val="0"/>
        <w:spacing w:beforeAutospacing="0" w:afterAutospacing="0" w:line="576" w:lineRule="exact"/>
        <w:ind w:left="0" w:leftChars="0" w:firstLine="643" w:firstLineChars="200"/>
        <w:jc w:val="both"/>
        <w:textAlignment w:val="auto"/>
        <w:outlineLvl w:val="1"/>
        <w:rPr>
          <w:rFonts w:hint="eastAsia" w:ascii="黑体" w:hAnsi="黑体" w:eastAsia="黑体" w:cs="黑体"/>
          <w:b/>
          <w:bCs/>
          <w:color w:val="auto"/>
          <w:sz w:val="32"/>
          <w:szCs w:val="32"/>
          <w:highlight w:val="none"/>
          <w:lang w:val="en-US" w:eastAsia="zh-CN"/>
        </w:rPr>
      </w:pPr>
      <w:bookmarkStart w:id="378" w:name="_Toc29005"/>
      <w:bookmarkStart w:id="379" w:name="_Toc20674"/>
      <w:bookmarkStart w:id="380" w:name="_Toc4185"/>
      <w:bookmarkStart w:id="381" w:name="_Toc14240"/>
      <w:bookmarkStart w:id="382" w:name="_Toc6287"/>
      <w:bookmarkStart w:id="383" w:name="_Toc21864"/>
      <w:r>
        <w:rPr>
          <w:rFonts w:hint="eastAsia" w:cs="黑体"/>
          <w:b/>
          <w:bCs/>
          <w:color w:val="auto"/>
          <w:sz w:val="32"/>
          <w:szCs w:val="32"/>
          <w:highlight w:val="none"/>
          <w:lang w:val="en-US" w:eastAsia="zh-CN"/>
        </w:rPr>
        <w:t>十</w:t>
      </w:r>
      <w:r>
        <w:rPr>
          <w:rFonts w:hint="eastAsia" w:ascii="黑体" w:hAnsi="黑体" w:eastAsia="黑体" w:cs="黑体"/>
          <w:b/>
          <w:bCs/>
          <w:color w:val="auto"/>
          <w:sz w:val="32"/>
          <w:szCs w:val="32"/>
          <w:highlight w:val="none"/>
          <w:lang w:val="en-US" w:eastAsia="zh-CN"/>
        </w:rPr>
        <w:t>、其他</w:t>
      </w:r>
      <w:r>
        <w:rPr>
          <w:rFonts w:hint="eastAsia" w:ascii="黑体" w:hAnsi="黑体" w:eastAsia="黑体" w:cs="黑体"/>
          <w:b/>
          <w:bCs/>
          <w:color w:val="auto"/>
          <w:sz w:val="32"/>
          <w:szCs w:val="32"/>
          <w:highlight w:val="none"/>
          <w:lang w:val="en-US" w:eastAsia="zh-CN"/>
        </w:rPr>
        <w:fldChar w:fldCharType="begin"/>
      </w:r>
      <w:r>
        <w:rPr>
          <w:rFonts w:hint="eastAsia" w:ascii="黑体" w:hAnsi="黑体" w:eastAsia="黑体" w:cs="黑体"/>
          <w:b/>
          <w:bCs/>
          <w:color w:val="auto"/>
          <w:sz w:val="32"/>
          <w:szCs w:val="32"/>
          <w:highlight w:val="none"/>
          <w:lang w:val="en-US" w:eastAsia="zh-CN"/>
        </w:rPr>
        <w:instrText xml:space="preserve"> HYPERLINK \l _Toc1632 </w:instrText>
      </w:r>
      <w:r>
        <w:rPr>
          <w:rFonts w:hint="eastAsia" w:ascii="黑体" w:hAnsi="黑体" w:eastAsia="黑体" w:cs="黑体"/>
          <w:b/>
          <w:bCs/>
          <w:color w:val="auto"/>
          <w:sz w:val="32"/>
          <w:szCs w:val="32"/>
          <w:highlight w:val="none"/>
          <w:lang w:val="en-US" w:eastAsia="zh-CN"/>
        </w:rPr>
        <w:fldChar w:fldCharType="separate"/>
      </w:r>
      <w:r>
        <w:rPr>
          <w:rFonts w:hint="eastAsia" w:ascii="黑体" w:hAnsi="黑体" w:eastAsia="黑体" w:cs="黑体"/>
          <w:b/>
          <w:bCs/>
          <w:color w:val="auto"/>
          <w:sz w:val="32"/>
          <w:szCs w:val="32"/>
          <w:highlight w:val="none"/>
          <w:lang w:val="en-US" w:eastAsia="zh-CN"/>
        </w:rPr>
        <w:t>附件</w:t>
      </w:r>
      <w:r>
        <w:rPr>
          <w:rFonts w:hint="eastAsia" w:ascii="黑体" w:hAnsi="黑体" w:eastAsia="黑体" w:cs="黑体"/>
          <w:b/>
          <w:bCs/>
          <w:color w:val="auto"/>
          <w:sz w:val="32"/>
          <w:szCs w:val="32"/>
          <w:highlight w:val="none"/>
          <w:lang w:val="en-US" w:eastAsia="zh-CN"/>
        </w:rPr>
        <w:fldChar w:fldCharType="end"/>
      </w:r>
      <w:bookmarkEnd w:id="378"/>
      <w:bookmarkEnd w:id="379"/>
      <w:bookmarkEnd w:id="380"/>
      <w:bookmarkEnd w:id="381"/>
      <w:bookmarkEnd w:id="382"/>
      <w:bookmarkEnd w:id="383"/>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bookmarkStart w:id="384" w:name="_Toc2410"/>
      <w:bookmarkStart w:id="385" w:name="_Toc32521"/>
      <w:bookmarkStart w:id="386" w:name="_Toc323"/>
      <w:bookmarkStart w:id="387" w:name="_Toc2567"/>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HYPERLINK \l "_Toc28958"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lang w:val="en-US" w:eastAsia="zh-CN" w:bidi="ar-SA"/>
        </w:rPr>
        <w:t>附件1 绩效评价指标体系</w:t>
      </w:r>
      <w:r>
        <w:rPr>
          <w:rFonts w:hint="eastAsia" w:ascii="仿宋_GB2312" w:hAnsi="仿宋_GB2312" w:eastAsia="仿宋_GB2312" w:cs="仿宋_GB2312"/>
          <w:color w:val="auto"/>
          <w:kern w:val="2"/>
          <w:sz w:val="32"/>
          <w:szCs w:val="32"/>
          <w:highlight w:val="none"/>
          <w:lang w:val="en-US" w:eastAsia="zh-CN" w:bidi="ar-SA"/>
        </w:rPr>
        <w:fldChar w:fldCharType="end"/>
      </w:r>
      <w:bookmarkEnd w:id="384"/>
      <w:bookmarkEnd w:id="385"/>
      <w:bookmarkEnd w:id="386"/>
      <w:bookmarkEnd w:id="387"/>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ascii="楷体" w:hAnsi="楷体" w:eastAsia="楷体" w:cs="宋体"/>
          <w:b/>
          <w:color w:val="auto"/>
          <w:szCs w:val="28"/>
          <w:highlight w:val="none"/>
        </w:rPr>
      </w:pPr>
      <w:bookmarkStart w:id="388" w:name="_Toc17253"/>
      <w:bookmarkStart w:id="389" w:name="_Toc20713"/>
      <w:bookmarkStart w:id="390" w:name="_Toc29308"/>
      <w:bookmarkStart w:id="391" w:name="_Toc11282"/>
      <w:r>
        <w:rPr>
          <w:rFonts w:hint="eastAsia" w:ascii="仿宋_GB2312" w:hAnsi="仿宋_GB2312" w:eastAsia="仿宋_GB2312" w:cs="仿宋_GB2312"/>
          <w:color w:val="auto"/>
          <w:kern w:val="2"/>
          <w:sz w:val="32"/>
          <w:szCs w:val="32"/>
          <w:highlight w:val="none"/>
          <w:lang w:val="en-US" w:eastAsia="zh-CN" w:bidi="ar-SA"/>
        </w:rPr>
        <w:t>附件2 项目资金使用情况表</w:t>
      </w:r>
      <w:bookmarkEnd w:id="388"/>
      <w:bookmarkEnd w:id="389"/>
      <w:bookmarkEnd w:id="390"/>
      <w:bookmarkEnd w:id="391"/>
      <w:bookmarkStart w:id="392" w:name="_Toc28958"/>
      <w:bookmarkStart w:id="393" w:name="_Toc2667"/>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附件</w:t>
      </w:r>
      <w:r>
        <w:rPr>
          <w:rFonts w:hint="eastAsia"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 xml:space="preserve"> </w:t>
      </w:r>
      <w:r>
        <w:rPr>
          <w:rFonts w:hint="eastAsia" w:cs="仿宋_GB2312"/>
          <w:color w:val="auto"/>
          <w:kern w:val="2"/>
          <w:sz w:val="32"/>
          <w:szCs w:val="32"/>
          <w:highlight w:val="none"/>
          <w:lang w:val="en-US" w:eastAsia="zh-CN" w:bidi="ar-SA"/>
        </w:rPr>
        <w:t>问卷调查满意度分析</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附件</w:t>
      </w:r>
      <w:r>
        <w:rPr>
          <w:rFonts w:hint="eastAsia" w:cs="仿宋_GB2312"/>
          <w:color w:val="auto"/>
          <w:kern w:val="2"/>
          <w:sz w:val="32"/>
          <w:szCs w:val="32"/>
          <w:highlight w:val="none"/>
          <w:lang w:val="en-US" w:eastAsia="zh-CN" w:bidi="ar-SA"/>
        </w:rPr>
        <w:t>4</w:t>
      </w:r>
      <w:r>
        <w:rPr>
          <w:rFonts w:hint="eastAsia" w:ascii="仿宋_GB2312" w:hAnsi="仿宋_GB2312" w:eastAsia="仿宋_GB2312" w:cs="仿宋_GB2312"/>
          <w:color w:val="auto"/>
          <w:kern w:val="2"/>
          <w:sz w:val="32"/>
          <w:szCs w:val="32"/>
          <w:highlight w:val="none"/>
          <w:lang w:val="en-US" w:eastAsia="zh-CN" w:bidi="ar-SA"/>
        </w:rPr>
        <w:t xml:space="preserve"> </w:t>
      </w:r>
      <w:r>
        <w:rPr>
          <w:rFonts w:hint="eastAsia" w:cs="仿宋_GB2312"/>
          <w:color w:val="auto"/>
          <w:kern w:val="2"/>
          <w:sz w:val="32"/>
          <w:szCs w:val="32"/>
          <w:highlight w:val="none"/>
          <w:lang w:val="en-US" w:eastAsia="zh-CN" w:bidi="ar-SA"/>
        </w:rPr>
        <w:t>主评人资质</w:t>
      </w:r>
    </w:p>
    <w:p>
      <w:pPr>
        <w:pageBreakBefore w:val="0"/>
        <w:overflowPunct/>
        <w:topLinePunct w:val="0"/>
        <w:bidi w:val="0"/>
        <w:spacing w:line="576" w:lineRule="exact"/>
        <w:ind w:left="0" w:leftChars="0"/>
        <w:rPr>
          <w:rFonts w:hint="eastAsia"/>
          <w:lang w:val="en-US" w:eastAsia="zh-CN"/>
        </w:rPr>
      </w:pPr>
    </w:p>
    <w:p>
      <w:pPr>
        <w:pStyle w:val="2"/>
        <w:keepNext w:val="0"/>
        <w:keepLines w:val="0"/>
        <w:pageBreakBefore w:val="0"/>
        <w:widowControl w:val="0"/>
        <w:kinsoku/>
        <w:wordWrap/>
        <w:overflowPunct/>
        <w:topLinePunct w:val="0"/>
        <w:autoSpaceDE/>
        <w:autoSpaceDN/>
        <w:bidi w:val="0"/>
        <w:adjustRightInd/>
        <w:snapToGrid/>
        <w:spacing w:line="576" w:lineRule="exact"/>
        <w:ind w:left="0" w:leftChars="0"/>
        <w:textAlignment w:val="auto"/>
        <w:sectPr>
          <w:headerReference r:id="rId19" w:type="default"/>
          <w:footerReference r:id="rId20" w:type="default"/>
          <w:footerReference r:id="rId21" w:type="even"/>
          <w:pgSz w:w="11906" w:h="16838"/>
          <w:pgMar w:top="2098" w:right="1474" w:bottom="1984" w:left="1587" w:header="737" w:footer="737" w:gutter="0"/>
          <w:pgBorders>
            <w:top w:val="none" w:sz="0" w:space="0"/>
            <w:left w:val="none" w:sz="0" w:space="0"/>
            <w:bottom w:val="none" w:sz="0" w:space="0"/>
            <w:right w:val="none" w:sz="0" w:space="0"/>
          </w:pgBorders>
          <w:pgNumType w:fmt="numberInDash"/>
          <w:cols w:space="425" w:num="1"/>
          <w:docGrid w:type="lines" w:linePitch="435" w:charSpace="0"/>
        </w:sectPr>
      </w:pPr>
    </w:p>
    <w:p>
      <w:pPr>
        <w:pStyle w:val="4"/>
        <w:pageBreakBefore w:val="0"/>
        <w:overflowPunct/>
        <w:topLinePunct w:val="0"/>
        <w:bidi w:val="0"/>
        <w:spacing w:line="576" w:lineRule="exact"/>
        <w:ind w:left="0" w:leftChars="0" w:firstLine="0" w:firstLineChars="0"/>
        <w:rPr>
          <w:rFonts w:cs="宋体" w:asciiTheme="minorEastAsia" w:hAnsiTheme="minorEastAsia" w:eastAsiaTheme="minorEastAsia"/>
          <w:b/>
          <w:color w:val="auto"/>
          <w:sz w:val="24"/>
          <w:szCs w:val="28"/>
          <w:highlight w:val="none"/>
        </w:rPr>
      </w:pPr>
      <w:bookmarkStart w:id="394" w:name="_Toc13073"/>
      <w:bookmarkStart w:id="395" w:name="_Toc17023"/>
      <w:bookmarkStart w:id="396" w:name="_Toc16252"/>
      <w:bookmarkStart w:id="397" w:name="_Toc27266"/>
      <w:r>
        <w:rPr>
          <w:rFonts w:hint="eastAsia" w:ascii="楷体" w:hAnsi="楷体" w:eastAsia="楷体" w:cs="宋体"/>
          <w:b/>
          <w:color w:val="auto"/>
          <w:szCs w:val="28"/>
          <w:highlight w:val="none"/>
        </w:rPr>
        <w:t>附件1</w:t>
      </w:r>
      <w:r>
        <w:rPr>
          <w:rFonts w:hint="eastAsia" w:ascii="楷体" w:hAnsi="楷体" w:eastAsia="楷体" w:cs="宋体"/>
          <w:b/>
          <w:color w:val="auto"/>
          <w:szCs w:val="28"/>
          <w:highlight w:val="none"/>
          <w:lang w:val="en-US" w:eastAsia="zh-CN"/>
        </w:rPr>
        <w:t xml:space="preserve"> </w:t>
      </w:r>
      <w:r>
        <w:rPr>
          <w:rFonts w:hint="eastAsia" w:ascii="楷体" w:hAnsi="楷体" w:eastAsia="楷体" w:cs="宋体"/>
          <w:b/>
          <w:color w:val="auto"/>
          <w:szCs w:val="28"/>
          <w:highlight w:val="none"/>
        </w:rPr>
        <w:t>绩效评价指标体系</w:t>
      </w:r>
      <w:bookmarkEnd w:id="392"/>
      <w:bookmarkEnd w:id="393"/>
      <w:bookmarkEnd w:id="394"/>
      <w:bookmarkEnd w:id="395"/>
      <w:bookmarkEnd w:id="396"/>
      <w:bookmarkEnd w:id="397"/>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color w:val="auto"/>
          <w:sz w:val="28"/>
          <w:highlight w:val="none"/>
        </w:rPr>
      </w:pPr>
      <w:bookmarkStart w:id="398" w:name="_Toc2129"/>
      <w:bookmarkStart w:id="399" w:name="_Toc592"/>
      <w:bookmarkStart w:id="400" w:name="_Toc32651"/>
      <w:bookmarkStart w:id="401" w:name="_Toc4005"/>
      <w:bookmarkStart w:id="402" w:name="_Toc4940"/>
      <w:bookmarkStart w:id="403" w:name="_Toc27648"/>
      <w:bookmarkStart w:id="404" w:name="_Toc5760"/>
      <w:r>
        <w:rPr>
          <w:rFonts w:hint="eastAsia" w:ascii="宋体" w:hAnsi="宋体" w:eastAsia="宋体" w:cs="宋体"/>
          <w:b/>
          <w:color w:val="auto"/>
          <w:kern w:val="0"/>
          <w:sz w:val="28"/>
          <w:szCs w:val="28"/>
          <w:highlight w:val="none"/>
          <w:lang w:val="en-US" w:eastAsia="zh-CN"/>
        </w:rPr>
        <w:t>西宁市城中区2021年校园保安专项资金绩效评价指标体系</w:t>
      </w:r>
      <w:bookmarkEnd w:id="398"/>
      <w:bookmarkEnd w:id="399"/>
      <w:bookmarkEnd w:id="400"/>
      <w:bookmarkEnd w:id="401"/>
      <w:bookmarkEnd w:id="402"/>
      <w:bookmarkEnd w:id="403"/>
      <w:bookmarkEnd w:id="404"/>
    </w:p>
    <w:tbl>
      <w:tblPr>
        <w:tblStyle w:val="13"/>
        <w:tblW w:w="5034" w:type="pct"/>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82"/>
        <w:gridCol w:w="686"/>
        <w:gridCol w:w="771"/>
        <w:gridCol w:w="601"/>
        <w:gridCol w:w="1229"/>
        <w:gridCol w:w="626"/>
        <w:gridCol w:w="3471"/>
        <w:gridCol w:w="5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9" w:hRule="atLeast"/>
          <w:tblHeader/>
        </w:trPr>
        <w:tc>
          <w:tcPr>
            <w:tcW w:w="277"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b/>
                <w:bCs/>
                <w:i w:val="0"/>
                <w:iCs w:val="0"/>
                <w:color w:val="000000"/>
                <w:sz w:val="24"/>
                <w:szCs w:val="24"/>
                <w:highlight w:val="none"/>
                <w:u w:val="none"/>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一级</w:t>
            </w: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指标</w:t>
            </w:r>
          </w:p>
        </w:tc>
        <w:tc>
          <w:tcPr>
            <w:tcW w:w="24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b/>
                <w:bCs/>
                <w:i w:val="0"/>
                <w:iCs w:val="0"/>
                <w:color w:val="000000"/>
                <w:sz w:val="24"/>
                <w:szCs w:val="24"/>
                <w:highlight w:val="none"/>
                <w:u w:val="none"/>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分值</w:t>
            </w:r>
          </w:p>
        </w:tc>
        <w:tc>
          <w:tcPr>
            <w:tcW w:w="2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b/>
                <w:bCs/>
                <w:i w:val="0"/>
                <w:iCs w:val="0"/>
                <w:color w:val="000000"/>
                <w:sz w:val="24"/>
                <w:szCs w:val="24"/>
                <w:highlight w:val="none"/>
                <w:u w:val="none"/>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二级</w:t>
            </w: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指标</w:t>
            </w:r>
          </w:p>
        </w:tc>
        <w:tc>
          <w:tcPr>
            <w:tcW w:w="21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b/>
                <w:bCs/>
                <w:i w:val="0"/>
                <w:iCs w:val="0"/>
                <w:color w:val="000000"/>
                <w:sz w:val="24"/>
                <w:szCs w:val="24"/>
                <w:highlight w:val="none"/>
                <w:u w:val="none"/>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分值</w:t>
            </w:r>
          </w:p>
        </w:tc>
        <w:tc>
          <w:tcPr>
            <w:tcW w:w="436"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b/>
                <w:bCs/>
                <w:i w:val="0"/>
                <w:iCs w:val="0"/>
                <w:color w:val="000000"/>
                <w:sz w:val="24"/>
                <w:szCs w:val="24"/>
                <w:highlight w:val="none"/>
                <w:u w:val="none"/>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三级</w:t>
            </w: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指标</w:t>
            </w:r>
          </w:p>
        </w:tc>
        <w:tc>
          <w:tcPr>
            <w:tcW w:w="22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b/>
                <w:bCs/>
                <w:i w:val="0"/>
                <w:iCs w:val="0"/>
                <w:color w:val="000000"/>
                <w:sz w:val="24"/>
                <w:szCs w:val="24"/>
                <w:highlight w:val="none"/>
                <w:u w:val="none"/>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分值</w:t>
            </w:r>
          </w:p>
        </w:tc>
        <w:tc>
          <w:tcPr>
            <w:tcW w:w="12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b/>
                <w:bCs/>
                <w:i w:val="0"/>
                <w:iCs w:val="0"/>
                <w:color w:val="000000"/>
                <w:sz w:val="24"/>
                <w:szCs w:val="24"/>
                <w:highlight w:val="none"/>
                <w:u w:val="none"/>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指标解释</w:t>
            </w:r>
          </w:p>
        </w:tc>
        <w:tc>
          <w:tcPr>
            <w:tcW w:w="210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jc w:val="center"/>
              <w:textAlignment w:val="center"/>
              <w:rPr>
                <w:rFonts w:hint="eastAsia" w:asciiTheme="minorEastAsia" w:hAnsiTheme="minorEastAsia" w:eastAsiaTheme="minorEastAsia" w:cstheme="minorEastAsia"/>
                <w:b/>
                <w:bCs/>
                <w:i w:val="0"/>
                <w:iCs w:val="0"/>
                <w:color w:val="000000"/>
                <w:sz w:val="24"/>
                <w:szCs w:val="24"/>
                <w:highlight w:val="none"/>
                <w:u w:val="none"/>
              </w:rPr>
            </w:pPr>
            <w:r>
              <w:rPr>
                <w:rFonts w:hint="eastAsia" w:asciiTheme="minorEastAsia" w:hAnsiTheme="minorEastAsia" w:eastAsiaTheme="minorEastAsia" w:cstheme="minorEastAsia"/>
                <w:b/>
                <w:bCs/>
                <w:i w:val="0"/>
                <w:iCs w:val="0"/>
                <w:color w:val="000000"/>
                <w:kern w:val="0"/>
                <w:sz w:val="24"/>
                <w:szCs w:val="24"/>
                <w:highlight w:val="none"/>
                <w:u w:val="none"/>
                <w:lang w:val="en-US" w:eastAsia="zh-CN" w:bidi="ar"/>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7" w:type="pct"/>
            <w:vMerge w:val="restart"/>
            <w:tcBorders>
              <w:left w:val="single" w:color="auto" w:sz="4" w:space="0"/>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决策</w:t>
            </w:r>
          </w:p>
        </w:tc>
        <w:tc>
          <w:tcPr>
            <w:tcW w:w="243" w:type="pct"/>
            <w:vMerge w:val="restar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20</w:t>
            </w:r>
          </w:p>
        </w:tc>
        <w:tc>
          <w:tcPr>
            <w:tcW w:w="273" w:type="pct"/>
            <w:vMerge w:val="restar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项目决策</w:t>
            </w:r>
          </w:p>
        </w:tc>
        <w:tc>
          <w:tcPr>
            <w:tcW w:w="213" w:type="pct"/>
            <w:vMerge w:val="restar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6</w:t>
            </w:r>
          </w:p>
        </w:tc>
        <w:tc>
          <w:tcPr>
            <w:tcW w:w="436" w:type="pc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申报依据充分性</w:t>
            </w:r>
          </w:p>
        </w:tc>
        <w:tc>
          <w:tcPr>
            <w:tcW w:w="222" w:type="pc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3</w:t>
            </w:r>
          </w:p>
        </w:tc>
        <w:tc>
          <w:tcPr>
            <w:tcW w:w="1231" w:type="pc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项目申报是否符合法律法规、相关政策、发展规划以及部门职责，用以反映和考核项目申报依据情况。</w:t>
            </w:r>
          </w:p>
        </w:tc>
        <w:tc>
          <w:tcPr>
            <w:tcW w:w="2101" w:type="pc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①项目申报符合国家法律法规、国民经济发展规划和相关政策得0.6分，否则整体不得分；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②项目申报符合行业发展规划和政策要求得0.6分，否则不得分；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③项目申报与部门职责范围相符，属于部门履职所需，得0.6分，否则不得分；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④项目属于公共财政支持范围，是否符合中央、地方事权支出责任划分原则得0.6分，否则不得分；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⑤项目与相关部门同类项目或部门内部相关项目无重复，得0.6分，否则不得分。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77" w:type="pct"/>
            <w:vMerge w:val="continue"/>
            <w:tcBorders>
              <w:top w:val="single" w:color="auto" w:sz="4" w:space="0"/>
              <w:lef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tcBorders>
              <w:top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vMerge w:val="continue"/>
            <w:tcBorders>
              <w:top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13" w:type="pct"/>
            <w:vMerge w:val="continue"/>
            <w:tcBorders>
              <w:top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436" w:type="pct"/>
            <w:tcBorders>
              <w:top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申报程序规范性</w:t>
            </w:r>
          </w:p>
        </w:tc>
        <w:tc>
          <w:tcPr>
            <w:tcW w:w="222" w:type="pct"/>
            <w:tcBorders>
              <w:top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3</w:t>
            </w:r>
          </w:p>
        </w:tc>
        <w:tc>
          <w:tcPr>
            <w:tcW w:w="1231" w:type="pct"/>
            <w:tcBorders>
              <w:top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项目申请、设立过程是否符合相关要求，用以反映和考核项目申报的规范情况。</w:t>
            </w:r>
          </w:p>
        </w:tc>
        <w:tc>
          <w:tcPr>
            <w:tcW w:w="2101" w:type="pct"/>
            <w:tcBorders>
              <w:top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①项目按照规定的程序申请设立，得1.5分，否则整体不得分；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②审批文件、材料符合相关要求，得1.5分，否则不得分。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277" w:type="pct"/>
            <w:vMerge w:val="continue"/>
            <w:tcBorders>
              <w:left w:val="single" w:color="auto" w:sz="4" w:space="0"/>
              <w:bottom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tcBorders>
              <w:bottom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vMerge w:val="restar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绩效目标</w:t>
            </w:r>
          </w:p>
        </w:tc>
        <w:tc>
          <w:tcPr>
            <w:tcW w:w="213" w:type="pct"/>
            <w:vMerge w:val="restar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6</w:t>
            </w:r>
          </w:p>
        </w:tc>
        <w:tc>
          <w:tcPr>
            <w:tcW w:w="436" w:type="pc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绩效目标合理性</w:t>
            </w:r>
          </w:p>
        </w:tc>
        <w:tc>
          <w:tcPr>
            <w:tcW w:w="222" w:type="pc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3</w:t>
            </w:r>
          </w:p>
        </w:tc>
        <w:tc>
          <w:tcPr>
            <w:tcW w:w="1231" w:type="pc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项目所设定的绩效目标是否依据充分，是否符合客观实际，用以反映和考核项目绩效目标与项目实施的相符情况。</w:t>
            </w:r>
          </w:p>
        </w:tc>
        <w:tc>
          <w:tcPr>
            <w:tcW w:w="2101" w:type="pct"/>
            <w:tcBorders>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①项目已设定绩效目标，得1分，否则不得分；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②绩效目标与实际工作内容具有相关性，得1分，否则不得分；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③项目预期产出效益和效果符合实际情况，得1分，否则不得分。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77" w:type="pct"/>
            <w:vMerge w:val="continue"/>
            <w:tcBorders>
              <w:top w:val="single" w:color="auto" w:sz="4" w:space="0"/>
              <w:lef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tcBorders>
              <w:top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vMerge w:val="continue"/>
            <w:tcBorders>
              <w:top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13" w:type="pct"/>
            <w:vMerge w:val="continue"/>
            <w:tcBorders>
              <w:top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436" w:type="pct"/>
            <w:tcBorders>
              <w:top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绩效指标明确性</w:t>
            </w:r>
          </w:p>
        </w:tc>
        <w:tc>
          <w:tcPr>
            <w:tcW w:w="222" w:type="pct"/>
            <w:tcBorders>
              <w:top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3</w:t>
            </w:r>
          </w:p>
        </w:tc>
        <w:tc>
          <w:tcPr>
            <w:tcW w:w="1231" w:type="pct"/>
            <w:tcBorders>
              <w:top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依据绩效目标设定的绩效指标是否清晰、细化、可衡量等，用以反映和考核项目绩效目标的明细化情况。</w:t>
            </w:r>
          </w:p>
        </w:tc>
        <w:tc>
          <w:tcPr>
            <w:tcW w:w="2101" w:type="pct"/>
            <w:tcBorders>
              <w:top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①将项目绩效目标细化分解为具体的绩效指标，得1分，否则不得分；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②通过清晰、可衡量的指标值予以体现，得1分，否则不得分；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③与预算确定的项目投资额或资金量相匹配，得1分，否则不得分。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77" w:type="pct"/>
            <w:vMerge w:val="continue"/>
            <w:tcBorders>
              <w:lef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vMerge w:val="restar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资金投入</w:t>
            </w:r>
          </w:p>
        </w:tc>
        <w:tc>
          <w:tcPr>
            <w:tcW w:w="213" w:type="pct"/>
            <w:vMerge w:val="restar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8</w:t>
            </w:r>
          </w:p>
        </w:tc>
        <w:tc>
          <w:tcPr>
            <w:tcW w:w="436"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预算编制科学性</w:t>
            </w:r>
          </w:p>
        </w:tc>
        <w:tc>
          <w:tcPr>
            <w:tcW w:w="222"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5</w:t>
            </w:r>
          </w:p>
        </w:tc>
        <w:tc>
          <w:tcPr>
            <w:tcW w:w="123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项目预算编制是否经过科学论证、有明确标准，资金额度与年度目标是否相适应，用以反映和考核项目预算编制的科学性、合理性情况。</w:t>
            </w:r>
          </w:p>
        </w:tc>
        <w:tc>
          <w:tcPr>
            <w:tcW w:w="210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①预算内容与项目实施相匹配，得2.5分，否则不得分；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②预算确定的项目投资额或资金量与工作任务相匹配，预算额度测算依据充分，并按照标准编制，得2.5分，否则不得分。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277" w:type="pct"/>
            <w:vMerge w:val="continue"/>
            <w:tcBorders>
              <w:lef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1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436"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资金分配合理性</w:t>
            </w:r>
          </w:p>
        </w:tc>
        <w:tc>
          <w:tcPr>
            <w:tcW w:w="222"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3</w:t>
            </w:r>
          </w:p>
        </w:tc>
        <w:tc>
          <w:tcPr>
            <w:tcW w:w="123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项目预算资金分配是否有测算依据，与补助单位或地方实际是否相适应，用以反映和考核项目预算资金分配的科学性、合理性情况。</w:t>
            </w:r>
          </w:p>
        </w:tc>
        <w:tc>
          <w:tcPr>
            <w:tcW w:w="210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①预算资金分配依据充分，得1.5分，否则不得分；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②资金分配额度合理，与项目单位或地方实际相适应，得1.5分，否则不得分。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277" w:type="pct"/>
            <w:vMerge w:val="restar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过程</w:t>
            </w:r>
          </w:p>
        </w:tc>
        <w:tc>
          <w:tcPr>
            <w:tcW w:w="243" w:type="pct"/>
            <w:vMerge w:val="restar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30</w:t>
            </w:r>
          </w:p>
        </w:tc>
        <w:tc>
          <w:tcPr>
            <w:tcW w:w="273" w:type="pct"/>
            <w:vMerge w:val="restar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资金</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管理</w:t>
            </w:r>
          </w:p>
        </w:tc>
        <w:tc>
          <w:tcPr>
            <w:tcW w:w="213" w:type="pct"/>
            <w:vMerge w:val="restar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18</w:t>
            </w:r>
          </w:p>
        </w:tc>
        <w:tc>
          <w:tcPr>
            <w:tcW w:w="436"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资金到位率</w:t>
            </w:r>
          </w:p>
        </w:tc>
        <w:tc>
          <w:tcPr>
            <w:tcW w:w="222"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6</w:t>
            </w:r>
          </w:p>
        </w:tc>
        <w:tc>
          <w:tcPr>
            <w:tcW w:w="123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实际到位资金与预算资金的比率，用以反映和考核资金落实情况对项目实施的总体保障程度。</w:t>
            </w:r>
          </w:p>
        </w:tc>
        <w:tc>
          <w:tcPr>
            <w:tcW w:w="210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资金到位率=（实际到位资金/预算资金）×100%；</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指标分值=资金到位率×指标满分值6分，指标得分不超过满分。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277"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1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436"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预算执行率</w:t>
            </w:r>
          </w:p>
        </w:tc>
        <w:tc>
          <w:tcPr>
            <w:tcW w:w="222"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6</w:t>
            </w:r>
          </w:p>
        </w:tc>
        <w:tc>
          <w:tcPr>
            <w:tcW w:w="123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项目预算资金是否按照计划执行，用以反映或考核项目预算执行情况。</w:t>
            </w:r>
          </w:p>
        </w:tc>
        <w:tc>
          <w:tcPr>
            <w:tcW w:w="210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资金预算执行率=（实际支出资金/实际到位资金）×100%；</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指标分值=资金到位率×指标满分值6分，指标得分不超过满分。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4" w:hRule="atLeast"/>
        </w:trPr>
        <w:tc>
          <w:tcPr>
            <w:tcW w:w="277"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1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436"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资金使用合规性</w:t>
            </w:r>
          </w:p>
        </w:tc>
        <w:tc>
          <w:tcPr>
            <w:tcW w:w="222"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6</w:t>
            </w:r>
          </w:p>
        </w:tc>
        <w:tc>
          <w:tcPr>
            <w:tcW w:w="123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项目资金使用是否符合相关的财务管理制度规定，用以反映和考核项目资金的规范运行情况。</w:t>
            </w:r>
          </w:p>
        </w:tc>
        <w:tc>
          <w:tcPr>
            <w:tcW w:w="210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①符合国家财经法规和财务管理制度以及有关专项资金管理办法的规定，得1.5分，否则此项整体不得分；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②资金的拨付有完整的审批程序和手续，得1.5分，否则不得分；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③符合项目预算批复或合同规定的用途，得1.5分，否则不得分；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④不存在截留、挤占、挪用、虚列支出等情况，得1.5分，否则不得分。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277"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vMerge w:val="restar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组织实施</w:t>
            </w:r>
          </w:p>
        </w:tc>
        <w:tc>
          <w:tcPr>
            <w:tcW w:w="213" w:type="pct"/>
            <w:vMerge w:val="restar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12</w:t>
            </w:r>
          </w:p>
        </w:tc>
        <w:tc>
          <w:tcPr>
            <w:tcW w:w="436"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管理制度健全性</w:t>
            </w:r>
          </w:p>
        </w:tc>
        <w:tc>
          <w:tcPr>
            <w:tcW w:w="222"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6</w:t>
            </w:r>
          </w:p>
        </w:tc>
        <w:tc>
          <w:tcPr>
            <w:tcW w:w="123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项目实施单位的业务管理制度是否健全，用以反映和考核业务管理制度对项目顺利实施的保障情况。</w:t>
            </w:r>
          </w:p>
        </w:tc>
        <w:tc>
          <w:tcPr>
            <w:tcW w:w="210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①保安公司已制定或具有相应的财务和业务管理制度，得2分，否则不得分；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②项目实施财务和业务管理制度合法、合规、完整，得2分，否则不得分；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③项目主管单位制定实施细则，得2分，否则不得分。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77"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1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436"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制度执行有效性</w:t>
            </w:r>
          </w:p>
        </w:tc>
        <w:tc>
          <w:tcPr>
            <w:tcW w:w="222"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6</w:t>
            </w:r>
          </w:p>
        </w:tc>
        <w:tc>
          <w:tcPr>
            <w:tcW w:w="123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项目实施是否符合相关业务管理规定，用以反映和考核业务管理制度的有效执行情况。</w:t>
            </w:r>
          </w:p>
        </w:tc>
        <w:tc>
          <w:tcPr>
            <w:tcW w:w="210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①项目实施遵守相关法律法规和相关管理规定，得2分，否则不得分；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②项目资料齐全并及时归档，得2分，否则不得分；</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③项目主管单位开展监督检查工作，得2分，否则不得分。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277" w:type="pct"/>
            <w:vMerge w:val="restar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产出</w:t>
            </w:r>
          </w:p>
        </w:tc>
        <w:tc>
          <w:tcPr>
            <w:tcW w:w="243" w:type="pct"/>
            <w:vMerge w:val="restar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30</w:t>
            </w:r>
          </w:p>
        </w:tc>
        <w:tc>
          <w:tcPr>
            <w:tcW w:w="273"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产出</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数量</w:t>
            </w:r>
          </w:p>
        </w:tc>
        <w:tc>
          <w:tcPr>
            <w:tcW w:w="213"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10</w:t>
            </w:r>
          </w:p>
        </w:tc>
        <w:tc>
          <w:tcPr>
            <w:tcW w:w="436"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领取工资保安数实际完成率</w:t>
            </w:r>
          </w:p>
        </w:tc>
        <w:tc>
          <w:tcPr>
            <w:tcW w:w="222"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10</w:t>
            </w:r>
          </w:p>
        </w:tc>
        <w:tc>
          <w:tcPr>
            <w:tcW w:w="123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项目实施的实际产出数与计划产出数的比率，用以反映和考核项目产出数量目标的实现程度。</w:t>
            </w:r>
          </w:p>
        </w:tc>
        <w:tc>
          <w:tcPr>
            <w:tcW w:w="210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领取工资保安数实际完成率=（领取工资保安数实际数/领取工资保安计划数）×100%；</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指标分值=领取工资保安数实际完成率×指标满分值10分，指标得分不超过满分。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77"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vMerge w:val="restar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产出</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质量</w:t>
            </w:r>
          </w:p>
        </w:tc>
        <w:tc>
          <w:tcPr>
            <w:tcW w:w="213" w:type="pct"/>
            <w:vMerge w:val="restar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10</w:t>
            </w:r>
          </w:p>
        </w:tc>
        <w:tc>
          <w:tcPr>
            <w:tcW w:w="436"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保安提供服务达标情况</w:t>
            </w:r>
          </w:p>
        </w:tc>
        <w:tc>
          <w:tcPr>
            <w:tcW w:w="222"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5</w:t>
            </w:r>
          </w:p>
        </w:tc>
        <w:tc>
          <w:tcPr>
            <w:tcW w:w="123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项目实施的质量达标情况，用以反映和考核项目产出质量目标的实现程度。</w:t>
            </w:r>
          </w:p>
        </w:tc>
        <w:tc>
          <w:tcPr>
            <w:tcW w:w="210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校园保安提供所提供的服务质量符合《保安服务管理条例》（2020年修订）相关规定，得5分，否则不得分。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277"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13" w:type="pct"/>
            <w:vMerge w:val="continue"/>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436"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工资按标准足额发放</w:t>
            </w:r>
          </w:p>
        </w:tc>
        <w:tc>
          <w:tcPr>
            <w:tcW w:w="222"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5</w:t>
            </w:r>
          </w:p>
        </w:tc>
        <w:tc>
          <w:tcPr>
            <w:tcW w:w="123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项目实施各校园保安工资是否按标准足额发放，用以反映和考核项目产出质量的实现程度。</w:t>
            </w:r>
          </w:p>
        </w:tc>
        <w:tc>
          <w:tcPr>
            <w:tcW w:w="2101" w:type="pct"/>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校园保安实际发放工资数额与标准一致得5分，否则不得分。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0" w:hRule="atLeast"/>
        </w:trPr>
        <w:tc>
          <w:tcPr>
            <w:tcW w:w="277" w:type="pct"/>
            <w:vMerge w:val="continue"/>
            <w:tcBorders>
              <w:bottom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tcBorders>
              <w:bottom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产出</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时效</w:t>
            </w:r>
          </w:p>
        </w:tc>
        <w:tc>
          <w:tcPr>
            <w:tcW w:w="213" w:type="pc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10</w:t>
            </w:r>
          </w:p>
        </w:tc>
        <w:tc>
          <w:tcPr>
            <w:tcW w:w="436" w:type="pc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工资发放完成及时率</w:t>
            </w:r>
          </w:p>
        </w:tc>
        <w:tc>
          <w:tcPr>
            <w:tcW w:w="222" w:type="pc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10</w:t>
            </w:r>
          </w:p>
        </w:tc>
        <w:tc>
          <w:tcPr>
            <w:tcW w:w="1231" w:type="pc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项目实际完成时间与计划完成时间的比较，用以反映和考核项目产出时效目标的实现程度。</w:t>
            </w:r>
          </w:p>
        </w:tc>
        <w:tc>
          <w:tcPr>
            <w:tcW w:w="2101" w:type="pct"/>
            <w:tcBorders>
              <w:bottom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工资发放完成及时率=实际完成时间/计划完成时间×100%；</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指标分值=工资发放完成及时率×指标满分值10分，指标得分不超过满分。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7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效益</w:t>
            </w:r>
          </w:p>
        </w:tc>
        <w:tc>
          <w:tcPr>
            <w:tcW w:w="24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20</w:t>
            </w:r>
          </w:p>
        </w:tc>
        <w:tc>
          <w:tcPr>
            <w:tcW w:w="2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社会</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效益</w:t>
            </w:r>
          </w:p>
        </w:tc>
        <w:tc>
          <w:tcPr>
            <w:tcW w:w="2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8</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保障校园安全</w:t>
            </w: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4</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校园保安的设置是否在一定程度上促进校园安全，保障学生基本人身安全。</w:t>
            </w:r>
          </w:p>
        </w:tc>
        <w:tc>
          <w:tcPr>
            <w:tcW w:w="210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提升校园安全水平得4分，否则不得分。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提供就业机会</w:t>
            </w: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4</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校园保安岗位的设置在一定程度上为当地提供了就业岗位。</w:t>
            </w:r>
          </w:p>
        </w:tc>
        <w:tc>
          <w:tcPr>
            <w:tcW w:w="210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能够提供长期、稳定的就业岗位得4分，否则不得分。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可持续影响</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6</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维护校园</w:t>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br w:type="textWrapping"/>
            </w: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周边良好的治安秩序</w:t>
            </w: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6</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该指标的设置用以反映提供校园保安服务是否具有可持续性。</w:t>
            </w:r>
          </w:p>
        </w:tc>
        <w:tc>
          <w:tcPr>
            <w:tcW w:w="210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校园保安在一定程度上维护了校园周边良好的治安秩序，并具有可持续性影响，得6分，否则不得分。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4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hd w:val="clear"/>
              <w:kinsoku/>
              <w:wordWrap/>
              <w:overflowPunct/>
              <w:topLinePunct w:val="0"/>
              <w:autoSpaceDE/>
              <w:autoSpaceDN/>
              <w:bidi w:val="0"/>
              <w:adjustRightInd w:val="0"/>
              <w:snapToGrid w:val="0"/>
              <w:spacing w:line="576" w:lineRule="exact"/>
              <w:ind w:left="0" w:leftChars="0"/>
              <w:jc w:val="center"/>
              <w:rPr>
                <w:rFonts w:hint="eastAsia" w:asciiTheme="minorEastAsia" w:hAnsiTheme="minorEastAsia" w:eastAsiaTheme="minorEastAsia" w:cstheme="minorEastAsia"/>
                <w:i w:val="0"/>
                <w:iCs w:val="0"/>
                <w:color w:val="000000"/>
                <w:sz w:val="24"/>
                <w:szCs w:val="24"/>
                <w:highlight w:val="none"/>
                <w:u w:val="none"/>
              </w:rPr>
            </w:pPr>
          </w:p>
        </w:tc>
        <w:tc>
          <w:tcPr>
            <w:tcW w:w="27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满意度</w:t>
            </w:r>
          </w:p>
        </w:tc>
        <w:tc>
          <w:tcPr>
            <w:tcW w:w="21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6</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校园师生满意度</w:t>
            </w:r>
          </w:p>
        </w:tc>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6</w:t>
            </w:r>
          </w:p>
        </w:tc>
        <w:tc>
          <w:tcPr>
            <w:tcW w:w="123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通过对校园师生的满意度调查，反映校园师生对保安服务的满意程度。</w:t>
            </w:r>
          </w:p>
        </w:tc>
        <w:tc>
          <w:tcPr>
            <w:tcW w:w="2101"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shd w:val="clear"/>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Theme="minorEastAsia" w:hAnsiTheme="minorEastAsia" w:eastAsiaTheme="minorEastAsia" w:cstheme="minorEastAsia"/>
                <w:i w:val="0"/>
                <w:iCs w:val="0"/>
                <w:color w:val="000000"/>
                <w:sz w:val="24"/>
                <w:szCs w:val="24"/>
                <w:highlight w:val="none"/>
                <w:u w:val="none"/>
              </w:rPr>
            </w:pPr>
            <w:r>
              <w:rPr>
                <w:rFonts w:hint="eastAsia" w:asciiTheme="minorEastAsia" w:hAnsiTheme="minorEastAsia" w:eastAsiaTheme="minorEastAsia" w:cstheme="minorEastAsia"/>
                <w:i w:val="0"/>
                <w:iCs w:val="0"/>
                <w:color w:val="000000"/>
                <w:kern w:val="0"/>
                <w:sz w:val="24"/>
                <w:szCs w:val="24"/>
                <w:highlight w:val="none"/>
                <w:u w:val="none"/>
                <w:lang w:val="en-US" w:eastAsia="zh-CN" w:bidi="ar"/>
              </w:rPr>
              <w:t>满意度≧95%得6分；90%≦满意度&lt;95%得5分；85%≦满意度&lt;90%得4分；80%≦满意度&lt;85%得3分；75%≦满意度&lt;80%得2分；70%≦满意度&lt;75%得1分；满意度&lt;70%不得分。</w:t>
            </w:r>
          </w:p>
        </w:tc>
      </w:tr>
    </w:tbl>
    <w:p>
      <w:pPr>
        <w:keepNext w:val="0"/>
        <w:keepLines w:val="0"/>
        <w:pageBreakBefore w:val="0"/>
        <w:widowControl w:val="0"/>
        <w:shd w:val="clear"/>
        <w:kinsoku/>
        <w:wordWrap/>
        <w:overflowPunct/>
        <w:topLinePunct w:val="0"/>
        <w:autoSpaceDE/>
        <w:autoSpaceDN/>
        <w:bidi w:val="0"/>
        <w:adjustRightInd/>
        <w:snapToGrid/>
        <w:spacing w:line="576" w:lineRule="exact"/>
        <w:ind w:left="0" w:leftChars="0" w:firstLine="0" w:firstLineChars="0"/>
        <w:textAlignment w:val="auto"/>
        <w:outlineLvl w:val="9"/>
        <w:rPr>
          <w:rFonts w:ascii="楷体" w:hAnsi="楷体" w:eastAsia="楷体" w:cs="宋体"/>
          <w:b/>
          <w:color w:val="auto"/>
          <w:szCs w:val="28"/>
          <w:highlight w:val="none"/>
        </w:rPr>
      </w:pPr>
      <w:bookmarkStart w:id="405" w:name="_Toc7283"/>
      <w:bookmarkStart w:id="406" w:name="_Toc700"/>
    </w:p>
    <w:p>
      <w:pPr>
        <w:pageBreakBefore w:val="0"/>
        <w:overflowPunct/>
        <w:topLinePunct w:val="0"/>
        <w:bidi w:val="0"/>
        <w:spacing w:line="576" w:lineRule="exact"/>
        <w:ind w:left="0" w:leftChars="0" w:firstLine="0" w:firstLineChars="0"/>
        <w:rPr>
          <w:rFonts w:hint="eastAsia" w:ascii="楷体" w:hAnsi="楷体" w:eastAsia="楷体" w:cs="宋体"/>
          <w:b/>
          <w:color w:val="auto"/>
          <w:szCs w:val="28"/>
          <w:highlight w:val="none"/>
        </w:rPr>
        <w:sectPr>
          <w:footerReference r:id="rId22" w:type="default"/>
          <w:footerReference r:id="rId23" w:type="even"/>
          <w:pgSz w:w="16838" w:h="11906" w:orient="landscape"/>
          <w:pgMar w:top="2098" w:right="1474" w:bottom="1984" w:left="1587" w:header="1077" w:footer="1077" w:gutter="0"/>
          <w:pgBorders>
            <w:top w:val="none" w:sz="0" w:space="0"/>
            <w:left w:val="none" w:sz="0" w:space="0"/>
            <w:bottom w:val="none" w:sz="0" w:space="0"/>
            <w:right w:val="none" w:sz="0" w:space="0"/>
          </w:pgBorders>
          <w:pgNumType w:fmt="numberInDash"/>
          <w:cols w:space="425" w:num="1"/>
          <w:docGrid w:type="lines" w:linePitch="435" w:charSpace="0"/>
        </w:sectPr>
      </w:pPr>
    </w:p>
    <w:p>
      <w:pPr>
        <w:pStyle w:val="4"/>
        <w:pageBreakBefore w:val="0"/>
        <w:overflowPunct/>
        <w:topLinePunct w:val="0"/>
        <w:bidi w:val="0"/>
        <w:spacing w:line="576" w:lineRule="exact"/>
        <w:ind w:left="0" w:leftChars="0" w:firstLine="0" w:firstLineChars="0"/>
        <w:rPr>
          <w:rFonts w:hint="eastAsia" w:ascii="楷体" w:hAnsi="楷体" w:eastAsia="楷体" w:cs="楷体"/>
          <w:highlight w:val="none"/>
          <w:lang w:val="en-US" w:eastAsia="zh-CN"/>
        </w:rPr>
      </w:pPr>
      <w:bookmarkStart w:id="407" w:name="_Toc31094"/>
      <w:bookmarkStart w:id="408" w:name="_Toc17726"/>
      <w:bookmarkStart w:id="409" w:name="_Toc522"/>
      <w:bookmarkStart w:id="410" w:name="_Toc4492"/>
      <w:r>
        <w:rPr>
          <w:rFonts w:hint="eastAsia" w:ascii="楷体" w:hAnsi="楷体" w:eastAsia="楷体" w:cs="楷体"/>
          <w:highlight w:val="none"/>
          <w:lang w:val="en-US" w:eastAsia="zh-CN"/>
        </w:rPr>
        <w:t>附件2 项目资金使用情况表</w:t>
      </w:r>
      <w:bookmarkEnd w:id="407"/>
      <w:bookmarkEnd w:id="408"/>
      <w:bookmarkEnd w:id="409"/>
      <w:bookmarkEnd w:id="410"/>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jc w:val="center"/>
        <w:textAlignment w:val="auto"/>
        <w:rPr>
          <w:rFonts w:hint="eastAsia" w:ascii="宋体" w:hAnsi="宋体" w:eastAsia="宋体" w:cs="宋体"/>
        </w:rPr>
      </w:pPr>
      <w:r>
        <w:rPr>
          <w:rFonts w:hint="eastAsia" w:ascii="宋体" w:hAnsi="宋体" w:eastAsia="宋体" w:cs="宋体"/>
          <w:b/>
          <w:bCs/>
          <w:sz w:val="28"/>
          <w:szCs w:val="28"/>
          <w:lang w:val="en-US" w:eastAsia="zh-CN"/>
        </w:rPr>
        <w:t>1.</w:t>
      </w:r>
      <w:r>
        <w:rPr>
          <w:rFonts w:hint="eastAsia" w:ascii="宋体" w:hAnsi="宋体" w:eastAsia="宋体" w:cs="宋体"/>
          <w:b/>
          <w:bCs/>
          <w:sz w:val="28"/>
          <w:szCs w:val="28"/>
        </w:rPr>
        <w:t>西宁市城中区2021年校园保安专项资金到位及</w:t>
      </w:r>
      <w:r>
        <w:rPr>
          <w:rFonts w:hint="eastAsia" w:ascii="宋体" w:hAnsi="宋体" w:eastAsia="宋体" w:cs="宋体"/>
          <w:b/>
          <w:bCs/>
          <w:sz w:val="28"/>
          <w:szCs w:val="28"/>
          <w:lang w:val="en-US" w:eastAsia="zh-CN"/>
        </w:rPr>
        <w:t>支出</w:t>
      </w:r>
      <w:r>
        <w:rPr>
          <w:rFonts w:hint="eastAsia" w:ascii="宋体" w:hAnsi="宋体" w:eastAsia="宋体" w:cs="宋体"/>
          <w:b/>
          <w:bCs/>
          <w:sz w:val="28"/>
          <w:szCs w:val="28"/>
        </w:rPr>
        <w:t>基本情况表</w:t>
      </w:r>
    </w:p>
    <w:p>
      <w:pPr>
        <w:keepNext w:val="0"/>
        <w:keepLines w:val="0"/>
        <w:pageBreakBefore w:val="0"/>
        <w:widowControl/>
        <w:suppressLineNumbers w:val="0"/>
        <w:overflowPunct/>
        <w:topLinePunct w:val="0"/>
        <w:bidi w:val="0"/>
        <w:spacing w:line="576" w:lineRule="exact"/>
        <w:ind w:left="0" w:leftChars="0" w:firstLine="0" w:firstLineChars="0"/>
        <w:jc w:val="right"/>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单位：万元</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2274"/>
        <w:gridCol w:w="2651"/>
        <w:gridCol w:w="2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pct"/>
          </w:tcPr>
          <w:p>
            <w:pPr>
              <w:keepNext w:val="0"/>
              <w:keepLines w:val="0"/>
              <w:pageBreakBefore w:val="0"/>
              <w:widowControl/>
              <w:suppressLineNumbers w:val="0"/>
              <w:overflowPunct/>
              <w:topLinePunct w:val="0"/>
              <w:bidi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年度</w:t>
            </w:r>
          </w:p>
        </w:tc>
        <w:tc>
          <w:tcPr>
            <w:tcW w:w="1255" w:type="pct"/>
          </w:tcPr>
          <w:p>
            <w:pPr>
              <w:keepNext w:val="0"/>
              <w:keepLines w:val="0"/>
              <w:pageBreakBefore w:val="0"/>
              <w:widowControl/>
              <w:suppressLineNumbers w:val="0"/>
              <w:overflowPunct/>
              <w:topLinePunct w:val="0"/>
              <w:bidi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到位资金</w:t>
            </w:r>
          </w:p>
        </w:tc>
        <w:tc>
          <w:tcPr>
            <w:tcW w:w="1463" w:type="pct"/>
          </w:tcPr>
          <w:p>
            <w:pPr>
              <w:keepNext w:val="0"/>
              <w:keepLines w:val="0"/>
              <w:pageBreakBefore w:val="0"/>
              <w:widowControl/>
              <w:suppressLineNumbers w:val="0"/>
              <w:overflowPunct/>
              <w:topLinePunct w:val="0"/>
              <w:bidi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支出资金</w:t>
            </w:r>
          </w:p>
        </w:tc>
        <w:tc>
          <w:tcPr>
            <w:tcW w:w="1322" w:type="pct"/>
          </w:tcPr>
          <w:p>
            <w:pPr>
              <w:keepNext w:val="0"/>
              <w:keepLines w:val="0"/>
              <w:pageBreakBefore w:val="0"/>
              <w:widowControl/>
              <w:suppressLineNumbers w:val="0"/>
              <w:overflowPunct/>
              <w:topLinePunct w:val="0"/>
              <w:bidi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剩余资金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pct"/>
          </w:tcPr>
          <w:p>
            <w:pPr>
              <w:keepNext w:val="0"/>
              <w:keepLines w:val="0"/>
              <w:pageBreakBefore w:val="0"/>
              <w:widowControl/>
              <w:suppressLineNumbers w:val="0"/>
              <w:overflowPunct/>
              <w:topLinePunct w:val="0"/>
              <w:bidi w:val="0"/>
              <w:spacing w:line="576" w:lineRule="exact"/>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2021年</w:t>
            </w:r>
          </w:p>
        </w:tc>
        <w:tc>
          <w:tcPr>
            <w:tcW w:w="1255" w:type="pct"/>
            <w:vAlign w:val="center"/>
          </w:tcPr>
          <w:p>
            <w:pPr>
              <w:keepNext w:val="0"/>
              <w:keepLines w:val="0"/>
              <w:pageBreakBefore w:val="0"/>
              <w:widowControl/>
              <w:suppressLineNumbers w:val="0"/>
              <w:overflowPunct/>
              <w:topLinePunct w:val="0"/>
              <w:bidi w:val="0"/>
              <w:spacing w:line="576" w:lineRule="exact"/>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231.84</w:t>
            </w:r>
          </w:p>
        </w:tc>
        <w:tc>
          <w:tcPr>
            <w:tcW w:w="1463" w:type="pct"/>
            <w:vAlign w:val="center"/>
          </w:tcPr>
          <w:p>
            <w:pPr>
              <w:keepNext w:val="0"/>
              <w:keepLines w:val="0"/>
              <w:pageBreakBefore w:val="0"/>
              <w:widowControl/>
              <w:suppressLineNumbers w:val="0"/>
              <w:overflowPunct/>
              <w:topLinePunct w:val="0"/>
              <w:bidi w:val="0"/>
              <w:spacing w:line="576" w:lineRule="exact"/>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175.49</w:t>
            </w:r>
          </w:p>
        </w:tc>
        <w:tc>
          <w:tcPr>
            <w:tcW w:w="1322" w:type="pct"/>
            <w:vAlign w:val="center"/>
          </w:tcPr>
          <w:p>
            <w:pPr>
              <w:keepNext w:val="0"/>
              <w:keepLines w:val="0"/>
              <w:pageBreakBefore w:val="0"/>
              <w:widowControl/>
              <w:suppressLineNumbers w:val="0"/>
              <w:overflowPunct/>
              <w:topLinePunct w:val="0"/>
              <w:bidi w:val="0"/>
              <w:spacing w:line="576" w:lineRule="exact"/>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56.35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jc w:val="center"/>
        <w:textAlignment w:val="auto"/>
        <w:rPr>
          <w:rFonts w:hint="eastAsia" w:ascii="宋体" w:hAnsi="宋体" w:eastAsia="宋体" w:cs="宋体"/>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jc w:val="center"/>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西宁市城中区2021年校园保安专项资金</w:t>
      </w:r>
      <w:r>
        <w:rPr>
          <w:rFonts w:hint="eastAsia" w:ascii="宋体" w:hAnsi="宋体" w:eastAsia="宋体" w:cs="宋体"/>
          <w:b/>
          <w:bCs/>
          <w:sz w:val="28"/>
          <w:szCs w:val="28"/>
          <w:lang w:val="en-US" w:eastAsia="zh-CN"/>
        </w:rPr>
        <w:t>使用</w:t>
      </w:r>
      <w:r>
        <w:rPr>
          <w:rFonts w:hint="eastAsia" w:ascii="宋体" w:hAnsi="宋体" w:eastAsia="宋体" w:cs="宋体"/>
          <w:b/>
          <w:bCs/>
          <w:sz w:val="28"/>
          <w:szCs w:val="28"/>
        </w:rPr>
        <w:t>情况表</w:t>
      </w:r>
    </w:p>
    <w:p>
      <w:pPr>
        <w:keepNext w:val="0"/>
        <w:keepLines w:val="0"/>
        <w:pageBreakBefore w:val="0"/>
        <w:widowControl/>
        <w:suppressLineNumbers w:val="0"/>
        <w:overflowPunct/>
        <w:topLinePunct w:val="0"/>
        <w:bidi w:val="0"/>
        <w:spacing w:line="576" w:lineRule="exact"/>
        <w:ind w:left="0" w:leftChars="0" w:firstLine="0" w:firstLineChars="0"/>
        <w:jc w:val="right"/>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单位：万元</w:t>
      </w:r>
    </w:p>
    <w:tbl>
      <w:tblPr>
        <w:tblStyle w:val="13"/>
        <w:tblW w:w="500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47"/>
        <w:gridCol w:w="1304"/>
        <w:gridCol w:w="1304"/>
        <w:gridCol w:w="1384"/>
        <w:gridCol w:w="1449"/>
        <w:gridCol w:w="128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exact"/>
          <w:jc w:val="center"/>
        </w:trPr>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季度</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2</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3</w:t>
            </w:r>
          </w:p>
        </w:tc>
        <w:tc>
          <w:tcPr>
            <w:tcW w:w="150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教育局拨付资金</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57.96</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57.96</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59.57</w:t>
            </w:r>
          </w:p>
        </w:tc>
        <w:tc>
          <w:tcPr>
            <w:tcW w:w="150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保安工资支出</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47.02</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47.12</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47.93</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142.07</w:t>
            </w:r>
          </w:p>
        </w:tc>
        <w:tc>
          <w:tcPr>
            <w:tcW w:w="7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保洁工资</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0.51</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0.51</w:t>
            </w:r>
          </w:p>
        </w:tc>
        <w:tc>
          <w:tcPr>
            <w:tcW w:w="7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0.51</w:t>
            </w:r>
          </w:p>
        </w:tc>
        <w:tc>
          <w:tcPr>
            <w:tcW w:w="7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w:t>
            </w: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10月工资</w:t>
            </w:r>
          </w:p>
        </w:tc>
        <w:tc>
          <w:tcPr>
            <w:tcW w:w="21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15.42</w:t>
            </w:r>
          </w:p>
        </w:tc>
        <w:tc>
          <w:tcPr>
            <w:tcW w:w="7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32.42</w:t>
            </w: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队长1-10月工资</w:t>
            </w:r>
          </w:p>
        </w:tc>
        <w:tc>
          <w:tcPr>
            <w:tcW w:w="21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4.10</w:t>
            </w: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保险费</w:t>
            </w:r>
          </w:p>
        </w:tc>
        <w:tc>
          <w:tcPr>
            <w:tcW w:w="21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4.81</w:t>
            </w: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体检费</w:t>
            </w:r>
          </w:p>
        </w:tc>
        <w:tc>
          <w:tcPr>
            <w:tcW w:w="21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3.38</w:t>
            </w: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培训费</w:t>
            </w:r>
          </w:p>
        </w:tc>
        <w:tc>
          <w:tcPr>
            <w:tcW w:w="21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0.40</w:t>
            </w: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行政办公费</w:t>
            </w:r>
          </w:p>
        </w:tc>
        <w:tc>
          <w:tcPr>
            <w:tcW w:w="21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1.50</w:t>
            </w: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税费</w:t>
            </w:r>
          </w:p>
        </w:tc>
        <w:tc>
          <w:tcPr>
            <w:tcW w:w="21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default"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1.40</w:t>
            </w: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服装费</w:t>
            </w:r>
          </w:p>
        </w:tc>
        <w:tc>
          <w:tcPr>
            <w:tcW w:w="21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exact"/>
          <w:jc w:val="center"/>
        </w:trPr>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防疫物品</w:t>
            </w:r>
          </w:p>
        </w:tc>
        <w:tc>
          <w:tcPr>
            <w:tcW w:w="219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0.28</w:t>
            </w:r>
          </w:p>
        </w:tc>
        <w:tc>
          <w:tcPr>
            <w:tcW w:w="7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c>
          <w:tcPr>
            <w:tcW w:w="7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000000"/>
                <w:sz w:val="24"/>
                <w:szCs w:val="24"/>
                <w:u w:val="none"/>
              </w:rPr>
            </w:pPr>
          </w:p>
        </w:tc>
      </w:tr>
    </w:tbl>
    <w:p>
      <w:pPr>
        <w:pageBreakBefore w:val="0"/>
        <w:overflowPunct/>
        <w:topLinePunct w:val="0"/>
        <w:bidi w:val="0"/>
        <w:spacing w:line="576" w:lineRule="exact"/>
        <w:ind w:left="0" w:leftChars="0"/>
        <w:rPr>
          <w:rFonts w:hint="eastAsia"/>
        </w:rPr>
        <w:sectPr>
          <w:pgSz w:w="11906" w:h="16838"/>
          <w:pgMar w:top="2098" w:right="1474" w:bottom="1984" w:left="1587" w:header="680" w:footer="722" w:gutter="0"/>
          <w:pgBorders>
            <w:top w:val="none" w:sz="0" w:space="0"/>
            <w:left w:val="none" w:sz="0" w:space="0"/>
            <w:bottom w:val="none" w:sz="0" w:space="0"/>
            <w:right w:val="none" w:sz="0" w:space="0"/>
          </w:pgBorders>
          <w:pgNumType w:fmt="numberInDash"/>
          <w:cols w:space="425" w:num="1"/>
          <w:docGrid w:type="lines" w:linePitch="435" w:charSpace="0"/>
        </w:sectPr>
      </w:pPr>
    </w:p>
    <w:bookmarkEnd w:id="405"/>
    <w:bookmarkEnd w:id="406"/>
    <w:p>
      <w:pPr>
        <w:pStyle w:val="4"/>
        <w:pageBreakBefore w:val="0"/>
        <w:overflowPunct/>
        <w:topLinePunct w:val="0"/>
        <w:bidi w:val="0"/>
        <w:spacing w:line="576" w:lineRule="exact"/>
        <w:ind w:left="0" w:leftChars="0" w:firstLine="0" w:firstLineChars="0"/>
        <w:rPr>
          <w:rFonts w:hint="eastAsia"/>
          <w:lang w:eastAsia="zh-CN"/>
        </w:rPr>
      </w:pPr>
      <w:bookmarkStart w:id="411" w:name="_Toc7522"/>
      <w:bookmarkStart w:id="412" w:name="_Toc23959"/>
      <w:bookmarkStart w:id="413" w:name="_Toc11768"/>
      <w:bookmarkStart w:id="414" w:name="_Toc15450"/>
      <w:r>
        <w:rPr>
          <w:rFonts w:hint="eastAsia"/>
        </w:rPr>
        <w:t>附件</w:t>
      </w:r>
      <w:r>
        <w:rPr>
          <w:rFonts w:hint="eastAsia"/>
          <w:lang w:val="en-US" w:eastAsia="zh-CN"/>
        </w:rPr>
        <w:t>3</w:t>
      </w:r>
      <w:r>
        <w:rPr>
          <w:rFonts w:hint="eastAsia"/>
        </w:rPr>
        <w:t xml:space="preserve"> </w:t>
      </w:r>
      <w:r>
        <w:rPr>
          <w:rFonts w:hint="eastAsia"/>
          <w:lang w:eastAsia="zh-CN"/>
        </w:rPr>
        <w:t>问卷调查满意度分析</w:t>
      </w:r>
      <w:bookmarkEnd w:id="411"/>
      <w:bookmarkEnd w:id="412"/>
      <w:bookmarkEnd w:id="413"/>
      <w:bookmarkEnd w:id="414"/>
    </w:p>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ajorEastAsia" w:hAnsiTheme="majorEastAsia" w:eastAsiaTheme="majorEastAsia" w:cstheme="majorEastAsia"/>
          <w:b/>
          <w:color w:val="auto"/>
          <w:kern w:val="0"/>
          <w:sz w:val="28"/>
          <w:szCs w:val="28"/>
          <w:highlight w:val="none"/>
          <w:lang w:val="en-US" w:eastAsia="zh-CN"/>
        </w:rPr>
      </w:pPr>
      <w:r>
        <w:rPr>
          <w:rFonts w:hint="eastAsia" w:asciiTheme="majorEastAsia" w:hAnsiTheme="majorEastAsia" w:eastAsiaTheme="majorEastAsia" w:cstheme="majorEastAsia"/>
          <w:b/>
          <w:color w:val="auto"/>
          <w:kern w:val="0"/>
          <w:sz w:val="28"/>
          <w:szCs w:val="28"/>
          <w:highlight w:val="none"/>
          <w:lang w:val="en-US" w:eastAsia="zh-CN"/>
        </w:rPr>
        <w:t>西宁市城中区2021年校园保安专项资金项目绩效评价</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heme="majorEastAsia" w:hAnsiTheme="majorEastAsia" w:eastAsiaTheme="majorEastAsia" w:cstheme="majorEastAsia"/>
          <w:b/>
          <w:color w:val="auto"/>
          <w:kern w:val="0"/>
          <w:sz w:val="28"/>
          <w:szCs w:val="28"/>
          <w:highlight w:val="none"/>
          <w:lang w:val="en-US" w:eastAsia="zh-CN"/>
        </w:rPr>
      </w:pPr>
      <w:r>
        <w:rPr>
          <w:rFonts w:hint="eastAsia" w:asciiTheme="majorEastAsia" w:hAnsiTheme="majorEastAsia" w:eastAsiaTheme="majorEastAsia" w:cstheme="majorEastAsia"/>
          <w:b/>
          <w:color w:val="auto"/>
          <w:kern w:val="0"/>
          <w:sz w:val="28"/>
          <w:szCs w:val="28"/>
          <w:highlight w:val="none"/>
          <w:lang w:val="en-US" w:eastAsia="zh-CN"/>
        </w:rPr>
        <w:t>校园师生满意度调查问卷</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0" w:firstLineChars="0"/>
        <w:jc w:val="both"/>
        <w:textAlignment w:val="auto"/>
        <w:rPr>
          <w:rFonts w:hint="eastAsia" w:ascii="宋体" w:hAnsi="宋体" w:eastAsia="宋体" w:cs="宋体"/>
          <w:b/>
          <w:bCs/>
          <w:color w:val="auto"/>
          <w:sz w:val="24"/>
          <w:szCs w:val="24"/>
          <w:highlight w:val="none"/>
          <w:lang w:val="en-US" w:eastAsia="zh-CN"/>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b w:val="0"/>
          <w:color w:val="0066FF"/>
          <w:kern w:val="0"/>
          <w:sz w:val="24"/>
        </w:rPr>
      </w:pPr>
      <w:r>
        <w:rPr>
          <w:rFonts w:hint="eastAsia" w:ascii="仿宋" w:hAnsi="仿宋" w:eastAsia="仿宋" w:cs="仿宋"/>
          <w:b w:val="0"/>
          <w:color w:val="000000"/>
          <w:kern w:val="0"/>
          <w:sz w:val="24"/>
          <w:szCs w:val="24"/>
        </w:rPr>
        <w:t>第1题   您的职业是？</w:t>
      </w:r>
      <w:r>
        <w:rPr>
          <w:rFonts w:hint="eastAsia" w:ascii="仿宋" w:hAnsi="仿宋" w:eastAsia="仿宋" w:cs="仿宋"/>
          <w:b w:val="0"/>
          <w:color w:val="auto"/>
          <w:kern w:val="0"/>
          <w:sz w:val="24"/>
          <w:szCs w:val="24"/>
        </w:rPr>
        <w:t>[多选题]</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50"/>
        <w:gridCol w:w="1091"/>
        <w:gridCol w:w="4620"/>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教师</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72</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485775" cy="114300"/>
                  <wp:effectExtent l="0" t="0" r="9525" b="0"/>
                  <wp:docPr id="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pic:cNvPicPr>
                            <a:picLocks noChangeAspect="1"/>
                          </pic:cNvPicPr>
                        </pic:nvPicPr>
                        <pic:blipFill>
                          <a:blip r:embed="rId71"/>
                          <a:stretch>
                            <a:fillRect/>
                          </a:stretch>
                        </pic:blipFill>
                        <pic:spPr>
                          <a:xfrm>
                            <a:off x="0" y="0"/>
                            <a:ext cx="485775"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866775" cy="114300"/>
                  <wp:effectExtent l="0" t="0" r="9525" b="0"/>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pic:cNvPicPr>
                            <a:picLocks noChangeAspect="1"/>
                          </pic:cNvPicPr>
                        </pic:nvPicPr>
                        <pic:blipFill>
                          <a:blip r:embed="rId72"/>
                          <a:stretch>
                            <a:fillRect/>
                          </a:stretch>
                        </pic:blipFill>
                        <pic:spPr>
                          <a:xfrm>
                            <a:off x="0" y="0"/>
                            <a:ext cx="866775" cy="114300"/>
                          </a:xfrm>
                          <a:prstGeom prst="rect">
                            <a:avLst/>
                          </a:prstGeom>
                          <a:noFill/>
                          <a:ln>
                            <a:noFill/>
                          </a:ln>
                        </pic:spPr>
                      </pic:pic>
                    </a:graphicData>
                  </a:graphic>
                </wp:inline>
              </w:drawing>
            </w:r>
            <w:r>
              <w:rPr>
                <w:rFonts w:hint="eastAsia" w:ascii="仿宋" w:hAnsi="仿宋" w:eastAsia="仿宋" w:cs="仿宋"/>
                <w:kern w:val="0"/>
                <w:sz w:val="24"/>
                <w:szCs w:val="24"/>
              </w:rPr>
              <w:t>36%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学生</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35</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228600" cy="114300"/>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pic:cNvPicPr>
                            <a:picLocks noChangeAspect="1"/>
                          </pic:cNvPicPr>
                        </pic:nvPicPr>
                        <pic:blipFill>
                          <a:blip r:embed="rId73"/>
                          <a:stretch>
                            <a:fillRect/>
                          </a:stretch>
                        </pic:blipFill>
                        <pic:spPr>
                          <a:xfrm>
                            <a:off x="0" y="0"/>
                            <a:ext cx="228600"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1123950" cy="1143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74"/>
                          <a:stretch>
                            <a:fillRect/>
                          </a:stretch>
                        </pic:blipFill>
                        <pic:spPr>
                          <a:xfrm>
                            <a:off x="0" y="0"/>
                            <a:ext cx="1123950" cy="114300"/>
                          </a:xfrm>
                          <a:prstGeom prst="rect">
                            <a:avLst/>
                          </a:prstGeom>
                          <a:noFill/>
                          <a:ln>
                            <a:noFill/>
                          </a:ln>
                        </pic:spPr>
                      </pic:pic>
                    </a:graphicData>
                  </a:graphic>
                </wp:inline>
              </w:drawing>
            </w:r>
            <w:r>
              <w:rPr>
                <w:rFonts w:hint="eastAsia" w:ascii="仿宋" w:hAnsi="仿宋" w:eastAsia="仿宋" w:cs="仿宋"/>
                <w:kern w:val="0"/>
                <w:sz w:val="24"/>
                <w:szCs w:val="24"/>
              </w:rPr>
              <w:t>17.5%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其他职工</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99</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666750" cy="114300"/>
                  <wp:effectExtent l="0" t="0" r="0" b="0"/>
                  <wp:docPr id="5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pic:cNvPicPr>
                            <a:picLocks noChangeAspect="1"/>
                          </pic:cNvPicPr>
                        </pic:nvPicPr>
                        <pic:blipFill>
                          <a:blip r:embed="rId75"/>
                          <a:stretch>
                            <a:fillRect/>
                          </a:stretch>
                        </pic:blipFill>
                        <pic:spPr>
                          <a:xfrm>
                            <a:off x="0" y="0"/>
                            <a:ext cx="666750"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685800" cy="114300"/>
                  <wp:effectExtent l="0" t="0" r="0" b="0"/>
                  <wp:docPr id="5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8"/>
                          <pic:cNvPicPr>
                            <a:picLocks noChangeAspect="1"/>
                          </pic:cNvPicPr>
                        </pic:nvPicPr>
                        <pic:blipFill>
                          <a:blip r:embed="rId76"/>
                          <a:stretch>
                            <a:fillRect/>
                          </a:stretch>
                        </pic:blipFill>
                        <pic:spPr>
                          <a:xfrm>
                            <a:off x="0" y="0"/>
                            <a:ext cx="685800" cy="114300"/>
                          </a:xfrm>
                          <a:prstGeom prst="rect">
                            <a:avLst/>
                          </a:prstGeom>
                          <a:noFill/>
                          <a:ln>
                            <a:noFill/>
                          </a:ln>
                        </pic:spPr>
                      </pic:pic>
                    </a:graphicData>
                  </a:graphic>
                </wp:inline>
              </w:drawing>
            </w:r>
            <w:r>
              <w:rPr>
                <w:rFonts w:hint="eastAsia" w:ascii="仿宋" w:hAnsi="仿宋" w:eastAsia="仿宋" w:cs="仿宋"/>
                <w:kern w:val="0"/>
                <w:sz w:val="24"/>
                <w:szCs w:val="24"/>
              </w:rPr>
              <w:t>49.5%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200</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kern w:val="0"/>
          <w:sz w:val="24"/>
        </w:rPr>
      </w:pPr>
    </w:p>
    <w:p>
      <w:pPr>
        <w:pageBreakBefore w:val="0"/>
        <w:widowControl/>
        <w:overflowPunct/>
        <w:topLinePunct w:val="0"/>
        <w:bidi w:val="0"/>
        <w:spacing w:line="576" w:lineRule="exact"/>
        <w:ind w:left="0" w:leftChars="0" w:firstLine="0" w:firstLineChars="0"/>
        <w:jc w:val="left"/>
        <w:rPr>
          <w:rFonts w:hint="eastAsia" w:ascii="仿宋" w:hAnsi="仿宋" w:eastAsia="仿宋" w:cs="仿宋"/>
          <w:b w:val="0"/>
          <w:color w:val="000000"/>
          <w:kern w:val="0"/>
          <w:sz w:val="24"/>
          <w:szCs w:val="24"/>
        </w:rPr>
      </w:pPr>
      <w:r>
        <w:rPr>
          <w:rFonts w:hint="eastAsia" w:ascii="仿宋" w:hAnsi="仿宋" w:eastAsia="仿宋" w:cs="仿宋"/>
          <w:b w:val="0"/>
          <w:color w:val="000000"/>
          <w:kern w:val="0"/>
          <w:sz w:val="24"/>
          <w:szCs w:val="24"/>
        </w:rPr>
        <w:t>第2题   您是否了解西宁市城中区校园保安专项资金项目？[单选题]</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76"/>
        <w:gridCol w:w="1133"/>
        <w:gridCol w:w="4452"/>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86</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581025" cy="114300"/>
                  <wp:effectExtent l="0" t="0" r="9525" b="0"/>
                  <wp:docPr id="5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9"/>
                          <pic:cNvPicPr>
                            <a:picLocks noChangeAspect="1"/>
                          </pic:cNvPicPr>
                        </pic:nvPicPr>
                        <pic:blipFill>
                          <a:blip r:embed="rId77"/>
                          <a:stretch>
                            <a:fillRect/>
                          </a:stretch>
                        </pic:blipFill>
                        <pic:spPr>
                          <a:xfrm>
                            <a:off x="0" y="0"/>
                            <a:ext cx="581025"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771525" cy="114300"/>
                  <wp:effectExtent l="0" t="0" r="9525" b="0"/>
                  <wp:docPr id="4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0"/>
                          <pic:cNvPicPr>
                            <a:picLocks noChangeAspect="1"/>
                          </pic:cNvPicPr>
                        </pic:nvPicPr>
                        <pic:blipFill>
                          <a:blip r:embed="rId78"/>
                          <a:stretch>
                            <a:fillRect/>
                          </a:stretch>
                        </pic:blipFill>
                        <pic:spPr>
                          <a:xfrm>
                            <a:off x="0" y="0"/>
                            <a:ext cx="771525" cy="114300"/>
                          </a:xfrm>
                          <a:prstGeom prst="rect">
                            <a:avLst/>
                          </a:prstGeom>
                          <a:noFill/>
                          <a:ln>
                            <a:noFill/>
                          </a:ln>
                        </pic:spPr>
                      </pic:pic>
                    </a:graphicData>
                  </a:graphic>
                </wp:inline>
              </w:drawing>
            </w:r>
            <w:r>
              <w:rPr>
                <w:rFonts w:hint="eastAsia" w:ascii="仿宋" w:hAnsi="仿宋" w:eastAsia="仿宋" w:cs="仿宋"/>
                <w:kern w:val="0"/>
                <w:sz w:val="24"/>
                <w:szCs w:val="24"/>
              </w:rPr>
              <w:t>43%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否</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114</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762000" cy="114300"/>
                  <wp:effectExtent l="0" t="0" r="0" b="0"/>
                  <wp:docPr id="7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1"/>
                          <pic:cNvPicPr>
                            <a:picLocks noChangeAspect="1"/>
                          </pic:cNvPicPr>
                        </pic:nvPicPr>
                        <pic:blipFill>
                          <a:blip r:embed="rId79"/>
                          <a:stretch>
                            <a:fillRect/>
                          </a:stretch>
                        </pic:blipFill>
                        <pic:spPr>
                          <a:xfrm>
                            <a:off x="0" y="0"/>
                            <a:ext cx="762000"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590550" cy="114300"/>
                  <wp:effectExtent l="0" t="0" r="0" b="0"/>
                  <wp:docPr id="7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2"/>
                          <pic:cNvPicPr>
                            <a:picLocks noChangeAspect="1"/>
                          </pic:cNvPicPr>
                        </pic:nvPicPr>
                        <pic:blipFill>
                          <a:blip r:embed="rId80"/>
                          <a:stretch>
                            <a:fillRect/>
                          </a:stretch>
                        </pic:blipFill>
                        <pic:spPr>
                          <a:xfrm>
                            <a:off x="0" y="0"/>
                            <a:ext cx="590550" cy="114300"/>
                          </a:xfrm>
                          <a:prstGeom prst="rect">
                            <a:avLst/>
                          </a:prstGeom>
                          <a:noFill/>
                          <a:ln>
                            <a:noFill/>
                          </a:ln>
                        </pic:spPr>
                      </pic:pic>
                    </a:graphicData>
                  </a:graphic>
                </wp:inline>
              </w:drawing>
            </w:r>
            <w:r>
              <w:rPr>
                <w:rFonts w:hint="eastAsia" w:ascii="仿宋" w:hAnsi="仿宋" w:eastAsia="仿宋" w:cs="仿宋"/>
                <w:kern w:val="0"/>
                <w:sz w:val="24"/>
                <w:szCs w:val="24"/>
              </w:rPr>
              <w:t>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200</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b w:val="0"/>
          <w:color w:val="0066FF"/>
          <w:kern w:val="0"/>
          <w:sz w:val="24"/>
        </w:rPr>
      </w:pPr>
      <w:r>
        <w:rPr>
          <w:rFonts w:hint="eastAsia" w:ascii="仿宋" w:hAnsi="仿宋" w:eastAsia="仿宋" w:cs="仿宋"/>
          <w:b w:val="0"/>
          <w:color w:val="000000"/>
          <w:kern w:val="0"/>
          <w:sz w:val="24"/>
          <w:szCs w:val="24"/>
        </w:rPr>
        <w:t>第3题   据您了解，校园保安工资发放是否存在拖延的情况？[单选题]</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32"/>
        <w:gridCol w:w="1086"/>
        <w:gridCol w:w="464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15</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95250" cy="114300"/>
                  <wp:effectExtent l="0" t="0" r="0" b="0"/>
                  <wp:docPr id="7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3"/>
                          <pic:cNvPicPr>
                            <a:picLocks noChangeAspect="1"/>
                          </pic:cNvPicPr>
                        </pic:nvPicPr>
                        <pic:blipFill>
                          <a:blip r:embed="rId81"/>
                          <a:stretch>
                            <a:fillRect/>
                          </a:stretch>
                        </pic:blipFill>
                        <pic:spPr>
                          <a:xfrm>
                            <a:off x="0" y="0"/>
                            <a:ext cx="95250"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1257300" cy="114300"/>
                  <wp:effectExtent l="0" t="0" r="0" b="0"/>
                  <wp:docPr id="7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4"/>
                          <pic:cNvPicPr>
                            <a:picLocks noChangeAspect="1"/>
                          </pic:cNvPicPr>
                        </pic:nvPicPr>
                        <pic:blipFill>
                          <a:blip r:embed="rId82"/>
                          <a:stretch>
                            <a:fillRect/>
                          </a:stretch>
                        </pic:blipFill>
                        <pic:spPr>
                          <a:xfrm>
                            <a:off x="0" y="0"/>
                            <a:ext cx="1257300" cy="114300"/>
                          </a:xfrm>
                          <a:prstGeom prst="rect">
                            <a:avLst/>
                          </a:prstGeom>
                          <a:noFill/>
                          <a:ln>
                            <a:noFill/>
                          </a:ln>
                        </pic:spPr>
                      </pic:pic>
                    </a:graphicData>
                  </a:graphic>
                </wp:inline>
              </w:drawing>
            </w:r>
            <w:r>
              <w:rPr>
                <w:rFonts w:hint="eastAsia" w:ascii="仿宋" w:hAnsi="仿宋" w:eastAsia="仿宋" w:cs="仿宋"/>
                <w:kern w:val="0"/>
                <w:sz w:val="24"/>
                <w:szCs w:val="24"/>
              </w:rPr>
              <w:t>7.5%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否</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185</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1247775" cy="114300"/>
                  <wp:effectExtent l="0" t="0" r="9525" b="0"/>
                  <wp:docPr id="7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5"/>
                          <pic:cNvPicPr>
                            <a:picLocks noChangeAspect="1"/>
                          </pic:cNvPicPr>
                        </pic:nvPicPr>
                        <pic:blipFill>
                          <a:blip r:embed="rId83"/>
                          <a:stretch>
                            <a:fillRect/>
                          </a:stretch>
                        </pic:blipFill>
                        <pic:spPr>
                          <a:xfrm>
                            <a:off x="0" y="0"/>
                            <a:ext cx="1247775"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104775" cy="114300"/>
                  <wp:effectExtent l="0" t="0" r="9525" b="0"/>
                  <wp:docPr id="5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6"/>
                          <pic:cNvPicPr>
                            <a:picLocks noChangeAspect="1"/>
                          </pic:cNvPicPr>
                        </pic:nvPicPr>
                        <pic:blipFill>
                          <a:blip r:embed="rId84"/>
                          <a:stretch>
                            <a:fillRect/>
                          </a:stretch>
                        </pic:blipFill>
                        <pic:spPr>
                          <a:xfrm>
                            <a:off x="0" y="0"/>
                            <a:ext cx="104775" cy="114300"/>
                          </a:xfrm>
                          <a:prstGeom prst="rect">
                            <a:avLst/>
                          </a:prstGeom>
                          <a:noFill/>
                          <a:ln>
                            <a:noFill/>
                          </a:ln>
                        </pic:spPr>
                      </pic:pic>
                    </a:graphicData>
                  </a:graphic>
                </wp:inline>
              </w:drawing>
            </w:r>
            <w:r>
              <w:rPr>
                <w:rFonts w:hint="eastAsia" w:ascii="仿宋" w:hAnsi="仿宋" w:eastAsia="仿宋" w:cs="仿宋"/>
                <w:kern w:val="0"/>
                <w:sz w:val="24"/>
                <w:szCs w:val="24"/>
              </w:rPr>
              <w:t>92.5%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200</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b w:val="0"/>
          <w:color w:val="0066FF"/>
          <w:kern w:val="0"/>
          <w:sz w:val="24"/>
        </w:rPr>
      </w:pPr>
      <w:r>
        <w:rPr>
          <w:rFonts w:hint="eastAsia" w:ascii="仿宋" w:hAnsi="仿宋" w:eastAsia="仿宋" w:cs="仿宋"/>
          <w:b w:val="0"/>
          <w:color w:val="000000"/>
          <w:kern w:val="0"/>
          <w:sz w:val="24"/>
          <w:szCs w:val="24"/>
        </w:rPr>
        <w:t>第4题   您认为校园保安数量的设置是否合理？[单选题]</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76"/>
        <w:gridCol w:w="1133"/>
        <w:gridCol w:w="4452"/>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174</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1171575" cy="114300"/>
                  <wp:effectExtent l="0" t="0" r="9525" b="0"/>
                  <wp:docPr id="5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7"/>
                          <pic:cNvPicPr>
                            <a:picLocks noChangeAspect="1"/>
                          </pic:cNvPicPr>
                        </pic:nvPicPr>
                        <pic:blipFill>
                          <a:blip r:embed="rId85"/>
                          <a:stretch>
                            <a:fillRect/>
                          </a:stretch>
                        </pic:blipFill>
                        <pic:spPr>
                          <a:xfrm>
                            <a:off x="0" y="0"/>
                            <a:ext cx="1171575"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180975" cy="114300"/>
                  <wp:effectExtent l="0" t="0" r="9525" b="0"/>
                  <wp:docPr id="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8"/>
                          <pic:cNvPicPr>
                            <a:picLocks noChangeAspect="1"/>
                          </pic:cNvPicPr>
                        </pic:nvPicPr>
                        <pic:blipFill>
                          <a:blip r:embed="rId86"/>
                          <a:stretch>
                            <a:fillRect/>
                          </a:stretch>
                        </pic:blipFill>
                        <pic:spPr>
                          <a:xfrm>
                            <a:off x="0" y="0"/>
                            <a:ext cx="180975" cy="114300"/>
                          </a:xfrm>
                          <a:prstGeom prst="rect">
                            <a:avLst/>
                          </a:prstGeom>
                          <a:noFill/>
                          <a:ln>
                            <a:noFill/>
                          </a:ln>
                        </pic:spPr>
                      </pic:pic>
                    </a:graphicData>
                  </a:graphic>
                </wp:inline>
              </w:drawing>
            </w:r>
            <w:r>
              <w:rPr>
                <w:rFonts w:hint="eastAsia" w:ascii="仿宋" w:hAnsi="仿宋" w:eastAsia="仿宋" w:cs="仿宋"/>
                <w:kern w:val="0"/>
                <w:sz w:val="24"/>
                <w:szCs w:val="24"/>
              </w:rPr>
              <w:t>87%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否</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26</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171450" cy="114300"/>
                  <wp:effectExtent l="0" t="0" r="0" b="0"/>
                  <wp:docPr id="7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9"/>
                          <pic:cNvPicPr>
                            <a:picLocks noChangeAspect="1"/>
                          </pic:cNvPicPr>
                        </pic:nvPicPr>
                        <pic:blipFill>
                          <a:blip r:embed="rId87"/>
                          <a:stretch>
                            <a:fillRect/>
                          </a:stretch>
                        </pic:blipFill>
                        <pic:spPr>
                          <a:xfrm>
                            <a:off x="0" y="0"/>
                            <a:ext cx="171450"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1181100" cy="114300"/>
                  <wp:effectExtent l="0" t="0" r="0" b="0"/>
                  <wp:docPr id="6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0"/>
                          <pic:cNvPicPr>
                            <a:picLocks noChangeAspect="1"/>
                          </pic:cNvPicPr>
                        </pic:nvPicPr>
                        <pic:blipFill>
                          <a:blip r:embed="rId88"/>
                          <a:stretch>
                            <a:fillRect/>
                          </a:stretch>
                        </pic:blipFill>
                        <pic:spPr>
                          <a:xfrm>
                            <a:off x="0" y="0"/>
                            <a:ext cx="1181100" cy="114300"/>
                          </a:xfrm>
                          <a:prstGeom prst="rect">
                            <a:avLst/>
                          </a:prstGeom>
                          <a:noFill/>
                          <a:ln>
                            <a:noFill/>
                          </a:ln>
                        </pic:spPr>
                      </pic:pic>
                    </a:graphicData>
                  </a:graphic>
                </wp:inline>
              </w:drawing>
            </w:r>
            <w:r>
              <w:rPr>
                <w:rFonts w:hint="eastAsia" w:ascii="仿宋" w:hAnsi="仿宋" w:eastAsia="仿宋" w:cs="仿宋"/>
                <w:kern w:val="0"/>
                <w:sz w:val="24"/>
                <w:szCs w:val="24"/>
              </w:rPr>
              <w:t>13%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200</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p>
        </w:tc>
      </w:tr>
    </w:tbl>
    <w:p>
      <w:pPr>
        <w:pageBreakBefore w:val="0"/>
        <w:widowControl/>
        <w:overflowPunct/>
        <w:topLinePunct w:val="0"/>
        <w:bidi w:val="0"/>
        <w:spacing w:line="576" w:lineRule="exact"/>
        <w:ind w:left="0" w:leftChars="0" w:firstLine="0" w:firstLineChars="0"/>
        <w:jc w:val="left"/>
        <w:rPr>
          <w:rFonts w:hint="eastAsia" w:ascii="仿宋" w:hAnsi="仿宋" w:eastAsia="仿宋" w:cs="仿宋"/>
          <w:b w:val="0"/>
          <w:color w:val="000000"/>
          <w:kern w:val="0"/>
          <w:sz w:val="24"/>
          <w:szCs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b w:val="0"/>
          <w:color w:val="0066FF"/>
          <w:kern w:val="0"/>
          <w:sz w:val="24"/>
        </w:rPr>
      </w:pPr>
      <w:r>
        <w:rPr>
          <w:rFonts w:hint="eastAsia" w:ascii="仿宋" w:hAnsi="仿宋" w:eastAsia="仿宋" w:cs="仿宋"/>
          <w:b w:val="0"/>
          <w:color w:val="000000"/>
          <w:kern w:val="0"/>
          <w:sz w:val="24"/>
          <w:szCs w:val="24"/>
        </w:rPr>
        <w:t>第5题   您认为校园保安能否保障校园安全？[单选题]</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76"/>
        <w:gridCol w:w="1133"/>
        <w:gridCol w:w="4452"/>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170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1143000" cy="114300"/>
                  <wp:effectExtent l="0" t="0" r="0" b="0"/>
                  <wp:docPr id="5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1"/>
                          <pic:cNvPicPr>
                            <a:picLocks noChangeAspect="1"/>
                          </pic:cNvPicPr>
                        </pic:nvPicPr>
                        <pic:blipFill>
                          <a:blip r:embed="rId89"/>
                          <a:stretch>
                            <a:fillRect/>
                          </a:stretch>
                        </pic:blipFill>
                        <pic:spPr>
                          <a:xfrm>
                            <a:off x="0" y="0"/>
                            <a:ext cx="1143000"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209550" cy="114300"/>
                  <wp:effectExtent l="0" t="0" r="0" b="0"/>
                  <wp:docPr id="6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2"/>
                          <pic:cNvPicPr>
                            <a:picLocks noChangeAspect="1"/>
                          </pic:cNvPicPr>
                        </pic:nvPicPr>
                        <pic:blipFill>
                          <a:blip r:embed="rId90"/>
                          <a:stretch>
                            <a:fillRect/>
                          </a:stretch>
                        </pic:blipFill>
                        <pic:spPr>
                          <a:xfrm>
                            <a:off x="0" y="0"/>
                            <a:ext cx="209550" cy="114300"/>
                          </a:xfrm>
                          <a:prstGeom prst="rect">
                            <a:avLst/>
                          </a:prstGeom>
                          <a:noFill/>
                          <a:ln>
                            <a:noFill/>
                          </a:ln>
                        </pic:spPr>
                      </pic:pic>
                    </a:graphicData>
                  </a:graphic>
                </wp:inline>
              </w:drawing>
            </w:r>
            <w:r>
              <w:rPr>
                <w:rFonts w:hint="eastAsia" w:ascii="仿宋" w:hAnsi="仿宋" w:eastAsia="仿宋" w:cs="仿宋"/>
                <w:kern w:val="0"/>
                <w:sz w:val="24"/>
                <w:szCs w:val="24"/>
              </w:rPr>
              <w:t>85%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否</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30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200025" cy="114300"/>
                  <wp:effectExtent l="0" t="0" r="9525" b="0"/>
                  <wp:docPr id="6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3"/>
                          <pic:cNvPicPr>
                            <a:picLocks noChangeAspect="1"/>
                          </pic:cNvPicPr>
                        </pic:nvPicPr>
                        <pic:blipFill>
                          <a:blip r:embed="rId91"/>
                          <a:stretch>
                            <a:fillRect/>
                          </a:stretch>
                        </pic:blipFill>
                        <pic:spPr>
                          <a:xfrm>
                            <a:off x="0" y="0"/>
                            <a:ext cx="200025"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1152525" cy="114300"/>
                  <wp:effectExtent l="0" t="0" r="9525" b="0"/>
                  <wp:docPr id="5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4"/>
                          <pic:cNvPicPr>
                            <a:picLocks noChangeAspect="1"/>
                          </pic:cNvPicPr>
                        </pic:nvPicPr>
                        <pic:blipFill>
                          <a:blip r:embed="rId92"/>
                          <a:stretch>
                            <a:fillRect/>
                          </a:stretch>
                        </pic:blipFill>
                        <pic:spPr>
                          <a:xfrm>
                            <a:off x="0" y="0"/>
                            <a:ext cx="1152525" cy="114300"/>
                          </a:xfrm>
                          <a:prstGeom prst="rect">
                            <a:avLst/>
                          </a:prstGeom>
                          <a:noFill/>
                          <a:ln>
                            <a:noFill/>
                          </a:ln>
                        </pic:spPr>
                      </pic:pic>
                    </a:graphicData>
                  </a:graphic>
                </wp:inline>
              </w:drawing>
            </w:r>
            <w:r>
              <w:rPr>
                <w:rFonts w:hint="eastAsia" w:ascii="仿宋" w:hAnsi="仿宋" w:eastAsia="仿宋" w:cs="仿宋"/>
                <w:kern w:val="0"/>
                <w:sz w:val="24"/>
                <w:szCs w:val="24"/>
              </w:rPr>
              <w:t>15%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200</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b w:val="0"/>
          <w:color w:val="0066FF"/>
          <w:kern w:val="0"/>
          <w:sz w:val="24"/>
        </w:rPr>
      </w:pPr>
      <w:r>
        <w:rPr>
          <w:rFonts w:hint="eastAsia" w:ascii="仿宋" w:hAnsi="仿宋" w:eastAsia="仿宋" w:cs="仿宋"/>
          <w:b w:val="0"/>
          <w:color w:val="000000"/>
          <w:kern w:val="0"/>
          <w:sz w:val="24"/>
          <w:szCs w:val="24"/>
        </w:rPr>
        <w:t>第6题   您对校园保安在岗精神风貌是否满意？[单选题]</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32"/>
        <w:gridCol w:w="1086"/>
        <w:gridCol w:w="464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185</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1247775" cy="114300"/>
                  <wp:effectExtent l="0" t="0" r="9525" b="0"/>
                  <wp:docPr id="7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5"/>
                          <pic:cNvPicPr>
                            <a:picLocks noChangeAspect="1"/>
                          </pic:cNvPicPr>
                        </pic:nvPicPr>
                        <pic:blipFill>
                          <a:blip r:embed="rId83"/>
                          <a:stretch>
                            <a:fillRect/>
                          </a:stretch>
                        </pic:blipFill>
                        <pic:spPr>
                          <a:xfrm>
                            <a:off x="0" y="0"/>
                            <a:ext cx="1247775"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104775" cy="114300"/>
                  <wp:effectExtent l="0" t="0" r="9525" b="0"/>
                  <wp:docPr id="57"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6"/>
                          <pic:cNvPicPr>
                            <a:picLocks noChangeAspect="1"/>
                          </pic:cNvPicPr>
                        </pic:nvPicPr>
                        <pic:blipFill>
                          <a:blip r:embed="rId84"/>
                          <a:stretch>
                            <a:fillRect/>
                          </a:stretch>
                        </pic:blipFill>
                        <pic:spPr>
                          <a:xfrm>
                            <a:off x="0" y="0"/>
                            <a:ext cx="104775" cy="114300"/>
                          </a:xfrm>
                          <a:prstGeom prst="rect">
                            <a:avLst/>
                          </a:prstGeom>
                          <a:noFill/>
                          <a:ln>
                            <a:noFill/>
                          </a:ln>
                        </pic:spPr>
                      </pic:pic>
                    </a:graphicData>
                  </a:graphic>
                </wp:inline>
              </w:drawing>
            </w:r>
            <w:r>
              <w:rPr>
                <w:rFonts w:hint="eastAsia" w:ascii="仿宋" w:hAnsi="仿宋" w:eastAsia="仿宋" w:cs="仿宋"/>
                <w:kern w:val="0"/>
                <w:sz w:val="24"/>
                <w:szCs w:val="24"/>
              </w:rPr>
              <w:t>92.5%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否</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15</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95250" cy="114300"/>
                  <wp:effectExtent l="0" t="0" r="0" b="0"/>
                  <wp:docPr id="5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7"/>
                          <pic:cNvPicPr>
                            <a:picLocks noChangeAspect="1"/>
                          </pic:cNvPicPr>
                        </pic:nvPicPr>
                        <pic:blipFill>
                          <a:blip r:embed="rId81"/>
                          <a:stretch>
                            <a:fillRect/>
                          </a:stretch>
                        </pic:blipFill>
                        <pic:spPr>
                          <a:xfrm>
                            <a:off x="0" y="0"/>
                            <a:ext cx="95250"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1257300" cy="114300"/>
                  <wp:effectExtent l="0" t="0" r="0" b="0"/>
                  <wp:docPr id="6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8"/>
                          <pic:cNvPicPr>
                            <a:picLocks noChangeAspect="1"/>
                          </pic:cNvPicPr>
                        </pic:nvPicPr>
                        <pic:blipFill>
                          <a:blip r:embed="rId82"/>
                          <a:stretch>
                            <a:fillRect/>
                          </a:stretch>
                        </pic:blipFill>
                        <pic:spPr>
                          <a:xfrm>
                            <a:off x="0" y="0"/>
                            <a:ext cx="1257300" cy="114300"/>
                          </a:xfrm>
                          <a:prstGeom prst="rect">
                            <a:avLst/>
                          </a:prstGeom>
                          <a:noFill/>
                          <a:ln>
                            <a:noFill/>
                          </a:ln>
                        </pic:spPr>
                      </pic:pic>
                    </a:graphicData>
                  </a:graphic>
                </wp:inline>
              </w:drawing>
            </w:r>
            <w:r>
              <w:rPr>
                <w:rFonts w:hint="eastAsia" w:ascii="仿宋" w:hAnsi="仿宋" w:eastAsia="仿宋" w:cs="仿宋"/>
                <w:kern w:val="0"/>
                <w:sz w:val="24"/>
                <w:szCs w:val="24"/>
              </w:rPr>
              <w:t>7.5%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200</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b w:val="0"/>
          <w:color w:val="0066FF"/>
          <w:kern w:val="0"/>
          <w:sz w:val="24"/>
        </w:rPr>
      </w:pPr>
      <w:r>
        <w:rPr>
          <w:rFonts w:hint="eastAsia" w:ascii="仿宋" w:hAnsi="仿宋" w:eastAsia="仿宋" w:cs="仿宋"/>
          <w:b w:val="0"/>
          <w:color w:val="000000"/>
          <w:kern w:val="0"/>
          <w:sz w:val="24"/>
          <w:szCs w:val="24"/>
        </w:rPr>
        <w:t>第7题   您对校园保安人员的安全防范意识是否满意？[单选题]</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32"/>
        <w:gridCol w:w="1086"/>
        <w:gridCol w:w="464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rPr>
            </w:pPr>
            <w:r>
              <w:rPr>
                <w:rFonts w:hint="eastAsia" w:ascii="仿宋" w:hAnsi="仿宋" w:eastAsia="仿宋" w:cs="仿宋"/>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rPr>
            </w:pPr>
            <w:r>
              <w:rPr>
                <w:rFonts w:hint="eastAsia" w:ascii="仿宋" w:hAnsi="仿宋" w:eastAsia="仿宋" w:cs="仿宋"/>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rPr>
            </w:pPr>
            <w:r>
              <w:rPr>
                <w:rFonts w:hint="eastAsia" w:ascii="仿宋" w:hAnsi="仿宋" w:eastAsia="仿宋" w:cs="仿宋"/>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rPr>
            </w:pPr>
            <w:r>
              <w:rPr>
                <w:rFonts w:hint="eastAsia" w:ascii="仿宋" w:hAnsi="仿宋" w:eastAsia="仿宋" w:cs="仿宋"/>
                <w:kern w:val="0"/>
                <w:sz w:val="24"/>
              </w:rPr>
              <w:t>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rPr>
            </w:pPr>
            <w:r>
              <w:rPr>
                <w:rFonts w:hint="eastAsia" w:ascii="仿宋" w:hAnsi="仿宋" w:eastAsia="仿宋" w:cs="仿宋"/>
                <w:kern w:val="0"/>
                <w:sz w:val="24"/>
              </w:rPr>
              <w:t>183</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rPr>
            </w:pPr>
            <w:r>
              <w:rPr>
                <w:rFonts w:hint="eastAsia" w:ascii="仿宋" w:hAnsi="仿宋" w:eastAsia="仿宋" w:cs="仿宋"/>
                <w:kern w:val="0"/>
                <w:sz w:val="24"/>
              </w:rPr>
              <w:drawing>
                <wp:inline distT="0" distB="0" distL="114300" distR="114300">
                  <wp:extent cx="1228725" cy="114300"/>
                  <wp:effectExtent l="0" t="0" r="9525" b="0"/>
                  <wp:docPr id="61"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9"/>
                          <pic:cNvPicPr>
                            <a:picLocks noChangeAspect="1"/>
                          </pic:cNvPicPr>
                        </pic:nvPicPr>
                        <pic:blipFill>
                          <a:blip r:embed="rId93"/>
                          <a:stretch>
                            <a:fillRect/>
                          </a:stretch>
                        </pic:blipFill>
                        <pic:spPr>
                          <a:xfrm>
                            <a:off x="0" y="0"/>
                            <a:ext cx="1228725" cy="114300"/>
                          </a:xfrm>
                          <a:prstGeom prst="rect">
                            <a:avLst/>
                          </a:prstGeom>
                          <a:noFill/>
                          <a:ln>
                            <a:noFill/>
                          </a:ln>
                        </pic:spPr>
                      </pic:pic>
                    </a:graphicData>
                  </a:graphic>
                </wp:inline>
              </w:drawing>
            </w:r>
            <w:r>
              <w:rPr>
                <w:rFonts w:hint="eastAsia" w:ascii="仿宋" w:hAnsi="仿宋" w:eastAsia="仿宋" w:cs="仿宋"/>
                <w:kern w:val="0"/>
                <w:sz w:val="24"/>
              </w:rPr>
              <w:drawing>
                <wp:inline distT="0" distB="0" distL="114300" distR="114300">
                  <wp:extent cx="123825" cy="114300"/>
                  <wp:effectExtent l="0" t="0" r="9525" b="0"/>
                  <wp:docPr id="6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0"/>
                          <pic:cNvPicPr>
                            <a:picLocks noChangeAspect="1"/>
                          </pic:cNvPicPr>
                        </pic:nvPicPr>
                        <pic:blipFill>
                          <a:blip r:embed="rId94"/>
                          <a:stretch>
                            <a:fillRect/>
                          </a:stretch>
                        </pic:blipFill>
                        <pic:spPr>
                          <a:xfrm>
                            <a:off x="0" y="0"/>
                            <a:ext cx="123825" cy="114300"/>
                          </a:xfrm>
                          <a:prstGeom prst="rect">
                            <a:avLst/>
                          </a:prstGeom>
                          <a:noFill/>
                          <a:ln>
                            <a:noFill/>
                          </a:ln>
                        </pic:spPr>
                      </pic:pic>
                    </a:graphicData>
                  </a:graphic>
                </wp:inline>
              </w:drawing>
            </w:r>
            <w:r>
              <w:rPr>
                <w:rFonts w:hint="eastAsia" w:ascii="仿宋" w:hAnsi="仿宋" w:eastAsia="仿宋" w:cs="仿宋"/>
                <w:kern w:val="0"/>
                <w:sz w:val="24"/>
              </w:rPr>
              <w:t>91.5%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rPr>
            </w:pPr>
            <w:r>
              <w:rPr>
                <w:rFonts w:hint="eastAsia" w:ascii="仿宋" w:hAnsi="仿宋" w:eastAsia="仿宋" w:cs="仿宋"/>
                <w:kern w:val="0"/>
                <w:sz w:val="24"/>
              </w:rPr>
              <w:t>否</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rPr>
            </w:pPr>
            <w:r>
              <w:rPr>
                <w:rFonts w:hint="eastAsia" w:ascii="仿宋" w:hAnsi="仿宋" w:eastAsia="仿宋" w:cs="仿宋"/>
                <w:kern w:val="0"/>
                <w:sz w:val="24"/>
              </w:rPr>
              <w:t>17</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rPr>
            </w:pPr>
            <w:r>
              <w:rPr>
                <w:rFonts w:hint="eastAsia" w:ascii="仿宋" w:hAnsi="仿宋" w:eastAsia="仿宋" w:cs="仿宋"/>
                <w:kern w:val="0"/>
                <w:sz w:val="24"/>
              </w:rPr>
              <w:drawing>
                <wp:inline distT="0" distB="0" distL="114300" distR="114300">
                  <wp:extent cx="114300" cy="114300"/>
                  <wp:effectExtent l="0" t="0" r="0" b="0"/>
                  <wp:docPr id="6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1"/>
                          <pic:cNvPicPr>
                            <a:picLocks noChangeAspect="1"/>
                          </pic:cNvPicPr>
                        </pic:nvPicPr>
                        <pic:blipFill>
                          <a:blip r:embed="rId95"/>
                          <a:stretch>
                            <a:fillRect/>
                          </a:stretch>
                        </pic:blipFill>
                        <pic:spPr>
                          <a:xfrm>
                            <a:off x="0" y="0"/>
                            <a:ext cx="114300" cy="114300"/>
                          </a:xfrm>
                          <a:prstGeom prst="rect">
                            <a:avLst/>
                          </a:prstGeom>
                          <a:noFill/>
                          <a:ln>
                            <a:noFill/>
                          </a:ln>
                        </pic:spPr>
                      </pic:pic>
                    </a:graphicData>
                  </a:graphic>
                </wp:inline>
              </w:drawing>
            </w:r>
            <w:r>
              <w:rPr>
                <w:rFonts w:hint="eastAsia" w:ascii="仿宋" w:hAnsi="仿宋" w:eastAsia="仿宋" w:cs="仿宋"/>
                <w:kern w:val="0"/>
                <w:sz w:val="24"/>
              </w:rPr>
              <w:drawing>
                <wp:inline distT="0" distB="0" distL="114300" distR="114300">
                  <wp:extent cx="1238250" cy="114300"/>
                  <wp:effectExtent l="0" t="0" r="0" b="0"/>
                  <wp:docPr id="6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2"/>
                          <pic:cNvPicPr>
                            <a:picLocks noChangeAspect="1"/>
                          </pic:cNvPicPr>
                        </pic:nvPicPr>
                        <pic:blipFill>
                          <a:blip r:embed="rId96"/>
                          <a:stretch>
                            <a:fillRect/>
                          </a:stretch>
                        </pic:blipFill>
                        <pic:spPr>
                          <a:xfrm>
                            <a:off x="0" y="0"/>
                            <a:ext cx="1238250" cy="114300"/>
                          </a:xfrm>
                          <a:prstGeom prst="rect">
                            <a:avLst/>
                          </a:prstGeom>
                          <a:noFill/>
                          <a:ln>
                            <a:noFill/>
                          </a:ln>
                        </pic:spPr>
                      </pic:pic>
                    </a:graphicData>
                  </a:graphic>
                </wp:inline>
              </w:drawing>
            </w:r>
            <w:r>
              <w:rPr>
                <w:rFonts w:hint="eastAsia" w:ascii="仿宋" w:hAnsi="仿宋" w:eastAsia="仿宋" w:cs="仿宋"/>
                <w:kern w:val="0"/>
                <w:sz w:val="24"/>
              </w:rPr>
              <w:t>8.5%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rPr>
            </w:pPr>
            <w:r>
              <w:rPr>
                <w:rFonts w:hint="eastAsia" w:ascii="仿宋" w:hAnsi="仿宋" w:eastAsia="仿宋" w:cs="仿宋"/>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rPr>
            </w:pPr>
            <w:r>
              <w:rPr>
                <w:rFonts w:hint="eastAsia" w:ascii="仿宋" w:hAnsi="仿宋" w:eastAsia="仿宋" w:cs="仿宋"/>
                <w:kern w:val="0"/>
                <w:sz w:val="24"/>
              </w:rPr>
              <w:t>200</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b w:val="0"/>
          <w:color w:val="0066FF"/>
          <w:kern w:val="0"/>
          <w:sz w:val="24"/>
        </w:rPr>
      </w:pPr>
      <w:r>
        <w:rPr>
          <w:rFonts w:hint="eastAsia" w:ascii="仿宋" w:hAnsi="仿宋" w:eastAsia="仿宋" w:cs="仿宋"/>
          <w:b w:val="0"/>
          <w:color w:val="000000"/>
          <w:kern w:val="0"/>
          <w:sz w:val="24"/>
          <w:szCs w:val="24"/>
        </w:rPr>
        <w:t>第8题   您认为校园保安对外来人员进出管理是否严格？[单选题]</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32"/>
        <w:gridCol w:w="1086"/>
        <w:gridCol w:w="464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191</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1285875" cy="114300"/>
                  <wp:effectExtent l="0" t="0" r="9525" b="0"/>
                  <wp:docPr id="6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3"/>
                          <pic:cNvPicPr>
                            <a:picLocks noChangeAspect="1"/>
                          </pic:cNvPicPr>
                        </pic:nvPicPr>
                        <pic:blipFill>
                          <a:blip r:embed="rId97"/>
                          <a:stretch>
                            <a:fillRect/>
                          </a:stretch>
                        </pic:blipFill>
                        <pic:spPr>
                          <a:xfrm>
                            <a:off x="0" y="0"/>
                            <a:ext cx="1285875"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66675" cy="114300"/>
                  <wp:effectExtent l="0" t="0" r="9525" b="0"/>
                  <wp:docPr id="6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4"/>
                          <pic:cNvPicPr>
                            <a:picLocks noChangeAspect="1"/>
                          </pic:cNvPicPr>
                        </pic:nvPicPr>
                        <pic:blipFill>
                          <a:blip r:embed="rId98"/>
                          <a:stretch>
                            <a:fillRect/>
                          </a:stretch>
                        </pic:blipFill>
                        <pic:spPr>
                          <a:xfrm>
                            <a:off x="0" y="0"/>
                            <a:ext cx="66675" cy="114300"/>
                          </a:xfrm>
                          <a:prstGeom prst="rect">
                            <a:avLst/>
                          </a:prstGeom>
                          <a:noFill/>
                          <a:ln>
                            <a:noFill/>
                          </a:ln>
                        </pic:spPr>
                      </pic:pic>
                    </a:graphicData>
                  </a:graphic>
                </wp:inline>
              </w:drawing>
            </w:r>
            <w:r>
              <w:rPr>
                <w:rFonts w:hint="eastAsia" w:ascii="仿宋" w:hAnsi="仿宋" w:eastAsia="仿宋" w:cs="仿宋"/>
                <w:kern w:val="0"/>
                <w:sz w:val="24"/>
                <w:szCs w:val="24"/>
              </w:rPr>
              <w:t>95.5%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否</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9</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57150" cy="114300"/>
                  <wp:effectExtent l="0" t="0" r="0" b="0"/>
                  <wp:docPr id="7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5"/>
                          <pic:cNvPicPr>
                            <a:picLocks noChangeAspect="1"/>
                          </pic:cNvPicPr>
                        </pic:nvPicPr>
                        <pic:blipFill>
                          <a:blip r:embed="rId99"/>
                          <a:stretch>
                            <a:fillRect/>
                          </a:stretch>
                        </pic:blipFill>
                        <pic:spPr>
                          <a:xfrm>
                            <a:off x="0" y="0"/>
                            <a:ext cx="57150"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1295400" cy="114300"/>
                  <wp:effectExtent l="0" t="0" r="0" b="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pic:cNvPicPr>
                        </pic:nvPicPr>
                        <pic:blipFill>
                          <a:blip r:embed="rId100"/>
                          <a:stretch>
                            <a:fillRect/>
                          </a:stretch>
                        </pic:blipFill>
                        <pic:spPr>
                          <a:xfrm>
                            <a:off x="0" y="0"/>
                            <a:ext cx="1295400" cy="114300"/>
                          </a:xfrm>
                          <a:prstGeom prst="rect">
                            <a:avLst/>
                          </a:prstGeom>
                          <a:noFill/>
                          <a:ln>
                            <a:noFill/>
                          </a:ln>
                        </pic:spPr>
                      </pic:pic>
                    </a:graphicData>
                  </a:graphic>
                </wp:inline>
              </w:drawing>
            </w:r>
            <w:r>
              <w:rPr>
                <w:rFonts w:hint="eastAsia" w:ascii="仿宋" w:hAnsi="仿宋" w:eastAsia="仿宋" w:cs="仿宋"/>
                <w:kern w:val="0"/>
                <w:sz w:val="24"/>
                <w:szCs w:val="24"/>
              </w:rPr>
              <w:t>4.5%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200</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b w:val="0"/>
          <w:color w:val="0066FF"/>
          <w:kern w:val="0"/>
          <w:sz w:val="24"/>
        </w:rPr>
      </w:pPr>
      <w:r>
        <w:rPr>
          <w:rFonts w:hint="eastAsia" w:ascii="仿宋" w:hAnsi="仿宋" w:eastAsia="仿宋" w:cs="仿宋"/>
          <w:b w:val="0"/>
          <w:color w:val="000000"/>
          <w:kern w:val="0"/>
          <w:sz w:val="24"/>
          <w:szCs w:val="24"/>
        </w:rPr>
        <w:t>第9题   您认为校园保安对车辆进出检查登记是否严格？[单选题]</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95"/>
        <w:gridCol w:w="1139"/>
        <w:gridCol w:w="442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184</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1238250" cy="114300"/>
                  <wp:effectExtent l="0" t="0" r="0" b="0"/>
                  <wp:docPr id="7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7"/>
                          <pic:cNvPicPr>
                            <a:picLocks noChangeAspect="1"/>
                          </pic:cNvPicPr>
                        </pic:nvPicPr>
                        <pic:blipFill>
                          <a:blip r:embed="rId101"/>
                          <a:stretch>
                            <a:fillRect/>
                          </a:stretch>
                        </pic:blipFill>
                        <pic:spPr>
                          <a:xfrm>
                            <a:off x="0" y="0"/>
                            <a:ext cx="1238250"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114300" cy="114300"/>
                  <wp:effectExtent l="0" t="0" r="0" b="0"/>
                  <wp:docPr id="8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8"/>
                          <pic:cNvPicPr>
                            <a:picLocks noChangeAspect="1"/>
                          </pic:cNvPicPr>
                        </pic:nvPicPr>
                        <pic:blipFill>
                          <a:blip r:embed="rId102"/>
                          <a:stretch>
                            <a:fillRect/>
                          </a:stretch>
                        </pic:blipFill>
                        <pic:spPr>
                          <a:xfrm>
                            <a:off x="0" y="0"/>
                            <a:ext cx="114300" cy="114300"/>
                          </a:xfrm>
                          <a:prstGeom prst="rect">
                            <a:avLst/>
                          </a:prstGeom>
                          <a:noFill/>
                          <a:ln>
                            <a:noFill/>
                          </a:ln>
                        </pic:spPr>
                      </pic:pic>
                    </a:graphicData>
                  </a:graphic>
                </wp:inline>
              </w:drawing>
            </w:r>
            <w:r>
              <w:rPr>
                <w:rFonts w:hint="eastAsia" w:ascii="仿宋" w:hAnsi="仿宋" w:eastAsia="仿宋" w:cs="仿宋"/>
                <w:kern w:val="0"/>
                <w:sz w:val="24"/>
                <w:szCs w:val="24"/>
              </w:rPr>
              <w:t>92%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否</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16</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104775" cy="114300"/>
                  <wp:effectExtent l="0" t="0" r="9525" b="0"/>
                  <wp:docPr id="8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9"/>
                          <pic:cNvPicPr>
                            <a:picLocks noChangeAspect="1"/>
                          </pic:cNvPicPr>
                        </pic:nvPicPr>
                        <pic:blipFill>
                          <a:blip r:embed="rId103"/>
                          <a:stretch>
                            <a:fillRect/>
                          </a:stretch>
                        </pic:blipFill>
                        <pic:spPr>
                          <a:xfrm>
                            <a:off x="0" y="0"/>
                            <a:ext cx="104775"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1247775" cy="114300"/>
                  <wp:effectExtent l="0" t="0" r="9525" b="0"/>
                  <wp:docPr id="82"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0"/>
                          <pic:cNvPicPr>
                            <a:picLocks noChangeAspect="1"/>
                          </pic:cNvPicPr>
                        </pic:nvPicPr>
                        <pic:blipFill>
                          <a:blip r:embed="rId104"/>
                          <a:stretch>
                            <a:fillRect/>
                          </a:stretch>
                        </pic:blipFill>
                        <pic:spPr>
                          <a:xfrm>
                            <a:off x="0" y="0"/>
                            <a:ext cx="1247775" cy="114300"/>
                          </a:xfrm>
                          <a:prstGeom prst="rect">
                            <a:avLst/>
                          </a:prstGeom>
                          <a:noFill/>
                          <a:ln>
                            <a:noFill/>
                          </a:ln>
                        </pic:spPr>
                      </pic:pic>
                    </a:graphicData>
                  </a:graphic>
                </wp:inline>
              </w:drawing>
            </w:r>
            <w:r>
              <w:rPr>
                <w:rFonts w:hint="eastAsia" w:ascii="仿宋" w:hAnsi="仿宋" w:eastAsia="仿宋" w:cs="仿宋"/>
                <w:kern w:val="0"/>
                <w:sz w:val="24"/>
                <w:szCs w:val="24"/>
              </w:rPr>
              <w:t>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200</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p>
        </w:tc>
      </w:tr>
    </w:tbl>
    <w:p>
      <w:pPr>
        <w:pageBreakBefore w:val="0"/>
        <w:widowControl/>
        <w:overflowPunct/>
        <w:topLinePunct w:val="0"/>
        <w:bidi w:val="0"/>
        <w:spacing w:line="576" w:lineRule="exact"/>
        <w:ind w:left="0" w:leftChars="0" w:firstLine="0" w:firstLineChars="0"/>
        <w:jc w:val="left"/>
        <w:rPr>
          <w:rFonts w:hint="eastAsia" w:ascii="仿宋" w:hAnsi="仿宋" w:eastAsia="仿宋" w:cs="仿宋"/>
          <w:b w:val="0"/>
          <w:color w:val="000000"/>
          <w:kern w:val="0"/>
          <w:sz w:val="24"/>
          <w:szCs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b w:val="0"/>
          <w:color w:val="0066FF"/>
          <w:kern w:val="0"/>
          <w:sz w:val="24"/>
        </w:rPr>
      </w:pPr>
      <w:r>
        <w:rPr>
          <w:rFonts w:hint="eastAsia" w:ascii="仿宋" w:hAnsi="仿宋" w:eastAsia="仿宋" w:cs="仿宋"/>
          <w:b w:val="0"/>
          <w:color w:val="000000"/>
          <w:kern w:val="0"/>
          <w:sz w:val="24"/>
          <w:szCs w:val="24"/>
        </w:rPr>
        <w:t>第10题   总体来说，您对校园保安提供的相关服务是否满意？[单选题]</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50"/>
        <w:gridCol w:w="1091"/>
        <w:gridCol w:w="4620"/>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187</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1257300" cy="114300"/>
                  <wp:effectExtent l="0" t="0" r="0" b="0"/>
                  <wp:docPr id="83"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1"/>
                          <pic:cNvPicPr>
                            <a:picLocks noChangeAspect="1"/>
                          </pic:cNvPicPr>
                        </pic:nvPicPr>
                        <pic:blipFill>
                          <a:blip r:embed="rId105"/>
                          <a:stretch>
                            <a:fillRect/>
                          </a:stretch>
                        </pic:blipFill>
                        <pic:spPr>
                          <a:xfrm>
                            <a:off x="0" y="0"/>
                            <a:ext cx="1257300"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95250" cy="114300"/>
                  <wp:effectExtent l="0" t="0" r="0" b="0"/>
                  <wp:docPr id="8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2"/>
                          <pic:cNvPicPr>
                            <a:picLocks noChangeAspect="1"/>
                          </pic:cNvPicPr>
                        </pic:nvPicPr>
                        <pic:blipFill>
                          <a:blip r:embed="rId106"/>
                          <a:stretch>
                            <a:fillRect/>
                          </a:stretch>
                        </pic:blipFill>
                        <pic:spPr>
                          <a:xfrm>
                            <a:off x="0" y="0"/>
                            <a:ext cx="95250" cy="114300"/>
                          </a:xfrm>
                          <a:prstGeom prst="rect">
                            <a:avLst/>
                          </a:prstGeom>
                          <a:noFill/>
                          <a:ln>
                            <a:noFill/>
                          </a:ln>
                        </pic:spPr>
                      </pic:pic>
                    </a:graphicData>
                  </a:graphic>
                </wp:inline>
              </w:drawing>
            </w:r>
            <w:r>
              <w:rPr>
                <w:rFonts w:hint="eastAsia" w:ascii="仿宋" w:hAnsi="仿宋" w:eastAsia="仿宋" w:cs="仿宋"/>
                <w:kern w:val="0"/>
                <w:sz w:val="24"/>
                <w:szCs w:val="24"/>
              </w:rPr>
              <w:t>93.5%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否</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13</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drawing>
                <wp:inline distT="0" distB="0" distL="114300" distR="114300">
                  <wp:extent cx="85725" cy="114300"/>
                  <wp:effectExtent l="0" t="0" r="9525" b="0"/>
                  <wp:docPr id="85"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3"/>
                          <pic:cNvPicPr>
                            <a:picLocks noChangeAspect="1"/>
                          </pic:cNvPicPr>
                        </pic:nvPicPr>
                        <pic:blipFill>
                          <a:blip r:embed="rId107"/>
                          <a:stretch>
                            <a:fillRect/>
                          </a:stretch>
                        </pic:blipFill>
                        <pic:spPr>
                          <a:xfrm>
                            <a:off x="0" y="0"/>
                            <a:ext cx="85725" cy="114300"/>
                          </a:xfrm>
                          <a:prstGeom prst="rect">
                            <a:avLst/>
                          </a:prstGeom>
                          <a:noFill/>
                          <a:ln>
                            <a:noFill/>
                          </a:ln>
                        </pic:spPr>
                      </pic:pic>
                    </a:graphicData>
                  </a:graphic>
                </wp:inline>
              </w:drawing>
            </w:r>
            <w:r>
              <w:rPr>
                <w:rFonts w:hint="eastAsia" w:ascii="仿宋" w:hAnsi="仿宋" w:eastAsia="仿宋" w:cs="仿宋"/>
                <w:kern w:val="0"/>
                <w:sz w:val="24"/>
                <w:szCs w:val="24"/>
              </w:rPr>
              <w:drawing>
                <wp:inline distT="0" distB="0" distL="114300" distR="114300">
                  <wp:extent cx="1266825" cy="114300"/>
                  <wp:effectExtent l="0" t="0" r="9525" b="0"/>
                  <wp:docPr id="8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4"/>
                          <pic:cNvPicPr>
                            <a:picLocks noChangeAspect="1"/>
                          </pic:cNvPicPr>
                        </pic:nvPicPr>
                        <pic:blipFill>
                          <a:blip r:embed="rId108"/>
                          <a:stretch>
                            <a:fillRect/>
                          </a:stretch>
                        </pic:blipFill>
                        <pic:spPr>
                          <a:xfrm>
                            <a:off x="0" y="0"/>
                            <a:ext cx="1266825" cy="114300"/>
                          </a:xfrm>
                          <a:prstGeom prst="rect">
                            <a:avLst/>
                          </a:prstGeom>
                          <a:noFill/>
                          <a:ln>
                            <a:noFill/>
                          </a:ln>
                        </pic:spPr>
                      </pic:pic>
                    </a:graphicData>
                  </a:graphic>
                </wp:inline>
              </w:drawing>
            </w:r>
            <w:r>
              <w:rPr>
                <w:rFonts w:hint="eastAsia" w:ascii="仿宋" w:hAnsi="仿宋" w:eastAsia="仿宋" w:cs="仿宋"/>
                <w:kern w:val="0"/>
                <w:sz w:val="24"/>
                <w:szCs w:val="24"/>
              </w:rPr>
              <w:t>6.5%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r>
              <w:rPr>
                <w:rFonts w:hint="eastAsia" w:ascii="仿宋" w:hAnsi="仿宋" w:eastAsia="仿宋" w:cs="仿宋"/>
                <w:kern w:val="0"/>
                <w:sz w:val="24"/>
                <w:szCs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hint="eastAsia" w:ascii="仿宋" w:hAnsi="仿宋" w:eastAsia="仿宋" w:cs="仿宋"/>
                <w:kern w:val="0"/>
                <w:sz w:val="24"/>
                <w:szCs w:val="24"/>
              </w:rPr>
            </w:pPr>
            <w:r>
              <w:rPr>
                <w:rFonts w:hint="eastAsia" w:ascii="仿宋" w:hAnsi="仿宋" w:eastAsia="仿宋" w:cs="仿宋"/>
                <w:kern w:val="0"/>
                <w:sz w:val="24"/>
                <w:szCs w:val="24"/>
              </w:rPr>
              <w:t>200</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hint="eastAsia" w:ascii="仿宋" w:hAnsi="仿宋" w:eastAsia="仿宋" w:cs="仿宋"/>
                <w:kern w:val="0"/>
                <w:sz w:val="24"/>
                <w:szCs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b w:val="0"/>
          <w:color w:val="666666"/>
          <w:kern w:val="0"/>
          <w:sz w:val="24"/>
        </w:rPr>
      </w:pPr>
      <w:r>
        <w:rPr>
          <w:rFonts w:hint="eastAsia" w:ascii="仿宋" w:hAnsi="仿宋" w:eastAsia="仿宋" w:cs="仿宋"/>
          <w:b w:val="0"/>
          <w:color w:val="000000"/>
          <w:kern w:val="0"/>
          <w:sz w:val="24"/>
          <w:szCs w:val="24"/>
        </w:rPr>
        <w:t>第11题   对校园保安的其他意见与建议</w:t>
      </w:r>
      <w:r>
        <w:rPr>
          <w:rFonts w:hint="eastAsia" w:ascii="仿宋" w:hAnsi="仿宋" w:eastAsia="仿宋" w:cs="仿宋"/>
          <w:b w:val="0"/>
          <w:color w:val="000000"/>
          <w:kern w:val="0"/>
          <w:sz w:val="24"/>
          <w:szCs w:val="24"/>
          <w:lang w:eastAsia="zh-CN"/>
        </w:rPr>
        <w:t>？</w:t>
      </w:r>
      <w:r>
        <w:rPr>
          <w:rFonts w:hint="eastAsia" w:ascii="仿宋" w:hAnsi="仿宋" w:eastAsia="仿宋" w:cs="仿宋"/>
          <w:b w:val="0"/>
          <w:color w:val="000000"/>
          <w:kern w:val="0"/>
          <w:sz w:val="24"/>
          <w:szCs w:val="24"/>
        </w:rPr>
        <w:t>[填空题]</w:t>
      </w:r>
    </w:p>
    <w:tbl>
      <w:tblPr>
        <w:tblStyle w:val="13"/>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1"/>
        <w:gridCol w:w="82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exac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4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答案文本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保安的年龄稍微年轻点就好了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年纪太大，人员较少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做好本职工作的同时能对校园周边的学生过马路给予安全提醒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加强校门口安全保障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希望保安都是从专业的保安公司聘请的，受过训练的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专业的训练，熟练掌握技能和保护孩子意识技能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希望校园保安能在个人素质修养方面再提高！毕竟也代表学校的形象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4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严格管理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增加保安数量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前后门执勤期间维持秩序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4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希望更加严格执行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exact"/>
        </w:trPr>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45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加强管理</w:t>
            </w:r>
          </w:p>
        </w:tc>
      </w:tr>
    </w:tbl>
    <w:p>
      <w:pPr>
        <w:pageBreakBefore w:val="0"/>
        <w:overflowPunct/>
        <w:topLinePunct w:val="0"/>
        <w:bidi w:val="0"/>
        <w:spacing w:line="576" w:lineRule="exact"/>
        <w:ind w:left="0" w:leftChars="0"/>
        <w:rPr>
          <w:rFonts w:hint="eastAsia"/>
          <w:lang w:eastAsia="zh-CN"/>
        </w:rPr>
      </w:pPr>
      <w:r>
        <w:rPr>
          <w:rFonts w:hint="eastAsia" w:eastAsia="仿宋_GB2312"/>
          <w:lang w:eastAsia="zh-CN"/>
        </w:rPr>
        <w:br w:type="page"/>
      </w:r>
    </w:p>
    <w:p>
      <w:pPr>
        <w:pStyle w:val="4"/>
        <w:pageBreakBefore w:val="0"/>
        <w:overflowPunct/>
        <w:topLinePunct w:val="0"/>
        <w:bidi w:val="0"/>
        <w:spacing w:line="576" w:lineRule="exact"/>
        <w:ind w:left="0" w:leftChars="0" w:firstLine="0" w:firstLineChars="0"/>
        <w:rPr>
          <w:rFonts w:hint="eastAsia"/>
          <w:lang w:eastAsia="zh-CN"/>
        </w:rPr>
      </w:pPr>
      <w:bookmarkStart w:id="415" w:name="_Toc21736"/>
      <w:bookmarkStart w:id="416" w:name="_Toc11110"/>
      <w:bookmarkStart w:id="417" w:name="_Toc21203"/>
      <w:r>
        <w:rPr>
          <w:rFonts w:hint="eastAsia" w:eastAsia="仿宋_GB2312"/>
          <w:lang w:eastAsia="zh-CN"/>
        </w:rPr>
        <w:drawing>
          <wp:anchor distT="0" distB="0" distL="114300" distR="114300" simplePos="0" relativeHeight="251659264" behindDoc="0" locked="0" layoutInCell="1" allowOverlap="1">
            <wp:simplePos x="0" y="0"/>
            <wp:positionH relativeFrom="column">
              <wp:posOffset>238125</wp:posOffset>
            </wp:positionH>
            <wp:positionV relativeFrom="paragraph">
              <wp:posOffset>491490</wp:posOffset>
            </wp:positionV>
            <wp:extent cx="5273040" cy="7315200"/>
            <wp:effectExtent l="0" t="0" r="3810" b="0"/>
            <wp:wrapSquare wrapText="bothSides"/>
            <wp:docPr id="5" name="图片 5" descr="中级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中级证书"/>
                    <pic:cNvPicPr>
                      <a:picLocks noChangeAspect="1"/>
                    </pic:cNvPicPr>
                  </pic:nvPicPr>
                  <pic:blipFill>
                    <a:blip r:embed="rId109"/>
                    <a:stretch>
                      <a:fillRect/>
                    </a:stretch>
                  </pic:blipFill>
                  <pic:spPr>
                    <a:xfrm>
                      <a:off x="0" y="0"/>
                      <a:ext cx="5273040" cy="7315200"/>
                    </a:xfrm>
                    <a:prstGeom prst="rect">
                      <a:avLst/>
                    </a:prstGeom>
                  </pic:spPr>
                </pic:pic>
              </a:graphicData>
            </a:graphic>
          </wp:anchor>
        </w:drawing>
      </w:r>
      <w:r>
        <w:rPr>
          <w:rFonts w:hint="eastAsia"/>
        </w:rPr>
        <w:t>附件</w:t>
      </w:r>
      <w:r>
        <w:rPr>
          <w:rFonts w:hint="eastAsia"/>
          <w:lang w:val="en-US" w:eastAsia="zh-CN"/>
        </w:rPr>
        <w:t>4</w:t>
      </w:r>
      <w:r>
        <w:rPr>
          <w:rFonts w:hint="eastAsia"/>
        </w:rPr>
        <w:t xml:space="preserve"> </w:t>
      </w:r>
      <w:r>
        <w:rPr>
          <w:rFonts w:hint="eastAsia"/>
          <w:lang w:eastAsia="zh-CN"/>
        </w:rPr>
        <w:t>主评人资质</w:t>
      </w:r>
      <w:bookmarkEnd w:id="415"/>
      <w:bookmarkEnd w:id="416"/>
      <w:bookmarkEnd w:id="417"/>
    </w:p>
    <w:p>
      <w:pPr>
        <w:pageBreakBefore w:val="0"/>
        <w:overflowPunct/>
        <w:topLinePunct w:val="0"/>
        <w:bidi w:val="0"/>
        <w:spacing w:line="576" w:lineRule="exact"/>
        <w:ind w:left="0" w:leftChars="0"/>
        <w:sectPr>
          <w:footerReference r:id="rId24" w:type="default"/>
          <w:pgSz w:w="11906" w:h="16838"/>
          <w:pgMar w:top="2098" w:right="1474" w:bottom="1984" w:left="1587" w:header="737"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4"/>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0" w:firstLineChars="0"/>
        <w:textAlignment w:val="auto"/>
        <w:rPr>
          <w:rFonts w:hint="eastAsia" w:ascii="楷体" w:hAnsi="楷体" w:eastAsia="楷体" w:cs="楷体"/>
          <w:b/>
          <w:bCs/>
          <w:color w:val="000000" w:themeColor="text1"/>
          <w:sz w:val="32"/>
          <w:szCs w:val="24"/>
          <w:lang w:val="en-US" w:eastAsia="zh-CN"/>
          <w14:textFill>
            <w14:solidFill>
              <w14:schemeClr w14:val="tx1"/>
            </w14:solidFill>
          </w14:textFill>
        </w:rPr>
      </w:pPr>
      <w:bookmarkStart w:id="418" w:name="_Toc15680"/>
      <w:r>
        <w:rPr>
          <w:rFonts w:hint="eastAsia" w:ascii="楷体" w:hAnsi="楷体" w:eastAsia="楷体" w:cs="楷体"/>
          <w:b/>
          <w:bCs/>
          <w:color w:val="000000" w:themeColor="text1"/>
          <w:sz w:val="32"/>
          <w:szCs w:val="24"/>
          <w:lang w:val="en-US" w:eastAsia="zh-CN"/>
          <w14:textFill>
            <w14:solidFill>
              <w14:schemeClr w14:val="tx1"/>
            </w14:solidFill>
          </w14:textFill>
        </w:rPr>
        <w:t>附件</w:t>
      </w:r>
      <w:r>
        <w:rPr>
          <w:rFonts w:hint="eastAsia" w:ascii="楷体" w:hAnsi="楷体" w:cs="楷体"/>
          <w:b/>
          <w:bCs/>
          <w:color w:val="000000" w:themeColor="text1"/>
          <w:sz w:val="32"/>
          <w:szCs w:val="24"/>
          <w:lang w:val="en-US" w:eastAsia="zh-CN"/>
          <w14:textFill>
            <w14:solidFill>
              <w14:schemeClr w14:val="tx1"/>
            </w14:solidFill>
          </w14:textFill>
        </w:rPr>
        <w:t xml:space="preserve">二 </w:t>
      </w:r>
      <w:r>
        <w:rPr>
          <w:rFonts w:hint="eastAsia" w:ascii="楷体" w:hAnsi="楷体" w:eastAsia="楷体" w:cs="楷体"/>
          <w:b/>
          <w:bCs/>
          <w:color w:val="000000" w:themeColor="text1"/>
          <w:sz w:val="32"/>
          <w:szCs w:val="24"/>
          <w:lang w:val="en-US" w:eastAsia="zh-CN"/>
          <w14:textFill>
            <w14:solidFill>
              <w14:schemeClr w14:val="tx1"/>
            </w14:solidFill>
          </w14:textFill>
        </w:rPr>
        <w:t>西宁市城中区福禄巷南社区老年日间照料中心装修及设备购置项目绩效评价报告</w:t>
      </w:r>
      <w:bookmarkEnd w:id="418"/>
    </w:p>
    <w:p>
      <w:pPr>
        <w:pageBreakBefore w:val="0"/>
        <w:widowControl/>
        <w:kinsoku w:val="0"/>
        <w:overflowPunct/>
        <w:topLinePunct w:val="0"/>
        <w:autoSpaceDE w:val="0"/>
        <w:autoSpaceDN w:val="0"/>
        <w:bidi w:val="0"/>
        <w:adjustRightInd w:val="0"/>
        <w:snapToGrid w:val="0"/>
        <w:spacing w:line="576" w:lineRule="exact"/>
        <w:ind w:left="0" w:leftChars="0" w:firstLine="0" w:firstLineChars="0"/>
        <w:jc w:val="left"/>
        <w:textAlignment w:val="baseline"/>
        <w:rPr>
          <w:rFonts w:ascii="仿宋" w:hAnsi="Arial" w:eastAsia="Arial" w:cs="Arial"/>
          <w:snapToGrid w:val="0"/>
          <w:color w:val="000000"/>
          <w:kern w:val="0"/>
          <w:sz w:val="21"/>
          <w:szCs w:val="21"/>
        </w:rPr>
      </w:pPr>
    </w:p>
    <w:p>
      <w:pPr>
        <w:pageBreakBefore w:val="0"/>
        <w:widowControl/>
        <w:kinsoku w:val="0"/>
        <w:overflowPunct/>
        <w:topLinePunct w:val="0"/>
        <w:autoSpaceDE w:val="0"/>
        <w:autoSpaceDN w:val="0"/>
        <w:bidi w:val="0"/>
        <w:adjustRightInd w:val="0"/>
        <w:snapToGrid w:val="0"/>
        <w:spacing w:line="576" w:lineRule="exact"/>
        <w:ind w:left="0" w:leftChars="0" w:firstLine="0" w:firstLineChars="0"/>
        <w:jc w:val="left"/>
        <w:textAlignment w:val="baseline"/>
        <w:rPr>
          <w:rFonts w:ascii="仿宋" w:hAnsi="Arial" w:eastAsia="Arial" w:cs="Arial"/>
          <w:snapToGrid w:val="0"/>
          <w:color w:val="000000"/>
          <w:kern w:val="0"/>
          <w:sz w:val="21"/>
          <w:szCs w:val="21"/>
        </w:rPr>
      </w:pPr>
    </w:p>
    <w:p>
      <w:pPr>
        <w:keepNext w:val="0"/>
        <w:keepLines w:val="0"/>
        <w:pageBreakBefore w:val="0"/>
        <w:widowControl w:val="0"/>
        <w:shd w:val="clear" w:color="auto" w:fill="auto"/>
        <w:kinsoku/>
        <w:overflowPunct/>
        <w:topLinePunct w:val="0"/>
        <w:autoSpaceDE/>
        <w:autoSpaceDN/>
        <w:bidi w:val="0"/>
        <w:spacing w:line="576" w:lineRule="exact"/>
        <w:ind w:left="0" w:leftChars="0" w:firstLine="643"/>
        <w:jc w:val="right"/>
        <w:rPr>
          <w:rFonts w:hAnsi="宋体" w:cs="Times New Roman"/>
          <w:b/>
          <w:color w:val="auto"/>
          <w:szCs w:val="32"/>
          <w:highlight w:val="none"/>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right="0" w:firstLine="0" w:firstLineChars="0"/>
        <w:jc w:val="center"/>
        <w:textAlignment w:val="auto"/>
        <w:rPr>
          <w:rFonts w:hint="eastAsia" w:ascii="方正小标宋简体" w:hAnsi="方正小标宋简体" w:eastAsia="方正小标宋简体" w:cs="方正小标宋简体"/>
          <w:b/>
          <w:bCs/>
          <w:color w:val="auto"/>
          <w:sz w:val="48"/>
          <w:szCs w:val="48"/>
          <w:highlight w:val="none"/>
          <w:lang w:val="en-US" w:eastAsia="zh-CN"/>
        </w:rPr>
      </w:pPr>
      <w:r>
        <w:rPr>
          <w:rFonts w:hint="eastAsia" w:ascii="方正小标宋简体" w:hAnsi="方正小标宋简体" w:eastAsia="方正小标宋简体" w:cs="方正小标宋简体"/>
          <w:b/>
          <w:bCs/>
          <w:color w:val="auto"/>
          <w:sz w:val="48"/>
          <w:szCs w:val="48"/>
          <w:highlight w:val="none"/>
          <w:lang w:val="en-US" w:eastAsia="zh-CN"/>
        </w:rPr>
        <w:t>西宁市城中区福禄巷南社区老年日间</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right="0" w:firstLine="0" w:firstLineChars="0"/>
        <w:jc w:val="center"/>
        <w:textAlignment w:val="auto"/>
        <w:rPr>
          <w:rFonts w:hint="eastAsia" w:ascii="方正小标宋简体" w:hAnsi="方正小标宋简体" w:eastAsia="方正小标宋简体" w:cs="方正小标宋简体"/>
          <w:b/>
          <w:bCs/>
          <w:color w:val="auto"/>
          <w:sz w:val="48"/>
          <w:szCs w:val="48"/>
          <w:highlight w:val="none"/>
          <w:lang w:val="en-US" w:eastAsia="zh-CN"/>
        </w:rPr>
      </w:pPr>
      <w:r>
        <w:rPr>
          <w:rFonts w:hint="eastAsia" w:ascii="方正小标宋简体" w:hAnsi="方正小标宋简体" w:eastAsia="方正小标宋简体" w:cs="方正小标宋简体"/>
          <w:b/>
          <w:bCs/>
          <w:color w:val="auto"/>
          <w:sz w:val="48"/>
          <w:szCs w:val="48"/>
          <w:highlight w:val="none"/>
          <w:lang w:val="en-US" w:eastAsia="zh-CN"/>
        </w:rPr>
        <w:t>照料中心装修及设备购置项目</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right="0" w:firstLine="0" w:firstLineChars="0"/>
        <w:jc w:val="center"/>
        <w:textAlignment w:val="auto"/>
        <w:rPr>
          <w:rFonts w:ascii="方正小标宋简体" w:hAnsi="方正小标宋简体" w:eastAsia="方正小标宋简体" w:cs="方正小标宋简体"/>
          <w:b/>
          <w:bCs/>
          <w:color w:val="auto"/>
          <w:sz w:val="48"/>
          <w:szCs w:val="48"/>
          <w:highlight w:val="none"/>
        </w:rPr>
      </w:pPr>
      <w:r>
        <w:rPr>
          <w:rFonts w:hint="eastAsia" w:ascii="方正小标宋简体" w:hAnsi="方正小标宋简体" w:eastAsia="方正小标宋简体" w:cs="方正小标宋简体"/>
          <w:b/>
          <w:bCs/>
          <w:color w:val="auto"/>
          <w:sz w:val="48"/>
          <w:szCs w:val="48"/>
          <w:highlight w:val="none"/>
          <w:lang w:val="en-US" w:eastAsia="zh-CN"/>
        </w:rPr>
        <w:t>绩效评价报告</w:t>
      </w:r>
    </w:p>
    <w:p>
      <w:pPr>
        <w:pageBreakBefore w:val="0"/>
        <w:shd w:val="clear" w:color="auto" w:fill="auto"/>
        <w:overflowPunct/>
        <w:topLinePunct w:val="0"/>
        <w:bidi w:val="0"/>
        <w:spacing w:line="576" w:lineRule="exact"/>
        <w:ind w:left="0" w:leftChars="0"/>
        <w:rPr>
          <w:rFonts w:cs="Times New Roman"/>
          <w:color w:val="auto"/>
          <w:highlight w:val="none"/>
        </w:rPr>
      </w:pPr>
    </w:p>
    <w:p>
      <w:pPr>
        <w:pageBreakBefore w:val="0"/>
        <w:shd w:val="clear" w:color="auto" w:fill="auto"/>
        <w:overflowPunct/>
        <w:topLinePunct w:val="0"/>
        <w:bidi w:val="0"/>
        <w:spacing w:line="576" w:lineRule="exact"/>
        <w:ind w:left="0" w:leftChars="0"/>
        <w:rPr>
          <w:rFonts w:cs="Times New Roman"/>
          <w:color w:val="auto"/>
          <w:highlight w:val="none"/>
        </w:rPr>
      </w:pPr>
    </w:p>
    <w:p>
      <w:pPr>
        <w:pageBreakBefore w:val="0"/>
        <w:shd w:val="clear" w:color="auto" w:fill="auto"/>
        <w:tabs>
          <w:tab w:val="left" w:pos="6701"/>
        </w:tabs>
        <w:overflowPunct/>
        <w:topLinePunct w:val="0"/>
        <w:bidi w:val="0"/>
        <w:spacing w:line="576" w:lineRule="exact"/>
        <w:ind w:left="0" w:leftChars="0"/>
        <w:rPr>
          <w:rFonts w:hint="eastAsia" w:eastAsia="仿宋_GB2312" w:cs="Times New Roman"/>
          <w:color w:val="auto"/>
          <w:highlight w:val="none"/>
          <w:lang w:eastAsia="zh-CN"/>
        </w:rPr>
      </w:pPr>
    </w:p>
    <w:p>
      <w:pPr>
        <w:pageBreakBefore w:val="0"/>
        <w:shd w:val="clear" w:color="auto" w:fill="auto"/>
        <w:overflowPunct/>
        <w:topLinePunct w:val="0"/>
        <w:bidi w:val="0"/>
        <w:spacing w:line="576" w:lineRule="exact"/>
        <w:ind w:left="0" w:leftChars="0"/>
        <w:rPr>
          <w:rFonts w:cs="Times New Roman"/>
          <w:color w:val="auto"/>
          <w:highlight w:val="none"/>
        </w:rPr>
      </w:pPr>
    </w:p>
    <w:p>
      <w:pPr>
        <w:pageBreakBefore w:val="0"/>
        <w:shd w:val="clear" w:color="auto" w:fill="auto"/>
        <w:overflowPunct/>
        <w:topLinePunct w:val="0"/>
        <w:bidi w:val="0"/>
        <w:spacing w:line="576" w:lineRule="exact"/>
        <w:ind w:left="0" w:leftChars="0"/>
        <w:rPr>
          <w:rFonts w:cs="Times New Roman"/>
          <w:color w:val="auto"/>
          <w:highlight w:val="none"/>
        </w:rPr>
      </w:pPr>
    </w:p>
    <w:p>
      <w:pPr>
        <w:keepNext w:val="0"/>
        <w:keepLines w:val="0"/>
        <w:pageBreakBefore w:val="0"/>
        <w:widowControl w:val="0"/>
        <w:shd w:val="clear" w:color="auto" w:fill="auto"/>
        <w:kinsoku/>
        <w:overflowPunct/>
        <w:topLinePunct w:val="0"/>
        <w:autoSpaceDE/>
        <w:autoSpaceDN/>
        <w:bidi w:val="0"/>
        <w:spacing w:line="576" w:lineRule="exact"/>
        <w:ind w:left="2688" w:leftChars="0" w:hanging="2688" w:hangingChars="800"/>
        <w:jc w:val="center"/>
        <w:rPr>
          <w:rFonts w:hint="eastAsia" w:hAnsi="仿宋" w:cs="仿宋"/>
          <w:color w:val="auto"/>
          <w:szCs w:val="32"/>
          <w:highlight w:val="none"/>
          <w:u w:val="single"/>
          <w:lang w:eastAsia="zh-CN"/>
        </w:rPr>
      </w:pPr>
      <w:r>
        <w:rPr>
          <w:rFonts w:hint="eastAsia" w:hAnsi="仿宋" w:cs="仿宋"/>
          <w:color w:val="auto"/>
          <w:w w:val="105"/>
          <w:sz w:val="32"/>
          <w:szCs w:val="32"/>
          <w:highlight w:val="none"/>
          <w:lang w:val="en-US" w:eastAsia="zh-CN"/>
        </w:rPr>
        <w:t xml:space="preserve">  </w:t>
      </w:r>
      <w:r>
        <w:rPr>
          <w:rFonts w:hint="eastAsia" w:hAnsi="仿宋" w:cs="仿宋"/>
          <w:color w:val="auto"/>
          <w:w w:val="105"/>
          <w:sz w:val="32"/>
          <w:szCs w:val="32"/>
          <w:highlight w:val="none"/>
        </w:rPr>
        <w:t>项</w:t>
      </w:r>
      <w:r>
        <w:rPr>
          <w:rFonts w:hint="eastAsia" w:hAnsi="仿宋" w:cs="仿宋"/>
          <w:color w:val="auto"/>
          <w:w w:val="105"/>
          <w:sz w:val="32"/>
          <w:szCs w:val="32"/>
          <w:highlight w:val="none"/>
          <w:lang w:val="en-US" w:eastAsia="zh-CN"/>
        </w:rPr>
        <w:t xml:space="preserve"> </w:t>
      </w:r>
      <w:r>
        <w:rPr>
          <w:rFonts w:hint="eastAsia" w:hAnsi="仿宋" w:cs="仿宋"/>
          <w:color w:val="auto"/>
          <w:w w:val="105"/>
          <w:sz w:val="32"/>
          <w:szCs w:val="32"/>
          <w:highlight w:val="none"/>
        </w:rPr>
        <w:t>目</w:t>
      </w:r>
      <w:r>
        <w:rPr>
          <w:rFonts w:hint="eastAsia" w:hAnsi="仿宋" w:cs="仿宋"/>
          <w:color w:val="auto"/>
          <w:w w:val="105"/>
          <w:sz w:val="32"/>
          <w:szCs w:val="32"/>
          <w:highlight w:val="none"/>
          <w:lang w:val="en-US" w:eastAsia="zh-CN"/>
        </w:rPr>
        <w:t xml:space="preserve"> </w:t>
      </w:r>
      <w:r>
        <w:rPr>
          <w:rFonts w:hint="eastAsia" w:hAnsi="仿宋" w:cs="仿宋"/>
          <w:color w:val="auto"/>
          <w:w w:val="105"/>
          <w:sz w:val="32"/>
          <w:szCs w:val="32"/>
          <w:highlight w:val="none"/>
        </w:rPr>
        <w:t>名</w:t>
      </w:r>
      <w:r>
        <w:rPr>
          <w:rFonts w:hint="eastAsia" w:hAnsi="仿宋" w:cs="仿宋"/>
          <w:color w:val="auto"/>
          <w:w w:val="105"/>
          <w:sz w:val="32"/>
          <w:szCs w:val="32"/>
          <w:highlight w:val="none"/>
          <w:lang w:val="en-US" w:eastAsia="zh-CN"/>
        </w:rPr>
        <w:t xml:space="preserve"> </w:t>
      </w:r>
      <w:r>
        <w:rPr>
          <w:rFonts w:hint="eastAsia" w:hAnsi="仿宋" w:cs="仿宋"/>
          <w:color w:val="auto"/>
          <w:w w:val="105"/>
          <w:sz w:val="32"/>
          <w:szCs w:val="32"/>
          <w:highlight w:val="none"/>
        </w:rPr>
        <w:t>称</w:t>
      </w:r>
      <w:r>
        <w:rPr>
          <w:rFonts w:hint="eastAsia" w:hAnsi="仿宋" w:cs="仿宋"/>
          <w:color w:val="auto"/>
          <w:w w:val="105"/>
          <w:sz w:val="32"/>
          <w:szCs w:val="32"/>
          <w:highlight w:val="none"/>
          <w:lang w:eastAsia="zh-CN"/>
        </w:rPr>
        <w:t>：</w:t>
      </w:r>
      <w:r>
        <w:rPr>
          <w:rFonts w:hint="eastAsia" w:hAnsi="仿宋" w:cs="仿宋"/>
          <w:color w:val="auto"/>
          <w:w w:val="105"/>
          <w:sz w:val="32"/>
          <w:szCs w:val="32"/>
          <w:highlight w:val="none"/>
          <w:u w:val="single"/>
          <w:lang w:eastAsia="zh-CN"/>
        </w:rPr>
        <w:t>西宁市</w:t>
      </w:r>
      <w:r>
        <w:rPr>
          <w:rFonts w:hint="eastAsia" w:hAnsi="仿宋" w:cs="仿宋"/>
          <w:color w:val="auto"/>
          <w:szCs w:val="32"/>
          <w:highlight w:val="none"/>
          <w:u w:val="single"/>
          <w:lang w:eastAsia="zh-CN"/>
        </w:rPr>
        <w:t>城中区福禄巷南社区老年日间</w:t>
      </w:r>
    </w:p>
    <w:p>
      <w:pPr>
        <w:keepNext w:val="0"/>
        <w:keepLines w:val="0"/>
        <w:pageBreakBefore w:val="0"/>
        <w:widowControl w:val="0"/>
        <w:shd w:val="clear" w:color="auto" w:fill="auto"/>
        <w:kinsoku/>
        <w:overflowPunct/>
        <w:topLinePunct w:val="0"/>
        <w:autoSpaceDE/>
        <w:autoSpaceDN/>
        <w:bidi w:val="0"/>
        <w:spacing w:line="576" w:lineRule="exact"/>
        <w:ind w:left="320" w:leftChars="100" w:firstLine="2880" w:firstLineChars="900"/>
        <w:jc w:val="both"/>
        <w:rPr>
          <w:rFonts w:hint="default" w:hAnsi="仿宋" w:eastAsia="仿宋_GB2312" w:cs="仿宋"/>
          <w:color w:val="auto"/>
          <w:szCs w:val="32"/>
          <w:highlight w:val="none"/>
          <w:lang w:val="en-US" w:eastAsia="zh-CN"/>
        </w:rPr>
      </w:pPr>
      <w:r>
        <w:rPr>
          <w:rFonts w:hint="eastAsia" w:hAnsi="仿宋" w:cs="仿宋"/>
          <w:color w:val="auto"/>
          <w:szCs w:val="32"/>
          <w:highlight w:val="none"/>
          <w:u w:val="single"/>
          <w:lang w:eastAsia="zh-CN"/>
        </w:rPr>
        <w:t>照料中心装修及设备购置项目</w:t>
      </w:r>
    </w:p>
    <w:p>
      <w:pPr>
        <w:keepNext w:val="0"/>
        <w:keepLines w:val="0"/>
        <w:pageBreakBefore w:val="0"/>
        <w:widowControl w:val="0"/>
        <w:shd w:val="clear" w:color="auto" w:fill="auto"/>
        <w:kinsoku/>
        <w:overflowPunct/>
        <w:topLinePunct w:val="0"/>
        <w:autoSpaceDE/>
        <w:autoSpaceDN/>
        <w:bidi w:val="0"/>
        <w:spacing w:line="576" w:lineRule="exact"/>
        <w:ind w:left="1600" w:leftChars="300" w:hanging="640" w:hangingChars="200"/>
        <w:jc w:val="both"/>
        <w:rPr>
          <w:rFonts w:hint="default" w:hAnsi="仿宋" w:cs="仿宋"/>
          <w:color w:val="auto"/>
          <w:szCs w:val="32"/>
          <w:highlight w:val="none"/>
          <w:u w:val="single"/>
          <w:lang w:val="en-US" w:eastAsia="zh-CN"/>
        </w:rPr>
      </w:pPr>
      <w:r>
        <w:rPr>
          <w:rFonts w:hint="eastAsia" w:hAnsi="仿宋" w:cs="仿宋"/>
          <w:color w:val="auto"/>
          <w:szCs w:val="32"/>
          <w:highlight w:val="none"/>
        </w:rPr>
        <w:t>项目主管部门：</w:t>
      </w:r>
      <w:r>
        <w:rPr>
          <w:rFonts w:hint="eastAsia" w:hAnsi="仿宋" w:cs="仿宋"/>
          <w:color w:val="auto"/>
          <w:szCs w:val="32"/>
          <w:highlight w:val="none"/>
          <w:u w:val="single"/>
          <w:lang w:val="en-US" w:eastAsia="zh-CN"/>
        </w:rPr>
        <w:t>西宁市城中区民政局</w:t>
      </w:r>
    </w:p>
    <w:p>
      <w:pPr>
        <w:keepNext w:val="0"/>
        <w:keepLines w:val="0"/>
        <w:pageBreakBefore w:val="0"/>
        <w:widowControl w:val="0"/>
        <w:shd w:val="clear" w:color="auto" w:fill="auto"/>
        <w:kinsoku/>
        <w:overflowPunct/>
        <w:topLinePunct w:val="0"/>
        <w:autoSpaceDE/>
        <w:autoSpaceDN/>
        <w:bidi w:val="0"/>
        <w:spacing w:line="576" w:lineRule="exact"/>
        <w:ind w:left="0" w:leftChars="0" w:firstLine="960" w:firstLineChars="300"/>
        <w:jc w:val="both"/>
        <w:rPr>
          <w:rFonts w:hAnsi="仿宋" w:cs="仿宋"/>
          <w:color w:val="auto"/>
          <w:szCs w:val="32"/>
          <w:highlight w:val="none"/>
        </w:rPr>
      </w:pPr>
      <w:r>
        <w:rPr>
          <w:rFonts w:hint="eastAsia" w:hAnsi="仿宋" w:cs="仿宋"/>
          <w:color w:val="auto"/>
          <w:szCs w:val="32"/>
          <w:highlight w:val="none"/>
          <w:lang w:eastAsia="zh-CN"/>
        </w:rPr>
        <w:t>评价实施部门</w:t>
      </w:r>
      <w:r>
        <w:rPr>
          <w:rFonts w:hint="eastAsia" w:hAnsi="仿宋" w:cs="仿宋"/>
          <w:color w:val="auto"/>
          <w:szCs w:val="32"/>
          <w:highlight w:val="none"/>
        </w:rPr>
        <w:t>：</w:t>
      </w:r>
      <w:r>
        <w:rPr>
          <w:rFonts w:hint="eastAsia" w:hAnsi="仿宋" w:cs="仿宋"/>
          <w:color w:val="auto"/>
          <w:szCs w:val="32"/>
          <w:highlight w:val="none"/>
          <w:u w:val="single"/>
          <w:lang w:val="en-US" w:eastAsia="zh-CN"/>
        </w:rPr>
        <w:t>西宁市城中区财政局</w:t>
      </w:r>
    </w:p>
    <w:p>
      <w:pPr>
        <w:keepNext w:val="0"/>
        <w:keepLines w:val="0"/>
        <w:pageBreakBefore w:val="0"/>
        <w:widowControl w:val="0"/>
        <w:shd w:val="clear" w:color="auto" w:fill="auto"/>
        <w:kinsoku/>
        <w:overflowPunct/>
        <w:topLinePunct w:val="0"/>
        <w:autoSpaceDE/>
        <w:autoSpaceDN/>
        <w:bidi w:val="0"/>
        <w:spacing w:line="576" w:lineRule="exact"/>
        <w:ind w:left="1600" w:leftChars="0" w:hanging="1600" w:hangingChars="500"/>
        <w:jc w:val="center"/>
        <w:rPr>
          <w:rFonts w:hint="default" w:hAnsi="仿宋" w:eastAsia="仿宋_GB2312" w:cs="仿宋"/>
          <w:color w:val="auto"/>
          <w:szCs w:val="32"/>
          <w:highlight w:val="none"/>
          <w:lang w:val="en-US" w:eastAsia="zh-CN"/>
        </w:rPr>
      </w:pPr>
      <w:r>
        <w:rPr>
          <w:rFonts w:hint="eastAsia" w:hAnsi="仿宋" w:cs="仿宋"/>
          <w:color w:val="auto"/>
          <w:szCs w:val="32"/>
          <w:highlight w:val="none"/>
          <w:lang w:val="en-US" w:eastAsia="zh-CN"/>
        </w:rPr>
        <w:t xml:space="preserve">   </w:t>
      </w:r>
      <w:r>
        <w:rPr>
          <w:rFonts w:hint="eastAsia" w:hAnsi="仿宋" w:cs="仿宋"/>
          <w:color w:val="auto"/>
          <w:szCs w:val="32"/>
          <w:highlight w:val="none"/>
        </w:rPr>
        <w:t>评价机构</w:t>
      </w:r>
      <w:r>
        <w:rPr>
          <w:rFonts w:hint="eastAsia" w:hAnsi="仿宋" w:cs="仿宋"/>
          <w:color w:val="auto"/>
          <w:szCs w:val="32"/>
          <w:highlight w:val="none"/>
          <w:lang w:eastAsia="zh-CN"/>
        </w:rPr>
        <w:t>名称</w:t>
      </w:r>
      <w:r>
        <w:rPr>
          <w:rFonts w:hint="eastAsia" w:hAnsi="仿宋" w:cs="仿宋"/>
          <w:color w:val="auto"/>
          <w:szCs w:val="32"/>
          <w:highlight w:val="none"/>
        </w:rPr>
        <w:t>：</w:t>
      </w:r>
      <w:r>
        <w:rPr>
          <w:rFonts w:hint="eastAsia" w:hAnsi="仿宋" w:cs="仿宋"/>
          <w:color w:val="auto"/>
          <w:szCs w:val="32"/>
          <w:highlight w:val="none"/>
          <w:u w:val="single"/>
          <w:lang w:val="en-US" w:eastAsia="zh-CN"/>
        </w:rPr>
        <w:t>甘肃政泽绩效管理咨询服务有限公司</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rPr>
          <w:rFonts w:hAnsi="仿宋" w:cs="仿宋"/>
          <w:color w:val="auto"/>
          <w:szCs w:val="32"/>
          <w:highlight w:val="none"/>
        </w:rPr>
      </w:pP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rPr>
          <w:rFonts w:hAnsi="仿宋" w:cs="仿宋"/>
          <w:color w:val="auto"/>
          <w:szCs w:val="32"/>
          <w:highlight w:val="none"/>
        </w:rPr>
      </w:pP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rPr>
          <w:rFonts w:hint="eastAsia" w:hAnsi="仿宋" w:cs="仿宋"/>
          <w:color w:val="auto"/>
          <w:szCs w:val="32"/>
          <w:highlight w:val="none"/>
        </w:rPr>
      </w:pPr>
    </w:p>
    <w:p>
      <w:pPr>
        <w:pageBreakBefore w:val="0"/>
        <w:shd w:val="clear" w:color="auto" w:fill="auto"/>
        <w:overflowPunct/>
        <w:topLinePunct w:val="0"/>
        <w:bidi w:val="0"/>
        <w:spacing w:line="576" w:lineRule="exact"/>
        <w:ind w:left="0" w:leftChars="0" w:firstLine="0" w:firstLineChars="0"/>
        <w:rPr>
          <w:rFonts w:hint="eastAsia" w:cs="Times New Roman"/>
          <w:color w:val="auto"/>
          <w:highlight w:val="none"/>
        </w:rPr>
      </w:pP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outlineLvl w:val="0"/>
        <w:rPr>
          <w:rFonts w:hint="eastAsia" w:ascii="黑体" w:hAnsi="黑体" w:eastAsia="黑体" w:cs="Times New Roman"/>
          <w:b/>
          <w:bCs/>
          <w:color w:val="auto"/>
          <w:sz w:val="44"/>
          <w:szCs w:val="44"/>
          <w:highlight w:val="none"/>
        </w:rPr>
      </w:pPr>
      <w:bookmarkStart w:id="419" w:name="_Toc28528"/>
      <w:bookmarkStart w:id="420" w:name="_Toc3572"/>
      <w:bookmarkStart w:id="421" w:name="_Toc11451"/>
      <w:bookmarkStart w:id="422" w:name="_Toc611"/>
      <w:bookmarkStart w:id="423" w:name="_Toc23097"/>
      <w:bookmarkStart w:id="424" w:name="_Toc11551"/>
      <w:r>
        <w:rPr>
          <w:rFonts w:hint="eastAsia" w:ascii="黑体" w:hAnsi="黑体" w:eastAsia="黑体" w:cs="Times New Roman"/>
          <w:b/>
          <w:bCs/>
          <w:color w:val="auto"/>
          <w:sz w:val="44"/>
          <w:szCs w:val="44"/>
          <w:highlight w:val="none"/>
        </w:rPr>
        <w:fldChar w:fldCharType="begin"/>
      </w:r>
      <w:r>
        <w:rPr>
          <w:rFonts w:hint="eastAsia" w:ascii="黑体" w:hAnsi="黑体" w:eastAsia="黑体" w:cs="Times New Roman"/>
          <w:b/>
          <w:bCs/>
          <w:color w:val="auto"/>
          <w:sz w:val="44"/>
          <w:szCs w:val="44"/>
          <w:highlight w:val="none"/>
        </w:rPr>
        <w:instrText xml:space="preserve"> HYPERLINK \l _Toc29392 </w:instrText>
      </w:r>
      <w:r>
        <w:rPr>
          <w:rFonts w:hint="eastAsia" w:ascii="黑体" w:hAnsi="黑体" w:eastAsia="黑体" w:cs="Times New Roman"/>
          <w:b/>
          <w:bCs/>
          <w:color w:val="auto"/>
          <w:sz w:val="44"/>
          <w:szCs w:val="44"/>
          <w:highlight w:val="none"/>
        </w:rPr>
        <w:fldChar w:fldCharType="separate"/>
      </w:r>
      <w:r>
        <w:rPr>
          <w:rFonts w:hint="eastAsia" w:ascii="黑体" w:hAnsi="黑体" w:eastAsia="黑体" w:cs="Times New Roman"/>
          <w:b/>
          <w:bCs/>
          <w:color w:val="auto"/>
          <w:sz w:val="44"/>
          <w:szCs w:val="44"/>
          <w:highlight w:val="none"/>
        </w:rPr>
        <w:t>摘  要</w:t>
      </w:r>
      <w:r>
        <w:rPr>
          <w:rFonts w:hint="eastAsia" w:ascii="黑体" w:hAnsi="黑体" w:eastAsia="黑体" w:cs="Times New Roman"/>
          <w:b/>
          <w:bCs/>
          <w:color w:val="auto"/>
          <w:sz w:val="44"/>
          <w:szCs w:val="44"/>
          <w:highlight w:val="none"/>
        </w:rPr>
        <w:fldChar w:fldCharType="end"/>
      </w:r>
      <w:bookmarkEnd w:id="419"/>
      <w:bookmarkEnd w:id="420"/>
      <w:bookmarkEnd w:id="421"/>
      <w:bookmarkEnd w:id="422"/>
      <w:bookmarkEnd w:id="423"/>
      <w:bookmarkEnd w:id="424"/>
    </w:p>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textAlignment w:val="auto"/>
        <w:rPr>
          <w:rFonts w:hint="eastAsia" w:cs="Times New Roman"/>
          <w:color w:val="auto"/>
          <w:sz w:val="24"/>
          <w:szCs w:val="21"/>
          <w:highlight w:val="none"/>
        </w:rPr>
      </w:pP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jc w:val="both"/>
        <w:textAlignment w:val="auto"/>
        <w:outlineLvl w:val="9"/>
        <w:rPr>
          <w:rFonts w:hint="eastAsia" w:cs="Times New Roman"/>
          <w:color w:val="auto"/>
          <w:highlight w:val="none"/>
        </w:rPr>
      </w:pPr>
      <w:r>
        <w:rPr>
          <w:rFonts w:hint="eastAsia" w:cs="Times New Roman"/>
          <w:color w:val="auto"/>
          <w:highlight w:val="none"/>
        </w:rPr>
        <w:t>为进一步</w:t>
      </w:r>
      <w:r>
        <w:rPr>
          <w:rFonts w:hint="eastAsia" w:cs="Times New Roman"/>
          <w:color w:val="auto"/>
          <w:highlight w:val="none"/>
          <w:lang w:eastAsia="zh-CN"/>
        </w:rPr>
        <w:t>保障</w:t>
      </w:r>
      <w:r>
        <w:rPr>
          <w:rFonts w:hint="eastAsia" w:cs="Times New Roman"/>
          <w:color w:val="auto"/>
          <w:highlight w:val="none"/>
          <w:lang w:val="en-US" w:eastAsia="zh-CN"/>
        </w:rPr>
        <w:t>西宁市城中区福禄巷南社区老年日间照料中心装修及设备购置项目</w:t>
      </w:r>
      <w:r>
        <w:rPr>
          <w:rFonts w:hint="eastAsia" w:cs="Times New Roman"/>
          <w:color w:val="auto"/>
          <w:highlight w:val="none"/>
          <w:lang w:eastAsia="zh-CN"/>
        </w:rPr>
        <w:t>资金规范使用</w:t>
      </w:r>
      <w:r>
        <w:rPr>
          <w:rFonts w:hint="eastAsia" w:cs="Times New Roman"/>
          <w:color w:val="auto"/>
          <w:highlight w:val="none"/>
        </w:rPr>
        <w:t>，提高财政资金</w:t>
      </w:r>
      <w:r>
        <w:rPr>
          <w:rFonts w:hint="eastAsia" w:cs="Times New Roman"/>
          <w:color w:val="auto"/>
          <w:highlight w:val="none"/>
          <w:lang w:eastAsia="zh-CN"/>
        </w:rPr>
        <w:t>使用绩效</w:t>
      </w:r>
      <w:r>
        <w:rPr>
          <w:rFonts w:hint="eastAsia" w:cs="Times New Roman"/>
          <w:color w:val="auto"/>
          <w:highlight w:val="none"/>
        </w:rPr>
        <w:t>和</w:t>
      </w:r>
      <w:r>
        <w:rPr>
          <w:rFonts w:hint="eastAsia" w:cs="Times New Roman"/>
          <w:color w:val="auto"/>
          <w:highlight w:val="none"/>
          <w:lang w:eastAsia="zh-CN"/>
        </w:rPr>
        <w:t>管理水平</w:t>
      </w:r>
      <w:r>
        <w:rPr>
          <w:rFonts w:hint="eastAsia" w:cs="Times New Roman"/>
          <w:color w:val="auto"/>
          <w:highlight w:val="none"/>
        </w:rPr>
        <w:t>。依据《中共中央 国务院关于全面实施预算绩效管理的意见》（中发</w:t>
      </w:r>
      <w:r>
        <w:rPr>
          <w:rFonts w:hint="eastAsia" w:ascii="Times New Roman" w:hAnsi="Times New Roman" w:eastAsia="仿宋_GB2312" w:cs="Times New Roman"/>
          <w:b w:val="0"/>
          <w:bCs w:val="0"/>
          <w:color w:val="auto"/>
          <w:kern w:val="2"/>
          <w:sz w:val="32"/>
          <w:szCs w:val="32"/>
          <w:highlight w:val="none"/>
          <w:lang w:val="en-US" w:eastAsia="zh-CN" w:bidi="ar-SA"/>
        </w:rPr>
        <w:t>〔2018〕34号）及《中共青海省委 青海省人民政府关于全面实施预算绩效管理的实施意见》（青发〔2019〕11号）文</w:t>
      </w:r>
      <w:r>
        <w:rPr>
          <w:rFonts w:hint="eastAsia" w:cs="Times New Roman"/>
          <w:color w:val="auto"/>
          <w:highlight w:val="none"/>
        </w:rPr>
        <w:t>件相关要求</w:t>
      </w:r>
      <w:r>
        <w:rPr>
          <w:rFonts w:hint="eastAsia" w:cs="Times New Roman"/>
          <w:color w:val="auto"/>
          <w:highlight w:val="none"/>
          <w:lang w:eastAsia="zh-CN"/>
        </w:rPr>
        <w:t>，</w:t>
      </w:r>
      <w:r>
        <w:rPr>
          <w:rFonts w:hint="eastAsia" w:cs="Times New Roman"/>
          <w:color w:val="auto"/>
          <w:highlight w:val="none"/>
          <w:lang w:val="en-US" w:eastAsia="zh-CN"/>
        </w:rPr>
        <w:t>西宁市城中区</w:t>
      </w:r>
      <w:r>
        <w:rPr>
          <w:rFonts w:hint="eastAsia" w:cs="Times New Roman"/>
          <w:color w:val="auto"/>
          <w:highlight w:val="none"/>
          <w:lang w:eastAsia="zh-CN"/>
        </w:rPr>
        <w:t>财政局委托第三方机构对城中区民政局实施的西宁市城中区福禄巷南社区老年日间照料中心装修及设备购置项目</w:t>
      </w:r>
      <w:r>
        <w:rPr>
          <w:rFonts w:hint="eastAsia" w:cs="Times New Roman"/>
          <w:color w:val="auto"/>
          <w:highlight w:val="none"/>
        </w:rPr>
        <w:t>开展</w:t>
      </w:r>
      <w:r>
        <w:rPr>
          <w:rFonts w:hint="eastAsia" w:cs="Times New Roman"/>
          <w:color w:val="auto"/>
          <w:highlight w:val="none"/>
          <w:lang w:eastAsia="zh-CN"/>
        </w:rPr>
        <w:t>了绩效评价</w:t>
      </w:r>
      <w:r>
        <w:rPr>
          <w:rFonts w:hint="eastAsia" w:cs="Times New Roman"/>
          <w:color w:val="auto"/>
          <w:highlight w:val="none"/>
        </w:rPr>
        <w:t>。</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jc w:val="both"/>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本项目绩效评价紧紧围绕项目决策、组织管理、资金投入与使用、项目产出目标实现程度及效益发挥情况等重要内容设计绩效评价指标体系，选取适合项目特点的绩效评价方法，分别从决策、过程、产出、效果四个方面对项目实施情况进行综合评价。</w:t>
      </w:r>
      <w:r>
        <w:rPr>
          <w:rFonts w:hint="eastAsia" w:cs="仿宋_GB2312"/>
          <w:color w:val="auto"/>
          <w:sz w:val="32"/>
          <w:szCs w:val="32"/>
          <w:highlight w:val="none"/>
          <w:lang w:val="en-US" w:eastAsia="zh-CN"/>
        </w:rPr>
        <w:t>评价组</w:t>
      </w:r>
      <w:r>
        <w:rPr>
          <w:rFonts w:hint="eastAsia" w:ascii="仿宋_GB2312" w:hAnsi="仿宋_GB2312" w:eastAsia="仿宋_GB2312" w:cs="仿宋_GB2312"/>
          <w:color w:val="auto"/>
          <w:sz w:val="32"/>
          <w:szCs w:val="32"/>
          <w:highlight w:val="none"/>
          <w:lang w:val="en-US" w:eastAsia="zh-CN"/>
        </w:rPr>
        <w:t>通过查阅项目资料、实地</w:t>
      </w:r>
      <w:r>
        <w:rPr>
          <w:rFonts w:hint="eastAsia" w:cs="仿宋_GB2312"/>
          <w:color w:val="auto"/>
          <w:sz w:val="32"/>
          <w:szCs w:val="32"/>
          <w:highlight w:val="none"/>
          <w:lang w:val="en-US" w:eastAsia="zh-CN"/>
        </w:rPr>
        <w:t>现场</w:t>
      </w:r>
      <w:r>
        <w:rPr>
          <w:rFonts w:hint="eastAsia" w:ascii="仿宋_GB2312" w:hAnsi="仿宋_GB2312" w:eastAsia="仿宋_GB2312" w:cs="仿宋_GB2312"/>
          <w:color w:val="auto"/>
          <w:sz w:val="32"/>
          <w:szCs w:val="32"/>
          <w:highlight w:val="none"/>
          <w:lang w:val="en-US" w:eastAsia="zh-CN"/>
        </w:rPr>
        <w:t>调研</w:t>
      </w:r>
      <w:r>
        <w:rPr>
          <w:rFonts w:hint="eastAsia" w:cs="仿宋_GB2312"/>
          <w:color w:val="auto"/>
          <w:sz w:val="32"/>
          <w:szCs w:val="32"/>
          <w:highlight w:val="none"/>
          <w:lang w:val="en-US" w:eastAsia="zh-CN"/>
        </w:rPr>
        <w:t>、开展</w:t>
      </w:r>
      <w:r>
        <w:rPr>
          <w:rFonts w:hint="eastAsia" w:ascii="仿宋_GB2312" w:hAnsi="仿宋_GB2312" w:eastAsia="仿宋_GB2312" w:cs="仿宋_GB2312"/>
          <w:color w:val="auto"/>
          <w:sz w:val="32"/>
          <w:szCs w:val="32"/>
          <w:highlight w:val="none"/>
          <w:lang w:val="en-US" w:eastAsia="zh-CN"/>
        </w:rPr>
        <w:t>调查问卷</w:t>
      </w:r>
      <w:r>
        <w:rPr>
          <w:rFonts w:hint="eastAsia" w:cs="仿宋_GB2312"/>
          <w:color w:val="auto"/>
          <w:sz w:val="32"/>
          <w:szCs w:val="32"/>
          <w:highlight w:val="none"/>
          <w:lang w:val="en-US" w:eastAsia="zh-CN"/>
        </w:rPr>
        <w:t>等方式获取佐证数据</w:t>
      </w:r>
      <w:r>
        <w:rPr>
          <w:rFonts w:hint="eastAsia" w:ascii="仿宋_GB2312" w:hAnsi="仿宋_GB2312" w:eastAsia="仿宋_GB2312" w:cs="仿宋_GB2312"/>
          <w:color w:val="auto"/>
          <w:sz w:val="32"/>
          <w:szCs w:val="32"/>
          <w:highlight w:val="none"/>
          <w:lang w:val="en-US" w:eastAsia="zh-CN"/>
        </w:rPr>
        <w:t>，</w:t>
      </w:r>
      <w:r>
        <w:rPr>
          <w:rFonts w:hint="eastAsia" w:cs="仿宋_GB2312"/>
          <w:color w:val="auto"/>
          <w:sz w:val="32"/>
          <w:szCs w:val="32"/>
          <w:highlight w:val="none"/>
          <w:lang w:val="en-US" w:eastAsia="zh-CN"/>
        </w:rPr>
        <w:t>按照指标体系评分标准</w:t>
      </w:r>
      <w:r>
        <w:rPr>
          <w:rFonts w:hint="eastAsia" w:ascii="仿宋_GB2312" w:hAnsi="仿宋_GB2312" w:eastAsia="仿宋_GB2312" w:cs="仿宋_GB2312"/>
          <w:color w:val="auto"/>
          <w:sz w:val="32"/>
          <w:szCs w:val="32"/>
          <w:highlight w:val="none"/>
          <w:lang w:val="en-US" w:eastAsia="zh-CN"/>
        </w:rPr>
        <w:t>对项目</w:t>
      </w:r>
      <w:r>
        <w:rPr>
          <w:rFonts w:hint="eastAsia" w:cs="仿宋_GB2312"/>
          <w:color w:val="auto"/>
          <w:sz w:val="32"/>
          <w:szCs w:val="32"/>
          <w:highlight w:val="none"/>
          <w:lang w:val="en-US" w:eastAsia="zh-CN"/>
        </w:rPr>
        <w:t>评价</w:t>
      </w:r>
      <w:r>
        <w:rPr>
          <w:rFonts w:hint="eastAsia" w:ascii="仿宋_GB2312" w:hAnsi="仿宋_GB2312" w:eastAsia="仿宋_GB2312" w:cs="仿宋_GB2312"/>
          <w:color w:val="auto"/>
          <w:sz w:val="32"/>
          <w:szCs w:val="32"/>
          <w:highlight w:val="none"/>
          <w:lang w:val="en-US" w:eastAsia="zh-CN"/>
        </w:rPr>
        <w:t>指标进行量化打分，综合测评得出该项目绩效评价得分为</w:t>
      </w:r>
      <w:r>
        <w:rPr>
          <w:rFonts w:hint="eastAsia" w:ascii="Times New Roman" w:hAnsi="Times New Roman" w:eastAsia="仿宋_GB2312" w:cs="Times New Roman"/>
          <w:b w:val="0"/>
          <w:bCs w:val="0"/>
          <w:color w:val="auto"/>
          <w:kern w:val="2"/>
          <w:sz w:val="32"/>
          <w:szCs w:val="32"/>
          <w:highlight w:val="none"/>
          <w:lang w:val="en-US" w:eastAsia="zh-CN" w:bidi="ar-SA"/>
        </w:rPr>
        <w:t>：94.33分，</w:t>
      </w:r>
      <w:r>
        <w:rPr>
          <w:rFonts w:hint="eastAsia" w:ascii="仿宋_GB2312" w:hAnsi="仿宋_GB2312" w:eastAsia="仿宋_GB2312" w:cs="仿宋_GB2312"/>
          <w:color w:val="auto"/>
          <w:sz w:val="32"/>
          <w:szCs w:val="32"/>
          <w:highlight w:val="none"/>
          <w:lang w:val="en-US" w:eastAsia="zh-CN"/>
        </w:rPr>
        <w:t>根据《财政</w:t>
      </w:r>
      <w:r>
        <w:rPr>
          <w:rFonts w:hint="eastAsia" w:ascii="仿宋_GB2312" w:hAnsi="仿宋_GB2312" w:eastAsia="仿宋_GB2312" w:cs="仿宋_GB2312"/>
          <w:color w:val="auto"/>
          <w:sz w:val="32"/>
          <w:szCs w:val="32"/>
          <w:highlight w:val="none"/>
        </w:rPr>
        <w:t>部关于印发&lt;项目支出绩效评价管理办法&gt;的通知》（财</w:t>
      </w:r>
      <w:r>
        <w:rPr>
          <w:rFonts w:hint="eastAsia" w:ascii="Times New Roman" w:hAnsi="Times New Roman" w:eastAsia="仿宋_GB2312" w:cs="Times New Roman"/>
          <w:b w:val="0"/>
          <w:bCs w:val="0"/>
          <w:color w:val="auto"/>
          <w:kern w:val="2"/>
          <w:sz w:val="32"/>
          <w:szCs w:val="32"/>
          <w:highlight w:val="none"/>
          <w:lang w:val="en-US" w:eastAsia="zh-CN" w:bidi="ar-SA"/>
        </w:rPr>
        <w:t>预〔2020〕10号</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规定，绩效评价结果等级为：</w:t>
      </w:r>
      <w:r>
        <w:rPr>
          <w:rFonts w:hint="eastAsia" w:cs="仿宋_GB2312"/>
          <w:b/>
          <w:bCs/>
          <w:color w:val="auto"/>
          <w:sz w:val="32"/>
          <w:szCs w:val="32"/>
          <w:highlight w:val="none"/>
          <w:lang w:val="en-US" w:eastAsia="zh-CN"/>
        </w:rPr>
        <w:t>优</w:t>
      </w:r>
      <w:r>
        <w:rPr>
          <w:rFonts w:hint="eastAsia" w:ascii="仿宋_GB2312" w:hAnsi="仿宋_GB2312" w:eastAsia="仿宋_GB2312" w:cs="仿宋_GB2312"/>
          <w:color w:val="auto"/>
          <w:sz w:val="32"/>
          <w:szCs w:val="32"/>
          <w:highlight w:val="none"/>
          <w:lang w:val="en-US"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总体认为</w:t>
      </w:r>
      <w:r>
        <w:rPr>
          <w:rFonts w:hint="eastAsia" w:cs="仿宋_GB2312"/>
          <w:color w:val="auto"/>
          <w:highlight w:val="none"/>
          <w:lang w:val="en-US" w:eastAsia="zh-CN"/>
        </w:rPr>
        <w:t>：西宁市城中区福禄巷南社区老年日间照料中心装修及设备购置项目立项依据充分，立项程序规范，绩效目标合理；项目预算编制科学，预算执行率</w:t>
      </w:r>
      <w:r>
        <w:rPr>
          <w:rFonts w:hint="eastAsia" w:ascii="Times New Roman" w:hAnsi="Times New Roman" w:eastAsia="仿宋_GB2312" w:cs="Times New Roman"/>
          <w:b w:val="0"/>
          <w:bCs w:val="0"/>
          <w:color w:val="auto"/>
          <w:kern w:val="2"/>
          <w:sz w:val="32"/>
          <w:szCs w:val="32"/>
          <w:highlight w:val="none"/>
          <w:lang w:val="en-US" w:eastAsia="zh-CN" w:bidi="ar-SA"/>
        </w:rPr>
        <w:t>为100%</w:t>
      </w:r>
      <w:r>
        <w:rPr>
          <w:rFonts w:hint="eastAsia" w:cs="仿宋_GB2312"/>
          <w:color w:val="auto"/>
          <w:highlight w:val="none"/>
          <w:lang w:val="en-US" w:eastAsia="zh-CN"/>
        </w:rPr>
        <w:t>，资金使用基本合规，不存在截留、挤占、挪用、虚列支出等情况；项目和财务管理制度健全，施工管理、合同管理、项目验收规范，政府采购申请、审批程序合规；项目基本按计划实施内容完成改造，工程完工质量与设备采购质量合格，项目成本节约率高；项目的实施在完善社区养老服务基础设施建设，改善社区养老服务条件与环境，提高社区养老服务能力等方面产生的社会效益显著，对完善养老服务体系、推动养老事业发展产生的可持续影响作用持久，社区群众和工作人员满意度较高。但同时存在绩效目标中绩效指标设定不够准确合理、不够细化量化，部分资金支出不符合项目预算批复的用途，项目实施组织管理有待进一步加强等问题</w:t>
      </w:r>
      <w:r>
        <w:rPr>
          <w:rFonts w:hint="eastAsia" w:ascii="仿宋_GB2312" w:hAnsi="仿宋_GB2312" w:eastAsia="仿宋_GB2312" w:cs="仿宋_GB2312"/>
          <w:color w:val="auto"/>
          <w:highlight w:val="none"/>
          <w:lang w:val="en-US" w:eastAsia="zh-CN"/>
        </w:rPr>
        <w:t>。</w:t>
      </w:r>
    </w:p>
    <w:p>
      <w:pPr>
        <w:pageBreakBefore w:val="0"/>
        <w:shd w:val="clear" w:color="auto" w:fill="auto"/>
        <w:overflowPunct/>
        <w:topLinePunct w:val="0"/>
        <w:bidi w:val="0"/>
        <w:spacing w:line="576" w:lineRule="exact"/>
        <w:ind w:left="0" w:leftChars="0"/>
        <w:rPr>
          <w:rFonts w:hint="eastAsia" w:cs="Times New Roman"/>
          <w:color w:val="auto"/>
          <w:highlight w:val="none"/>
        </w:rPr>
      </w:pPr>
    </w:p>
    <w:p>
      <w:pPr>
        <w:pageBreakBefore w:val="0"/>
        <w:shd w:val="clear" w:color="auto" w:fill="auto"/>
        <w:overflowPunct/>
        <w:topLinePunct w:val="0"/>
        <w:bidi w:val="0"/>
        <w:spacing w:line="576" w:lineRule="exact"/>
        <w:ind w:left="0" w:leftChars="0"/>
        <w:rPr>
          <w:rFonts w:hint="eastAsia"/>
          <w:color w:val="auto"/>
          <w:highlight w:val="none"/>
          <w:lang w:val="en-US" w:eastAsia="zh-CN"/>
        </w:rPr>
        <w:sectPr>
          <w:headerReference r:id="rId25" w:type="default"/>
          <w:footerReference r:id="rId26" w:type="default"/>
          <w:pgSz w:w="11906" w:h="16838"/>
          <w:pgMar w:top="2098" w:right="1474" w:bottom="1984" w:left="1587" w:header="851" w:footer="722" w:gutter="0"/>
          <w:pgBorders>
            <w:top w:val="none" w:sz="0" w:space="0"/>
            <w:left w:val="none" w:sz="0" w:space="0"/>
            <w:bottom w:val="none" w:sz="0" w:space="0"/>
            <w:right w:val="none" w:sz="0" w:space="0"/>
          </w:pgBorders>
          <w:pgNumType w:fmt="numberInDash"/>
          <w:cols w:space="720" w:num="1"/>
          <w:docGrid w:type="lines" w:linePitch="435" w:charSpace="0"/>
        </w:sectPr>
      </w:pPr>
    </w:p>
    <w:p>
      <w:pPr>
        <w:pageBreakBefore w:val="0"/>
        <w:numPr>
          <w:ilvl w:val="0"/>
          <w:numId w:val="0"/>
        </w:numPr>
        <w:shd w:val="clear" w:color="auto" w:fill="auto"/>
        <w:overflowPunct/>
        <w:topLinePunct w:val="0"/>
        <w:bidi w:val="0"/>
        <w:spacing w:line="576" w:lineRule="exact"/>
        <w:ind w:left="0" w:leftChars="0"/>
        <w:jc w:val="center"/>
        <w:rPr>
          <w:rFonts w:hint="eastAsia" w:ascii="宋体" w:hAnsi="宋体" w:eastAsia="宋体" w:cs="宋体"/>
          <w:b/>
          <w:bCs/>
          <w:color w:val="auto"/>
          <w:sz w:val="36"/>
          <w:szCs w:val="36"/>
          <w:highlight w:val="none"/>
          <w:lang w:val="en-US" w:eastAsia="zh-CN"/>
        </w:rPr>
      </w:pPr>
      <w:r>
        <w:rPr>
          <w:rFonts w:hint="eastAsia" w:ascii="宋体" w:hAnsi="宋体" w:eastAsia="宋体" w:cs="宋体"/>
          <w:b/>
          <w:bCs/>
          <w:color w:val="auto"/>
          <w:sz w:val="36"/>
          <w:szCs w:val="36"/>
          <w:highlight w:val="none"/>
          <w:lang w:val="en-US" w:eastAsia="zh-CN"/>
        </w:rPr>
        <w:t>项目绩效评价结论表</w:t>
      </w:r>
    </w:p>
    <w:tbl>
      <w:tblPr>
        <w:tblStyle w:val="14"/>
        <w:tblW w:w="9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2140"/>
        <w:gridCol w:w="1654"/>
        <w:gridCol w:w="2228"/>
        <w:gridCol w:w="2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exact"/>
          <w:jc w:val="center"/>
        </w:trPr>
        <w:tc>
          <w:tcPr>
            <w:tcW w:w="1089" w:type="dxa"/>
            <w:vMerge w:val="restar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项</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目</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基</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本</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情</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况</w:t>
            </w: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项目名称</w:t>
            </w:r>
          </w:p>
        </w:tc>
        <w:tc>
          <w:tcPr>
            <w:tcW w:w="6076" w:type="dxa"/>
            <w:gridSpan w:val="3"/>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西宁市城中区福禄巷南社区老年日间照料中心装修及设备购置项目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主管单位</w:t>
            </w:r>
          </w:p>
        </w:tc>
        <w:tc>
          <w:tcPr>
            <w:tcW w:w="6076" w:type="dxa"/>
            <w:gridSpan w:val="3"/>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西宁市城中区民政局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实施单位</w:t>
            </w:r>
          </w:p>
        </w:tc>
        <w:tc>
          <w:tcPr>
            <w:tcW w:w="6076" w:type="dxa"/>
            <w:gridSpan w:val="3"/>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西宁市城中区民政局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项目起止时间</w:t>
            </w:r>
          </w:p>
        </w:tc>
        <w:tc>
          <w:tcPr>
            <w:tcW w:w="6076" w:type="dxa"/>
            <w:gridSpan w:val="3"/>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2020年10月30日至2021年7月19日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委托评价单位</w:t>
            </w:r>
          </w:p>
        </w:tc>
        <w:tc>
          <w:tcPr>
            <w:tcW w:w="6076" w:type="dxa"/>
            <w:gridSpan w:val="3"/>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西宁市城中区财政局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项目属性</w:t>
            </w:r>
          </w:p>
        </w:tc>
        <w:tc>
          <w:tcPr>
            <w:tcW w:w="6076" w:type="dxa"/>
            <w:gridSpan w:val="3"/>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□新增项目         ☑延续项目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项目类型</w:t>
            </w:r>
          </w:p>
        </w:tc>
        <w:tc>
          <w:tcPr>
            <w:tcW w:w="6076" w:type="dxa"/>
            <w:gridSpan w:val="3"/>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default"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☑经济建设类       □社会文教类</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default"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□国防建设类       □行政管理类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exact"/>
          <w:jc w:val="center"/>
        </w:trPr>
        <w:tc>
          <w:tcPr>
            <w:tcW w:w="1089" w:type="dxa"/>
            <w:vMerge w:val="restar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项</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目</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资</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金</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情</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况</w:t>
            </w: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预算安排资金</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（万元）</w:t>
            </w:r>
          </w:p>
        </w:tc>
        <w:tc>
          <w:tcPr>
            <w:tcW w:w="1654"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400</w:t>
            </w:r>
          </w:p>
        </w:tc>
        <w:tc>
          <w:tcPr>
            <w:tcW w:w="2228"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实际到位资金</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（万元）</w:t>
            </w:r>
          </w:p>
        </w:tc>
        <w:tc>
          <w:tcPr>
            <w:tcW w:w="2194"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230.31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其中：中央财政</w:t>
            </w:r>
          </w:p>
        </w:tc>
        <w:tc>
          <w:tcPr>
            <w:tcW w:w="1654"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2228"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其中：中央财政</w:t>
            </w:r>
          </w:p>
        </w:tc>
        <w:tc>
          <w:tcPr>
            <w:tcW w:w="2194"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 xml:space="preserve">      省级财政</w:t>
            </w:r>
          </w:p>
        </w:tc>
        <w:tc>
          <w:tcPr>
            <w:tcW w:w="1654"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210</w:t>
            </w:r>
          </w:p>
        </w:tc>
        <w:tc>
          <w:tcPr>
            <w:tcW w:w="2228"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 xml:space="preserve">       省级财政</w:t>
            </w:r>
          </w:p>
        </w:tc>
        <w:tc>
          <w:tcPr>
            <w:tcW w:w="2194"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43.65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 xml:space="preserve">      市县财政</w:t>
            </w:r>
          </w:p>
        </w:tc>
        <w:tc>
          <w:tcPr>
            <w:tcW w:w="1654"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190</w:t>
            </w:r>
          </w:p>
        </w:tc>
        <w:tc>
          <w:tcPr>
            <w:tcW w:w="2228"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 xml:space="preserve">       市县财政</w:t>
            </w:r>
          </w:p>
        </w:tc>
        <w:tc>
          <w:tcPr>
            <w:tcW w:w="2194"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186.66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实际支出资金</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（万元）</w:t>
            </w:r>
          </w:p>
        </w:tc>
        <w:tc>
          <w:tcPr>
            <w:tcW w:w="1654"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230.31</w:t>
            </w:r>
          </w:p>
        </w:tc>
        <w:tc>
          <w:tcPr>
            <w:tcW w:w="2228"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结转结余资金</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（万元）</w:t>
            </w:r>
          </w:p>
        </w:tc>
        <w:tc>
          <w:tcPr>
            <w:tcW w:w="2194"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预算执行率</w:t>
            </w:r>
          </w:p>
        </w:tc>
        <w:tc>
          <w:tcPr>
            <w:tcW w:w="6076" w:type="dxa"/>
            <w:gridSpan w:val="3"/>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1089" w:type="dxa"/>
            <w:vMerge w:val="restar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项</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目</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绩</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效</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目</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标</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完</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成</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情</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况</w:t>
            </w:r>
          </w:p>
        </w:tc>
        <w:tc>
          <w:tcPr>
            <w:tcW w:w="3794" w:type="dxa"/>
            <w:gridSpan w:val="2"/>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预期绩效目标</w:t>
            </w:r>
          </w:p>
        </w:tc>
        <w:tc>
          <w:tcPr>
            <w:tcW w:w="4422" w:type="dxa"/>
            <w:gridSpan w:val="2"/>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实际完成目标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6"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val="0"/>
                <w:bCs w:val="0"/>
                <w:color w:val="auto"/>
                <w:sz w:val="24"/>
                <w:szCs w:val="24"/>
                <w:highlight w:val="none"/>
                <w:vertAlign w:val="baseline"/>
                <w:lang w:val="en-US" w:eastAsia="zh-CN"/>
              </w:rPr>
            </w:pPr>
          </w:p>
        </w:tc>
        <w:tc>
          <w:tcPr>
            <w:tcW w:w="3794" w:type="dxa"/>
            <w:gridSpan w:val="2"/>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完成福禄巷南社区老年日间照料中心项目1050平方米业务用房改造，改善社区养老服务基础设施。</w:t>
            </w:r>
          </w:p>
        </w:tc>
        <w:tc>
          <w:tcPr>
            <w:tcW w:w="4422" w:type="dxa"/>
            <w:gridSpan w:val="2"/>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spacing w:line="576" w:lineRule="exact"/>
              <w:ind w:left="0" w:leftChars="0" w:firstLine="0" w:firstLineChars="0"/>
              <w:jc w:val="both"/>
              <w:textAlignment w:val="auto"/>
              <w:rPr>
                <w:rFonts w:hint="default" w:ascii="宋体" w:hAnsi="宋体" w:eastAsia="宋体" w:cs="宋体"/>
                <w:b w:val="0"/>
                <w:bCs w:val="0"/>
                <w:color w:val="auto"/>
                <w:sz w:val="24"/>
                <w:szCs w:val="24"/>
                <w:highlight w:val="none"/>
                <w:vertAlign w:val="baseline"/>
                <w:lang w:val="en-US" w:eastAsia="zh-CN"/>
              </w:rPr>
            </w:pPr>
            <w:r>
              <w:rPr>
                <w:rFonts w:hint="default" w:ascii="宋体" w:hAnsi="宋体" w:eastAsia="宋体" w:cs="宋体"/>
                <w:b w:val="0"/>
                <w:bCs w:val="0"/>
                <w:color w:val="auto"/>
                <w:sz w:val="24"/>
                <w:szCs w:val="24"/>
                <w:highlight w:val="none"/>
                <w:vertAlign w:val="baseline"/>
                <w:lang w:val="en-US" w:eastAsia="zh-CN"/>
              </w:rPr>
              <w:t>1.完成福禄巷南社区老年日间照料中心业务用房装修，2.采购社区养老服务设施设备，3.组织项目验收并投入使用。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89" w:type="dxa"/>
            <w:vMerge w:val="restart"/>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项</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目</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评</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价</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情</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况</w:t>
            </w: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评价得分</w:t>
            </w:r>
          </w:p>
        </w:tc>
        <w:tc>
          <w:tcPr>
            <w:tcW w:w="1654"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94.33分</w:t>
            </w:r>
          </w:p>
        </w:tc>
        <w:tc>
          <w:tcPr>
            <w:tcW w:w="2228"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评价等级</w:t>
            </w:r>
          </w:p>
        </w:tc>
        <w:tc>
          <w:tcPr>
            <w:tcW w:w="2194"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6"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评价结论</w:t>
            </w:r>
          </w:p>
        </w:tc>
        <w:tc>
          <w:tcPr>
            <w:tcW w:w="6076" w:type="dxa"/>
            <w:gridSpan w:val="3"/>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西宁市城中区福禄巷南社区老年日间照料中心装修及设备购置项目立项依据充分，立项程序规范，绩效目标合理；项目预算编制科学，预算执行率为100%，资金使用基本合规，不存在截留、挤占、挪用、虚列支出等情况；项目和财务管理制度健全，施工管理、合同管理、项目验收规范，政府采购申请、审批程序合规；项目基本按计划实施内容完成改造，工程完工质量与设备采购质量合格，项目成本节约率高；项目的实施在完善社区养老服务基础设施建设，改善社区养老服务条件与环境，提高社区养老服务能力等方面产生的社会效益显著，对完善养老服务体系、推动养老事业发展产生的可持续影响作用持久，社区群众和工作人员满意度较高。但同时存在绩效目标中绩效指标设定不够准确合理、不够细化量化，室内装修工程完工不及时，部分设备采购验收不及时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经验及做法</w:t>
            </w:r>
          </w:p>
        </w:tc>
        <w:tc>
          <w:tcPr>
            <w:tcW w:w="6076" w:type="dxa"/>
            <w:gridSpan w:val="3"/>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1.积极推进社区养老服务设施标准化建设；（详见第39页）</w:t>
            </w:r>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both"/>
              <w:textAlignment w:val="auto"/>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2.丰富社区养老服务内容，提升老人幸福感；（详见第40页）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存在问题</w:t>
            </w:r>
          </w:p>
        </w:tc>
        <w:tc>
          <w:tcPr>
            <w:tcW w:w="6076" w:type="dxa"/>
            <w:gridSpan w:val="3"/>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1.项目绩效指标设定不够合理准确，不够细化量化；（详见第40页）</w:t>
            </w:r>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2.室内装修工程完工不及时；（详见第41页）</w:t>
            </w:r>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both"/>
              <w:textAlignment w:val="auto"/>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3.部分设备采购验收不及时。（详见第41页）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exact"/>
          <w:jc w:val="center"/>
        </w:trPr>
        <w:tc>
          <w:tcPr>
            <w:tcW w:w="1089" w:type="dxa"/>
            <w:vMerge w:val="continue"/>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p>
        </w:tc>
        <w:tc>
          <w:tcPr>
            <w:tcW w:w="2140" w:type="dxa"/>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相关建议</w:t>
            </w:r>
          </w:p>
        </w:tc>
        <w:tc>
          <w:tcPr>
            <w:tcW w:w="6076" w:type="dxa"/>
            <w:gridSpan w:val="3"/>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1.加强预算绩效目标管理，提高绩效指标编制水平；（详见第421页）</w:t>
            </w:r>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2.加强项目监管，确保施工进度，及时完成工程施工；（详见第42页）</w:t>
            </w:r>
          </w:p>
          <w:p>
            <w:pPr>
              <w:keepNext w:val="0"/>
              <w:keepLines w:val="0"/>
              <w:pageBreakBefore w:val="0"/>
              <w:widowControl w:val="0"/>
              <w:numPr>
                <w:ilvl w:val="0"/>
                <w:numId w:val="0"/>
              </w:numPr>
              <w:shd w:val="clear" w:color="auto" w:fill="auto"/>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3.严控交货时间，及时开展设备验收。（详见第42页）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3" w:hRule="exact"/>
          <w:jc w:val="center"/>
        </w:trPr>
        <w:tc>
          <w:tcPr>
            <w:tcW w:w="9305" w:type="dxa"/>
            <w:gridSpan w:val="5"/>
            <w:noWrap w:val="0"/>
            <w:vAlign w:val="center"/>
          </w:tcPr>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jc w:val="left"/>
              <w:textAlignment w:val="auto"/>
              <w:rPr>
                <w:rFonts w:hint="eastAsia" w:ascii="宋体" w:hAnsi="宋体" w:eastAsia="宋体" w:cs="宋体"/>
                <w:b/>
                <w:bCs/>
                <w:color w:val="auto"/>
                <w:sz w:val="28"/>
                <w:szCs w:val="28"/>
                <w:highlight w:val="none"/>
                <w:vertAlign w:val="baseline"/>
                <w:lang w:val="en-US" w:eastAsia="zh-CN"/>
              </w:rPr>
            </w:pPr>
            <w:r>
              <w:rPr>
                <w:rFonts w:hint="eastAsia" w:ascii="宋体" w:hAnsi="宋体" w:eastAsia="宋体" w:cs="宋体"/>
                <w:b/>
                <w:bCs/>
                <w:color w:val="auto"/>
                <w:sz w:val="28"/>
                <w:szCs w:val="28"/>
                <w:highlight w:val="none"/>
                <w:vertAlign w:val="baseline"/>
                <w:lang w:val="en-US" w:eastAsia="zh-CN"/>
              </w:rPr>
              <w:t>评价机构（盖章）：</w:t>
            </w:r>
            <w:r>
              <w:rPr>
                <w:rFonts w:hint="eastAsia" w:ascii="宋体" w:hAnsi="宋体" w:eastAsia="宋体" w:cs="宋体"/>
                <w:b w:val="0"/>
                <w:bCs w:val="0"/>
                <w:color w:val="auto"/>
                <w:sz w:val="28"/>
                <w:szCs w:val="28"/>
                <w:highlight w:val="none"/>
              </w:rPr>
              <w:t>甘肃政泽绩效管理咨询服务有限公司</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jc w:val="left"/>
              <w:textAlignment w:val="auto"/>
              <w:rPr>
                <w:rFonts w:hint="eastAsia" w:ascii="宋体" w:hAnsi="宋体" w:eastAsia="宋体" w:cs="宋体"/>
                <w:b/>
                <w:bCs/>
                <w:color w:val="auto"/>
                <w:sz w:val="28"/>
                <w:szCs w:val="28"/>
                <w:highlight w:val="none"/>
                <w:vertAlign w:val="baseline"/>
                <w:lang w:val="en-US" w:eastAsia="zh-CN"/>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jc w:val="left"/>
              <w:textAlignment w:val="auto"/>
              <w:rPr>
                <w:rFonts w:hint="default" w:ascii="宋体" w:hAnsi="宋体" w:eastAsia="宋体" w:cs="宋体"/>
                <w:b/>
                <w:bCs/>
                <w:color w:val="auto"/>
                <w:sz w:val="28"/>
                <w:szCs w:val="28"/>
                <w:highlight w:val="none"/>
                <w:vertAlign w:val="baseline"/>
                <w:lang w:val="en-US" w:eastAsia="zh-CN"/>
              </w:rPr>
            </w:pPr>
            <w:r>
              <w:rPr>
                <w:rFonts w:hint="eastAsia" w:ascii="宋体" w:hAnsi="宋体" w:eastAsia="宋体" w:cs="宋体"/>
                <w:b/>
                <w:bCs/>
                <w:color w:val="auto"/>
                <w:sz w:val="28"/>
                <w:szCs w:val="28"/>
                <w:highlight w:val="none"/>
                <w:vertAlign w:val="baseline"/>
                <w:lang w:val="en-US" w:eastAsia="zh-CN"/>
              </w:rPr>
              <w:t>主 评 人（签字）：</w:t>
            </w:r>
            <w:r>
              <w:rPr>
                <w:rFonts w:hint="eastAsia" w:ascii="宋体" w:hAnsi="宋体" w:eastAsia="宋体" w:cs="宋体"/>
                <w:b w:val="0"/>
                <w:bCs w:val="0"/>
                <w:color w:val="auto"/>
                <w:sz w:val="28"/>
                <w:szCs w:val="28"/>
                <w:highlight w:val="none"/>
                <w:lang w:val="en-US" w:eastAsia="zh-CN"/>
              </w:rPr>
              <w:t>王守成</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2811" w:firstLineChars="1000"/>
              <w:jc w:val="center"/>
              <w:textAlignment w:val="auto"/>
              <w:rPr>
                <w:rFonts w:hint="eastAsia" w:ascii="宋体" w:hAnsi="宋体" w:eastAsia="宋体" w:cs="宋体"/>
                <w:b/>
                <w:bCs/>
                <w:color w:val="auto"/>
                <w:sz w:val="28"/>
                <w:szCs w:val="28"/>
                <w:highlight w:val="none"/>
                <w:vertAlign w:val="baseline"/>
                <w:lang w:val="en-US" w:eastAsia="zh-CN"/>
              </w:rPr>
            </w:pP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2811" w:firstLineChars="1000"/>
              <w:jc w:val="center"/>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bCs/>
                <w:color w:val="auto"/>
                <w:sz w:val="28"/>
                <w:szCs w:val="28"/>
                <w:highlight w:val="none"/>
                <w:vertAlign w:val="baseline"/>
                <w:lang w:val="en-US" w:eastAsia="zh-CN"/>
              </w:rPr>
              <w:t xml:space="preserve">            </w:t>
            </w:r>
          </w:p>
        </w:tc>
      </w:tr>
    </w:tbl>
    <w:p>
      <w:pPr>
        <w:pageBreakBefore w:val="0"/>
        <w:shd w:val="clear" w:color="auto" w:fill="auto"/>
        <w:overflowPunct/>
        <w:topLinePunct w:val="0"/>
        <w:bidi w:val="0"/>
        <w:spacing w:line="576" w:lineRule="exact"/>
        <w:ind w:left="0" w:leftChars="0"/>
        <w:rPr>
          <w:color w:val="auto"/>
          <w:highlight w:val="none"/>
        </w:rPr>
        <w:sectPr>
          <w:pgSz w:w="11906" w:h="16838"/>
          <w:pgMar w:top="2098" w:right="1474" w:bottom="1984" w:left="1587" w:header="851" w:footer="722" w:gutter="0"/>
          <w:pgBorders>
            <w:top w:val="none" w:sz="0" w:space="0"/>
            <w:left w:val="none" w:sz="0" w:space="0"/>
            <w:bottom w:val="none" w:sz="0" w:space="0"/>
            <w:right w:val="none" w:sz="0" w:space="0"/>
          </w:pgBorders>
          <w:pgNumType w:fmt="numberInDash"/>
          <w:cols w:space="720" w:num="1"/>
          <w:docGrid w:type="lines" w:linePitch="435" w:charSpace="0"/>
        </w:sectPr>
      </w:pP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outlineLvl w:val="0"/>
        <w:rPr>
          <w:rFonts w:hint="eastAsia" w:ascii="黑体" w:hAnsi="黑体" w:eastAsia="黑体" w:cs="黑体"/>
          <w:b/>
          <w:bCs/>
          <w:color w:val="auto"/>
          <w:sz w:val="44"/>
          <w:szCs w:val="44"/>
          <w:highlight w:val="none"/>
        </w:rPr>
      </w:pPr>
      <w:bookmarkStart w:id="425" w:name="_Toc26109"/>
      <w:bookmarkStart w:id="426" w:name="_Toc9937"/>
      <w:bookmarkStart w:id="427" w:name="_Toc19771"/>
      <w:bookmarkStart w:id="428" w:name="_Toc231"/>
      <w:bookmarkStart w:id="429" w:name="_Toc21055"/>
      <w:bookmarkStart w:id="430" w:name="_Toc12960"/>
      <w:bookmarkStart w:id="431" w:name="_Toc19146"/>
      <w:bookmarkStart w:id="432" w:name="_Toc24684"/>
      <w:bookmarkStart w:id="433" w:name="_Toc29647"/>
      <w:bookmarkStart w:id="434" w:name="_Toc18555"/>
      <w:bookmarkStart w:id="435" w:name="_Toc5712"/>
      <w:bookmarkStart w:id="436" w:name="_Toc9214"/>
      <w:bookmarkStart w:id="437" w:name="_Toc10209"/>
      <w:bookmarkStart w:id="438" w:name="_Toc15551"/>
      <w:bookmarkStart w:id="439" w:name="_Toc4028"/>
      <w:r>
        <w:rPr>
          <w:rFonts w:hint="eastAsia" w:ascii="黑体" w:hAnsi="黑体" w:eastAsia="黑体" w:cs="黑体"/>
          <w:b/>
          <w:bCs/>
          <w:color w:val="auto"/>
          <w:sz w:val="44"/>
          <w:szCs w:val="44"/>
          <w:highlight w:val="none"/>
        </w:rPr>
        <w:t>目  录</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bookmarkEnd w:id="439"/>
    <w:p>
      <w:pPr>
        <w:keepNext w:val="0"/>
        <w:keepLines w:val="0"/>
        <w:pageBreakBefore w:val="0"/>
        <w:widowControl w:val="0"/>
        <w:shd w:val="clear" w:color="auto" w:fill="auto"/>
        <w:kinsoku/>
        <w:overflowPunct/>
        <w:topLinePunct w:val="0"/>
        <w:autoSpaceDE/>
        <w:autoSpaceDN/>
        <w:bidi w:val="0"/>
        <w:spacing w:before="0" w:line="576" w:lineRule="exact"/>
        <w:ind w:left="0" w:leftChars="0" w:right="0" w:rightChars="0" w:firstLine="0" w:firstLineChars="0"/>
        <w:jc w:val="center"/>
        <w:rPr>
          <w:rFonts w:cs="Times New Roman"/>
          <w:color w:val="auto"/>
          <w:highlight w:val="none"/>
        </w:rPr>
      </w:pPr>
      <w:r>
        <w:rPr>
          <w:rFonts w:hint="eastAsia" w:ascii="仿宋_GB2312" w:hAnsi="仿宋_GB2312" w:eastAsia="仿宋_GB2312" w:cs="Times New Roman"/>
          <w:b w:val="0"/>
          <w:bCs w:val="0"/>
          <w:color w:val="auto"/>
          <w:kern w:val="2"/>
          <w:sz w:val="32"/>
          <w:szCs w:val="24"/>
          <w:highlight w:val="none"/>
          <w:lang w:val="en-US" w:eastAsia="zh-CN" w:bidi="ar-SA"/>
        </w:rPr>
        <w:fldChar w:fldCharType="begin"/>
      </w:r>
      <w:r>
        <w:rPr>
          <w:rFonts w:hint="eastAsia" w:ascii="仿宋_GB2312" w:hAnsi="仿宋_GB2312" w:eastAsia="仿宋_GB2312" w:cs="Times New Roman"/>
          <w:b w:val="0"/>
          <w:bCs w:val="0"/>
          <w:color w:val="auto"/>
          <w:kern w:val="2"/>
          <w:sz w:val="32"/>
          <w:szCs w:val="24"/>
          <w:highlight w:val="none"/>
          <w:lang w:val="en-US" w:eastAsia="zh-CN" w:bidi="ar-SA"/>
        </w:rPr>
        <w:instrText xml:space="preserve">TOC \o "1-2" \h \u </w:instrText>
      </w:r>
      <w:r>
        <w:rPr>
          <w:rFonts w:hint="eastAsia" w:ascii="仿宋_GB2312" w:hAnsi="仿宋_GB2312" w:eastAsia="仿宋_GB2312" w:cs="Times New Roman"/>
          <w:b w:val="0"/>
          <w:bCs w:val="0"/>
          <w:color w:val="auto"/>
          <w:kern w:val="2"/>
          <w:sz w:val="32"/>
          <w:szCs w:val="24"/>
          <w:highlight w:val="none"/>
          <w:lang w:val="en-US" w:eastAsia="zh-CN" w:bidi="ar-SA"/>
        </w:rPr>
        <w:fldChar w:fldCharType="separate"/>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0" w:firstLineChars="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HYPERLINK \l _Toc31235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一、项目基本情况</w:t>
      </w:r>
      <w:r>
        <w:rPr>
          <w:rFonts w:hint="eastAsia" w:ascii="黑体" w:hAnsi="黑体" w:eastAsia="黑体" w:cs="黑体"/>
          <w:b/>
          <w:bCs/>
          <w:color w:val="auto"/>
          <w:kern w:val="2"/>
          <w:sz w:val="28"/>
          <w:szCs w:val="28"/>
          <w:highlight w:val="none"/>
          <w:lang w:val="en-US" w:eastAsia="zh-CN" w:bidi="ar-SA"/>
        </w:rPr>
        <w:tab/>
      </w: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PAGEREF _Toc31235 \h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81</w:t>
      </w:r>
      <w:r>
        <w:rPr>
          <w:rFonts w:hint="eastAsia" w:ascii="黑体" w:hAnsi="黑体" w:eastAsia="黑体" w:cs="黑体"/>
          <w:b/>
          <w:bCs/>
          <w:color w:val="auto"/>
          <w:kern w:val="2"/>
          <w:sz w:val="28"/>
          <w:szCs w:val="28"/>
          <w:highlight w:val="none"/>
          <w:lang w:val="en-US" w:eastAsia="zh-CN" w:bidi="ar-SA"/>
        </w:rPr>
        <w:fldChar w:fldCharType="end"/>
      </w:r>
      <w:r>
        <w:rPr>
          <w:rFonts w:hint="eastAsia" w:ascii="黑体" w:hAnsi="黑体" w:eastAsia="黑体" w:cs="黑体"/>
          <w:b/>
          <w:bCs/>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_Toc12376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（一）项目立项背景</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_Toc12376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81</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_Toc27003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（二）项目预算安排及使用情况</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_Toc27003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82</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_Toc14689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（三）项目计划内容及实施情况</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_Toc14689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84</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0" w:firstLineChars="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HYPERLINK \l _Toc26801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二、项目绩效目标</w:t>
      </w:r>
      <w:r>
        <w:rPr>
          <w:rFonts w:hint="eastAsia" w:ascii="黑体" w:hAnsi="黑体" w:eastAsia="黑体" w:cs="黑体"/>
          <w:b/>
          <w:bCs/>
          <w:color w:val="auto"/>
          <w:kern w:val="2"/>
          <w:sz w:val="28"/>
          <w:szCs w:val="28"/>
          <w:highlight w:val="none"/>
          <w:lang w:val="en-US" w:eastAsia="zh-CN" w:bidi="ar-SA"/>
        </w:rPr>
        <w:tab/>
      </w: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PAGEREF _Toc26801 \h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87</w:t>
      </w:r>
      <w:r>
        <w:rPr>
          <w:rFonts w:hint="eastAsia" w:ascii="黑体" w:hAnsi="黑体" w:eastAsia="黑体" w:cs="黑体"/>
          <w:b/>
          <w:bCs/>
          <w:color w:val="auto"/>
          <w:kern w:val="2"/>
          <w:sz w:val="28"/>
          <w:szCs w:val="28"/>
          <w:highlight w:val="none"/>
          <w:lang w:val="en-US" w:eastAsia="zh-CN" w:bidi="ar-SA"/>
        </w:rPr>
        <w:fldChar w:fldCharType="end"/>
      </w:r>
      <w:r>
        <w:rPr>
          <w:rFonts w:hint="eastAsia" w:ascii="黑体" w:hAnsi="黑体" w:eastAsia="黑体" w:cs="黑体"/>
          <w:b/>
          <w:bCs/>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_Toc2796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（一）项目总目标</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_Toc2796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87</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_Toc11304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（二）项目年度绩效目标</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_Toc11304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87</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0" w:firstLineChars="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HYPERLINK \l _Toc10075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三、评价基本情况</w:t>
      </w:r>
      <w:r>
        <w:rPr>
          <w:rFonts w:hint="eastAsia" w:ascii="黑体" w:hAnsi="黑体" w:eastAsia="黑体" w:cs="黑体"/>
          <w:b/>
          <w:bCs/>
          <w:color w:val="auto"/>
          <w:kern w:val="2"/>
          <w:sz w:val="28"/>
          <w:szCs w:val="28"/>
          <w:highlight w:val="none"/>
          <w:lang w:val="en-US" w:eastAsia="zh-CN" w:bidi="ar-SA"/>
        </w:rPr>
        <w:tab/>
      </w: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PAGEREF _Toc10075 \h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87</w:t>
      </w:r>
      <w:r>
        <w:rPr>
          <w:rFonts w:hint="eastAsia" w:ascii="黑体" w:hAnsi="黑体" w:eastAsia="黑体" w:cs="黑体"/>
          <w:b/>
          <w:bCs/>
          <w:color w:val="auto"/>
          <w:kern w:val="2"/>
          <w:sz w:val="28"/>
          <w:szCs w:val="28"/>
          <w:highlight w:val="none"/>
          <w:lang w:val="en-US" w:eastAsia="zh-CN" w:bidi="ar-SA"/>
        </w:rPr>
        <w:fldChar w:fldCharType="end"/>
      </w:r>
      <w:r>
        <w:rPr>
          <w:rFonts w:hint="eastAsia" w:ascii="黑体" w:hAnsi="黑体" w:eastAsia="黑体" w:cs="黑体"/>
          <w:b/>
          <w:bCs/>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_Toc29951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（一）评价目的</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_Toc29951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87</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_Toc31372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（二）评价对象和范围</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_Toc31372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88</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_Toc23020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（三）评价依据</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_Toc23020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88</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_Toc31076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（四）评价原则</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_Toc31076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89</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_Toc31009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（五）评价方法</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_Toc31009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90</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_Toc23213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（六）绩效评价指标体系</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_Toc23213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91</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_Toc25141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（七）评价人员组成</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_Toc25141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92</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_Toc7109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（八）绩效评价工作过程</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_Toc7109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93</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0" w:firstLineChars="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HYPERLINK \l _Toc16527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四、评价结论及分析</w:t>
      </w:r>
      <w:r>
        <w:rPr>
          <w:rFonts w:hint="eastAsia" w:ascii="黑体" w:hAnsi="黑体" w:eastAsia="黑体" w:cs="黑体"/>
          <w:b/>
          <w:bCs/>
          <w:color w:val="auto"/>
          <w:kern w:val="2"/>
          <w:sz w:val="28"/>
          <w:szCs w:val="28"/>
          <w:highlight w:val="none"/>
          <w:lang w:val="en-US" w:eastAsia="zh-CN" w:bidi="ar-SA"/>
        </w:rPr>
        <w:tab/>
      </w: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PAGEREF _Toc16527 \h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95</w:t>
      </w:r>
      <w:r>
        <w:rPr>
          <w:rFonts w:hint="eastAsia" w:ascii="黑体" w:hAnsi="黑体" w:eastAsia="黑体" w:cs="黑体"/>
          <w:b/>
          <w:bCs/>
          <w:color w:val="auto"/>
          <w:kern w:val="2"/>
          <w:sz w:val="28"/>
          <w:szCs w:val="28"/>
          <w:highlight w:val="none"/>
          <w:lang w:val="en-US" w:eastAsia="zh-CN" w:bidi="ar-SA"/>
        </w:rPr>
        <w:fldChar w:fldCharType="end"/>
      </w:r>
      <w:r>
        <w:rPr>
          <w:rFonts w:hint="eastAsia" w:ascii="黑体" w:hAnsi="黑体" w:eastAsia="黑体" w:cs="黑体"/>
          <w:b/>
          <w:bCs/>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_Toc22518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（一）评价评分</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_Toc22518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95</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_Toc20959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（二）综合评价情况及评价结论</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_Toc20959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97</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0" w:firstLineChars="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HYPERLINK \l _Toc28534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五、绩效评价指标分析</w:t>
      </w:r>
      <w:r>
        <w:rPr>
          <w:rFonts w:hint="eastAsia" w:ascii="黑体" w:hAnsi="黑体" w:eastAsia="黑体" w:cs="黑体"/>
          <w:b/>
          <w:bCs/>
          <w:color w:val="auto"/>
          <w:kern w:val="2"/>
          <w:sz w:val="28"/>
          <w:szCs w:val="28"/>
          <w:highlight w:val="none"/>
          <w:lang w:val="en-US" w:eastAsia="zh-CN" w:bidi="ar-SA"/>
        </w:rPr>
        <w:tab/>
      </w: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PAGEREF _Toc28534 \h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98</w:t>
      </w:r>
      <w:r>
        <w:rPr>
          <w:rFonts w:hint="eastAsia" w:ascii="黑体" w:hAnsi="黑体" w:eastAsia="黑体" w:cs="黑体"/>
          <w:b/>
          <w:bCs/>
          <w:color w:val="auto"/>
          <w:kern w:val="2"/>
          <w:sz w:val="28"/>
          <w:szCs w:val="28"/>
          <w:highlight w:val="none"/>
          <w:lang w:val="en-US" w:eastAsia="zh-CN" w:bidi="ar-SA"/>
        </w:rPr>
        <w:fldChar w:fldCharType="end"/>
      </w:r>
      <w:r>
        <w:rPr>
          <w:rFonts w:hint="eastAsia" w:ascii="黑体" w:hAnsi="黑体" w:eastAsia="黑体" w:cs="黑体"/>
          <w:b/>
          <w:bCs/>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_Toc20907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（一）项目决策情况</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_Toc20907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98</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_Toc9042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（二）项目过程情况</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_Toc9042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103</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_Toc2555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（三）项目产出情况</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_Toc2555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110</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_Toc13784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（四）项目效益情况</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_Toc13784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114</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0" w:firstLineChars="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HYPERLINK \l _Toc31396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六、项目主要经验及做法</w:t>
      </w:r>
      <w:r>
        <w:rPr>
          <w:rFonts w:hint="eastAsia" w:ascii="黑体" w:hAnsi="黑体" w:eastAsia="黑体" w:cs="黑体"/>
          <w:b/>
          <w:bCs/>
          <w:color w:val="auto"/>
          <w:kern w:val="2"/>
          <w:sz w:val="28"/>
          <w:szCs w:val="28"/>
          <w:highlight w:val="none"/>
          <w:lang w:val="en-US" w:eastAsia="zh-CN" w:bidi="ar-SA"/>
        </w:rPr>
        <w:tab/>
      </w: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PAGEREF _Toc31396 \h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118</w:t>
      </w:r>
      <w:r>
        <w:rPr>
          <w:rFonts w:hint="eastAsia" w:ascii="黑体" w:hAnsi="黑体" w:eastAsia="黑体" w:cs="黑体"/>
          <w:b/>
          <w:bCs/>
          <w:color w:val="auto"/>
          <w:kern w:val="2"/>
          <w:sz w:val="28"/>
          <w:szCs w:val="28"/>
          <w:highlight w:val="none"/>
          <w:lang w:val="en-US" w:eastAsia="zh-CN" w:bidi="ar-SA"/>
        </w:rPr>
        <w:fldChar w:fldCharType="end"/>
      </w:r>
      <w:r>
        <w:rPr>
          <w:rFonts w:hint="eastAsia" w:ascii="黑体" w:hAnsi="黑体" w:eastAsia="黑体" w:cs="黑体"/>
          <w:b/>
          <w:bCs/>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0" w:firstLineChars="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HYPERLINK \l _Toc23363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七、存在的问题及原因分析</w:t>
      </w:r>
      <w:r>
        <w:rPr>
          <w:rFonts w:hint="eastAsia" w:ascii="黑体" w:hAnsi="黑体" w:eastAsia="黑体" w:cs="黑体"/>
          <w:b/>
          <w:bCs/>
          <w:color w:val="auto"/>
          <w:kern w:val="2"/>
          <w:sz w:val="28"/>
          <w:szCs w:val="28"/>
          <w:highlight w:val="none"/>
          <w:lang w:val="en-US" w:eastAsia="zh-CN" w:bidi="ar-SA"/>
        </w:rPr>
        <w:tab/>
      </w: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PAGEREF _Toc23363 \h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119</w:t>
      </w:r>
      <w:r>
        <w:rPr>
          <w:rFonts w:hint="eastAsia" w:ascii="黑体" w:hAnsi="黑体" w:eastAsia="黑体" w:cs="黑体"/>
          <w:b/>
          <w:bCs/>
          <w:color w:val="auto"/>
          <w:kern w:val="2"/>
          <w:sz w:val="28"/>
          <w:szCs w:val="28"/>
          <w:highlight w:val="none"/>
          <w:lang w:val="en-US" w:eastAsia="zh-CN" w:bidi="ar-SA"/>
        </w:rPr>
        <w:fldChar w:fldCharType="end"/>
      </w:r>
      <w:r>
        <w:rPr>
          <w:rFonts w:hint="eastAsia" w:ascii="黑体" w:hAnsi="黑体" w:eastAsia="黑体" w:cs="黑体"/>
          <w:b/>
          <w:bCs/>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0" w:firstLineChars="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HYPERLINK \l _Toc8057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八、有关建议</w:t>
      </w:r>
      <w:r>
        <w:rPr>
          <w:rFonts w:hint="eastAsia" w:ascii="黑体" w:hAnsi="黑体" w:eastAsia="黑体" w:cs="黑体"/>
          <w:b/>
          <w:bCs/>
          <w:color w:val="auto"/>
          <w:kern w:val="2"/>
          <w:sz w:val="28"/>
          <w:szCs w:val="28"/>
          <w:highlight w:val="none"/>
          <w:lang w:val="en-US" w:eastAsia="zh-CN" w:bidi="ar-SA"/>
        </w:rPr>
        <w:tab/>
      </w: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PAGEREF _Toc8057 \h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121</w:t>
      </w:r>
      <w:r>
        <w:rPr>
          <w:rFonts w:hint="eastAsia" w:ascii="黑体" w:hAnsi="黑体" w:eastAsia="黑体" w:cs="黑体"/>
          <w:b/>
          <w:bCs/>
          <w:color w:val="auto"/>
          <w:kern w:val="2"/>
          <w:sz w:val="28"/>
          <w:szCs w:val="28"/>
          <w:highlight w:val="none"/>
          <w:lang w:val="en-US" w:eastAsia="zh-CN" w:bidi="ar-SA"/>
        </w:rPr>
        <w:fldChar w:fldCharType="end"/>
      </w:r>
      <w:r>
        <w:rPr>
          <w:rFonts w:hint="eastAsia" w:ascii="黑体" w:hAnsi="黑体" w:eastAsia="黑体" w:cs="黑体"/>
          <w:b/>
          <w:bCs/>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0" w:firstLineChars="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HYPERLINK \l _Toc675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九、需要说明的问题</w:t>
      </w:r>
      <w:r>
        <w:rPr>
          <w:rFonts w:hint="eastAsia" w:ascii="黑体" w:hAnsi="黑体" w:eastAsia="黑体" w:cs="黑体"/>
          <w:b/>
          <w:bCs/>
          <w:color w:val="auto"/>
          <w:kern w:val="2"/>
          <w:sz w:val="28"/>
          <w:szCs w:val="28"/>
          <w:highlight w:val="none"/>
          <w:lang w:val="en-US" w:eastAsia="zh-CN" w:bidi="ar-SA"/>
        </w:rPr>
        <w:tab/>
      </w: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PAGEREF _Toc675 \h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122</w:t>
      </w:r>
      <w:r>
        <w:rPr>
          <w:rFonts w:hint="eastAsia" w:ascii="黑体" w:hAnsi="黑体" w:eastAsia="黑体" w:cs="黑体"/>
          <w:b/>
          <w:bCs/>
          <w:color w:val="auto"/>
          <w:kern w:val="2"/>
          <w:sz w:val="28"/>
          <w:szCs w:val="28"/>
          <w:highlight w:val="none"/>
          <w:lang w:val="en-US" w:eastAsia="zh-CN" w:bidi="ar-SA"/>
        </w:rPr>
        <w:fldChar w:fldCharType="end"/>
      </w:r>
      <w:r>
        <w:rPr>
          <w:rFonts w:hint="eastAsia" w:ascii="黑体" w:hAnsi="黑体" w:eastAsia="黑体" w:cs="黑体"/>
          <w:b/>
          <w:bCs/>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0" w:firstLineChars="0"/>
        <w:jc w:val="both"/>
        <w:textAlignment w:val="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HYPERLINK \l _Toc12201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十、其他附件</w:t>
      </w:r>
      <w:r>
        <w:rPr>
          <w:rFonts w:hint="eastAsia" w:ascii="黑体" w:hAnsi="黑体" w:eastAsia="黑体" w:cs="黑体"/>
          <w:b/>
          <w:bCs/>
          <w:color w:val="auto"/>
          <w:kern w:val="2"/>
          <w:sz w:val="28"/>
          <w:szCs w:val="28"/>
          <w:highlight w:val="none"/>
          <w:lang w:val="en-US" w:eastAsia="zh-CN" w:bidi="ar-SA"/>
        </w:rPr>
        <w:tab/>
      </w:r>
      <w:r>
        <w:rPr>
          <w:rFonts w:hint="eastAsia" w:ascii="黑体" w:hAnsi="黑体" w:eastAsia="黑体" w:cs="黑体"/>
          <w:b/>
          <w:bCs/>
          <w:color w:val="auto"/>
          <w:kern w:val="2"/>
          <w:sz w:val="28"/>
          <w:szCs w:val="28"/>
          <w:highlight w:val="none"/>
          <w:lang w:val="en-US" w:eastAsia="zh-CN" w:bidi="ar-SA"/>
        </w:rPr>
        <w:fldChar w:fldCharType="begin"/>
      </w:r>
      <w:r>
        <w:rPr>
          <w:rFonts w:hint="eastAsia" w:ascii="黑体" w:hAnsi="黑体" w:eastAsia="黑体" w:cs="黑体"/>
          <w:b/>
          <w:bCs/>
          <w:color w:val="auto"/>
          <w:kern w:val="2"/>
          <w:sz w:val="28"/>
          <w:szCs w:val="28"/>
          <w:highlight w:val="none"/>
          <w:lang w:val="en-US" w:eastAsia="zh-CN" w:bidi="ar-SA"/>
        </w:rPr>
        <w:instrText xml:space="preserve"> PAGEREF _Toc12201 \h </w:instrText>
      </w:r>
      <w:r>
        <w:rPr>
          <w:rFonts w:hint="eastAsia" w:ascii="黑体" w:hAnsi="黑体" w:eastAsia="黑体" w:cs="黑体"/>
          <w:b/>
          <w:bCs/>
          <w:color w:val="auto"/>
          <w:kern w:val="2"/>
          <w:sz w:val="28"/>
          <w:szCs w:val="28"/>
          <w:highlight w:val="none"/>
          <w:lang w:val="en-US" w:eastAsia="zh-CN" w:bidi="ar-SA"/>
        </w:rPr>
        <w:fldChar w:fldCharType="separate"/>
      </w:r>
      <w:r>
        <w:rPr>
          <w:rFonts w:hint="eastAsia" w:ascii="黑体" w:hAnsi="黑体" w:eastAsia="黑体" w:cs="黑体"/>
          <w:b/>
          <w:bCs/>
          <w:color w:val="auto"/>
          <w:kern w:val="2"/>
          <w:sz w:val="28"/>
          <w:szCs w:val="28"/>
          <w:highlight w:val="none"/>
          <w:lang w:val="en-US" w:eastAsia="zh-CN" w:bidi="ar-SA"/>
        </w:rPr>
        <w:t>122</w:t>
      </w:r>
      <w:r>
        <w:rPr>
          <w:rFonts w:hint="eastAsia" w:ascii="黑体" w:hAnsi="黑体" w:eastAsia="黑体" w:cs="黑体"/>
          <w:b/>
          <w:bCs/>
          <w:color w:val="auto"/>
          <w:kern w:val="2"/>
          <w:sz w:val="28"/>
          <w:szCs w:val="28"/>
          <w:highlight w:val="none"/>
          <w:lang w:val="en-US" w:eastAsia="zh-CN" w:bidi="ar-SA"/>
        </w:rPr>
        <w:fldChar w:fldCharType="end"/>
      </w:r>
      <w:r>
        <w:rPr>
          <w:rFonts w:hint="eastAsia" w:ascii="黑体" w:hAnsi="黑体" w:eastAsia="黑体" w:cs="黑体"/>
          <w:b/>
          <w:bCs/>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_Toc2476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附件1 绩效评价指标体系</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_Toc2476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124</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_Toc337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附件2 项目基本情况表</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_Toc337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132</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_Toc20101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附件3 资金基本情况表</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_Toc20101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133</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hint="eastAsia" w:ascii="黑体" w:hAnsi="黑体" w:eastAsia="黑体" w:cs="黑体"/>
          <w:b w:val="0"/>
          <w:bCs w:val="0"/>
          <w:color w:val="auto"/>
          <w:kern w:val="2"/>
          <w:sz w:val="28"/>
          <w:szCs w:val="28"/>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_Toc15093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附件4 问卷调查满意度分析</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_Toc15093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135</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keepNext w:val="0"/>
        <w:keepLines w:val="0"/>
        <w:pageBreakBefore w:val="0"/>
        <w:widowControl w:val="0"/>
        <w:shd w:val="clear" w:color="auto" w:fill="auto"/>
        <w:tabs>
          <w:tab w:val="right" w:leader="dot" w:pos="8306"/>
        </w:tabs>
        <w:kinsoku/>
        <w:wordWrap/>
        <w:overflowPunct/>
        <w:topLinePunct w:val="0"/>
        <w:autoSpaceDE/>
        <w:autoSpaceDN/>
        <w:bidi w:val="0"/>
        <w:adjustRightInd/>
        <w:snapToGrid/>
        <w:spacing w:line="576" w:lineRule="exact"/>
        <w:ind w:left="0" w:leftChars="0" w:firstLine="560" w:firstLineChars="200"/>
        <w:jc w:val="both"/>
        <w:textAlignment w:val="auto"/>
        <w:rPr>
          <w:rFonts w:ascii="仿宋_GB2312" w:hAnsi="仿宋_GB2312" w:eastAsia="仿宋_GB2312" w:cs="Times New Roman"/>
          <w:color w:val="auto"/>
          <w:kern w:val="2"/>
          <w:sz w:val="32"/>
          <w:szCs w:val="24"/>
          <w:highlight w:val="none"/>
          <w:lang w:val="en-US" w:eastAsia="zh-CN" w:bidi="ar-SA"/>
        </w:rPr>
      </w:pP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HYPERLINK \l _Toc26672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附件5 主评人资质证书</w:t>
      </w:r>
      <w:r>
        <w:rPr>
          <w:rFonts w:hint="eastAsia" w:ascii="黑体" w:hAnsi="黑体" w:eastAsia="黑体" w:cs="黑体"/>
          <w:b w:val="0"/>
          <w:bCs w:val="0"/>
          <w:color w:val="auto"/>
          <w:kern w:val="2"/>
          <w:sz w:val="28"/>
          <w:szCs w:val="28"/>
          <w:highlight w:val="none"/>
          <w:lang w:val="en-US" w:eastAsia="zh-CN" w:bidi="ar-SA"/>
        </w:rPr>
        <w:tab/>
      </w:r>
      <w:r>
        <w:rPr>
          <w:rFonts w:hint="eastAsia" w:ascii="黑体" w:hAnsi="黑体" w:eastAsia="黑体" w:cs="黑体"/>
          <w:b w:val="0"/>
          <w:bCs w:val="0"/>
          <w:color w:val="auto"/>
          <w:kern w:val="2"/>
          <w:sz w:val="28"/>
          <w:szCs w:val="28"/>
          <w:highlight w:val="none"/>
          <w:lang w:val="en-US" w:eastAsia="zh-CN" w:bidi="ar-SA"/>
        </w:rPr>
        <w:fldChar w:fldCharType="begin"/>
      </w:r>
      <w:r>
        <w:rPr>
          <w:rFonts w:hint="eastAsia" w:ascii="黑体" w:hAnsi="黑体" w:eastAsia="黑体" w:cs="黑体"/>
          <w:b w:val="0"/>
          <w:bCs w:val="0"/>
          <w:color w:val="auto"/>
          <w:kern w:val="2"/>
          <w:sz w:val="28"/>
          <w:szCs w:val="28"/>
          <w:highlight w:val="none"/>
          <w:lang w:val="en-US" w:eastAsia="zh-CN" w:bidi="ar-SA"/>
        </w:rPr>
        <w:instrText xml:space="preserve"> PAGEREF _Toc26672 \h </w:instrText>
      </w:r>
      <w:r>
        <w:rPr>
          <w:rFonts w:hint="eastAsia" w:ascii="黑体" w:hAnsi="黑体" w:eastAsia="黑体" w:cs="黑体"/>
          <w:b w:val="0"/>
          <w:bCs w:val="0"/>
          <w:color w:val="auto"/>
          <w:kern w:val="2"/>
          <w:sz w:val="28"/>
          <w:szCs w:val="28"/>
          <w:highlight w:val="none"/>
          <w:lang w:val="en-US" w:eastAsia="zh-CN" w:bidi="ar-SA"/>
        </w:rPr>
        <w:fldChar w:fldCharType="separate"/>
      </w:r>
      <w:r>
        <w:rPr>
          <w:rFonts w:hint="eastAsia" w:ascii="黑体" w:hAnsi="黑体" w:eastAsia="黑体" w:cs="黑体"/>
          <w:b w:val="0"/>
          <w:bCs w:val="0"/>
          <w:color w:val="auto"/>
          <w:kern w:val="2"/>
          <w:sz w:val="28"/>
          <w:szCs w:val="28"/>
          <w:highlight w:val="none"/>
          <w:lang w:val="en-US" w:eastAsia="zh-CN" w:bidi="ar-SA"/>
        </w:rPr>
        <w:t>149</w:t>
      </w:r>
      <w:r>
        <w:rPr>
          <w:rFonts w:hint="eastAsia" w:ascii="黑体" w:hAnsi="黑体" w:eastAsia="黑体" w:cs="黑体"/>
          <w:b w:val="0"/>
          <w:bCs w:val="0"/>
          <w:color w:val="auto"/>
          <w:kern w:val="2"/>
          <w:sz w:val="28"/>
          <w:szCs w:val="28"/>
          <w:highlight w:val="none"/>
          <w:lang w:val="en-US" w:eastAsia="zh-CN" w:bidi="ar-SA"/>
        </w:rPr>
        <w:fldChar w:fldCharType="end"/>
      </w:r>
      <w:r>
        <w:rPr>
          <w:rFonts w:hint="eastAsia" w:ascii="黑体" w:hAnsi="黑体" w:eastAsia="黑体" w:cs="黑体"/>
          <w:b w:val="0"/>
          <w:bCs w:val="0"/>
          <w:color w:val="auto"/>
          <w:kern w:val="2"/>
          <w:sz w:val="28"/>
          <w:szCs w:val="28"/>
          <w:highlight w:val="none"/>
          <w:lang w:val="en-US" w:eastAsia="zh-CN" w:bidi="ar-SA"/>
        </w:rPr>
        <w:fldChar w:fldCharType="end"/>
      </w:r>
    </w:p>
    <w:p>
      <w:pPr>
        <w:pageBreakBefore w:val="0"/>
        <w:widowControl w:val="0"/>
        <w:shd w:val="clear" w:color="auto" w:fill="auto"/>
        <w:tabs>
          <w:tab w:val="right" w:leader="dot" w:pos="8306"/>
        </w:tabs>
        <w:overflowPunct/>
        <w:topLinePunct w:val="0"/>
        <w:bidi w:val="0"/>
        <w:spacing w:line="576" w:lineRule="exact"/>
        <w:ind w:left="0" w:leftChars="0" w:firstLine="640" w:firstLineChars="200"/>
        <w:jc w:val="both"/>
        <w:rPr>
          <w:rFonts w:ascii="仿宋_GB2312" w:hAnsi="仿宋_GB2312" w:eastAsia="仿宋_GB2312" w:cs="Times New Roman"/>
          <w:b w:val="0"/>
          <w:bCs w:val="0"/>
          <w:color w:val="auto"/>
          <w:kern w:val="2"/>
          <w:sz w:val="32"/>
          <w:szCs w:val="24"/>
          <w:highlight w:val="none"/>
          <w:lang w:val="en-US" w:eastAsia="zh-CN" w:bidi="ar-SA"/>
        </w:rPr>
      </w:pPr>
      <w:r>
        <w:rPr>
          <w:rFonts w:hint="eastAsia" w:ascii="仿宋_GB2312" w:hAnsi="仿宋_GB2312" w:eastAsia="仿宋_GB2312" w:cs="Times New Roman"/>
          <w:bCs w:val="0"/>
          <w:color w:val="auto"/>
          <w:kern w:val="2"/>
          <w:sz w:val="32"/>
          <w:szCs w:val="24"/>
          <w:highlight w:val="none"/>
          <w:lang w:val="en-US" w:eastAsia="zh-CN" w:bidi="ar-SA"/>
        </w:rPr>
        <w:fldChar w:fldCharType="end"/>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方正小标宋简体" w:hAnsi="华文中宋" w:eastAsia="方正小标宋简体" w:cs="华文中宋"/>
          <w:b w:val="0"/>
          <w:bCs w:val="0"/>
          <w:color w:val="auto"/>
          <w:sz w:val="36"/>
          <w:szCs w:val="36"/>
          <w:highlight w:val="none"/>
          <w:lang w:eastAsia="zh-CN"/>
        </w:rPr>
        <w:sectPr>
          <w:footerReference r:id="rId27" w:type="default"/>
          <w:pgSz w:w="11906" w:h="16838"/>
          <w:pgMar w:top="2098" w:right="1474" w:bottom="1984" w:left="1587" w:header="851" w:footer="722" w:gutter="0"/>
          <w:pgBorders>
            <w:top w:val="none" w:sz="0" w:space="0"/>
            <w:left w:val="none" w:sz="0" w:space="0"/>
            <w:bottom w:val="none" w:sz="0" w:space="0"/>
            <w:right w:val="none" w:sz="0" w:space="0"/>
          </w:pgBorders>
          <w:pgNumType w:fmt="numberInDash"/>
          <w:cols w:space="720" w:num="1"/>
          <w:docGrid w:type="lines" w:linePitch="435" w:charSpace="0"/>
        </w:sectPr>
      </w:pP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方正小标宋简体" w:hAnsi="华文中宋" w:eastAsia="方正小标宋简体" w:cs="华文中宋"/>
          <w:b/>
          <w:color w:val="auto"/>
          <w:sz w:val="44"/>
          <w:szCs w:val="44"/>
          <w:highlight w:val="none"/>
          <w:lang w:eastAsia="zh-CN"/>
        </w:rPr>
      </w:pPr>
      <w:r>
        <w:rPr>
          <w:rFonts w:hint="eastAsia" w:ascii="方正小标宋简体" w:hAnsi="华文中宋" w:eastAsia="方正小标宋简体" w:cs="华文中宋"/>
          <w:b/>
          <w:color w:val="auto"/>
          <w:sz w:val="44"/>
          <w:szCs w:val="44"/>
          <w:highlight w:val="none"/>
          <w:lang w:eastAsia="zh-CN"/>
        </w:rPr>
        <w:t>西宁市城中区福禄巷南社区老年日间照料中心</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方正小标宋简体" w:hAnsi="华文中宋" w:eastAsia="方正小标宋简体" w:cs="华文中宋"/>
          <w:b/>
          <w:color w:val="auto"/>
          <w:sz w:val="44"/>
          <w:szCs w:val="44"/>
          <w:highlight w:val="none"/>
        </w:rPr>
      </w:pPr>
      <w:r>
        <w:rPr>
          <w:rFonts w:hint="eastAsia" w:ascii="方正小标宋简体" w:hAnsi="华文中宋" w:eastAsia="方正小标宋简体" w:cs="华文中宋"/>
          <w:b/>
          <w:color w:val="auto"/>
          <w:sz w:val="44"/>
          <w:szCs w:val="44"/>
          <w:highlight w:val="none"/>
          <w:lang w:eastAsia="zh-CN"/>
        </w:rPr>
        <w:t>装修及设备购置项目</w:t>
      </w:r>
      <w:r>
        <w:rPr>
          <w:rFonts w:hint="eastAsia" w:ascii="方正小标宋简体" w:hAnsi="华文中宋" w:eastAsia="方正小标宋简体" w:cs="华文中宋"/>
          <w:b/>
          <w:color w:val="auto"/>
          <w:sz w:val="44"/>
          <w:szCs w:val="44"/>
          <w:highlight w:val="none"/>
        </w:rPr>
        <w:t>绩效评价报告</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Ansi="华文中宋" w:cs="华文中宋"/>
          <w:color w:val="auto"/>
          <w:szCs w:val="32"/>
          <w:highlight w:val="none"/>
        </w:rPr>
      </w:pP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firstLine="643" w:firstLineChars="200"/>
        <w:jc w:val="both"/>
        <w:textAlignment w:val="auto"/>
        <w:outlineLvl w:val="1"/>
        <w:rPr>
          <w:rFonts w:hint="eastAsia" w:ascii="黑体" w:hAnsi="黑体" w:eastAsia="黑体" w:cs="黑体"/>
          <w:b/>
          <w:bCs/>
          <w:color w:val="auto"/>
          <w:kern w:val="44"/>
          <w:sz w:val="32"/>
          <w:szCs w:val="32"/>
          <w:highlight w:val="none"/>
          <w:lang w:val="en-US" w:eastAsia="zh-CN" w:bidi="ar-SA"/>
        </w:rPr>
      </w:pPr>
      <w:bookmarkStart w:id="440" w:name="_Toc15743"/>
      <w:bookmarkStart w:id="441" w:name="_Toc22625"/>
      <w:bookmarkStart w:id="442" w:name="_Toc20117"/>
      <w:bookmarkStart w:id="443" w:name="_Toc31235"/>
      <w:r>
        <w:rPr>
          <w:rFonts w:hint="eastAsia" w:ascii="黑体" w:hAnsi="黑体" w:eastAsia="黑体" w:cs="黑体"/>
          <w:b/>
          <w:bCs/>
          <w:color w:val="auto"/>
          <w:kern w:val="44"/>
          <w:sz w:val="32"/>
          <w:szCs w:val="32"/>
          <w:highlight w:val="none"/>
          <w:lang w:val="en-US" w:eastAsia="zh-CN" w:bidi="ar-SA"/>
        </w:rPr>
        <w:fldChar w:fldCharType="begin"/>
      </w:r>
      <w:r>
        <w:rPr>
          <w:rFonts w:hint="eastAsia" w:ascii="黑体" w:hAnsi="黑体" w:eastAsia="黑体" w:cs="黑体"/>
          <w:b/>
          <w:bCs/>
          <w:color w:val="auto"/>
          <w:kern w:val="44"/>
          <w:sz w:val="32"/>
          <w:szCs w:val="32"/>
          <w:highlight w:val="none"/>
          <w:lang w:val="en-US" w:eastAsia="zh-CN" w:bidi="ar-SA"/>
        </w:rPr>
        <w:instrText xml:space="preserve"> HYPERLINK \l "_Toc32527" </w:instrText>
      </w:r>
      <w:r>
        <w:rPr>
          <w:rFonts w:hint="eastAsia" w:ascii="黑体" w:hAnsi="黑体" w:eastAsia="黑体" w:cs="黑体"/>
          <w:b/>
          <w:bCs/>
          <w:color w:val="auto"/>
          <w:kern w:val="44"/>
          <w:sz w:val="32"/>
          <w:szCs w:val="32"/>
          <w:highlight w:val="none"/>
          <w:lang w:val="en-US" w:eastAsia="zh-CN" w:bidi="ar-SA"/>
        </w:rPr>
        <w:fldChar w:fldCharType="separate"/>
      </w:r>
      <w:r>
        <w:rPr>
          <w:rFonts w:hint="eastAsia" w:ascii="黑体" w:hAnsi="黑体" w:eastAsia="黑体" w:cs="黑体"/>
          <w:b/>
          <w:bCs/>
          <w:color w:val="auto"/>
          <w:kern w:val="44"/>
          <w:sz w:val="32"/>
          <w:szCs w:val="32"/>
          <w:highlight w:val="none"/>
          <w:lang w:val="en-US" w:eastAsia="zh-CN" w:bidi="ar-SA"/>
        </w:rPr>
        <w:t>一、项目基本情况</w:t>
      </w:r>
      <w:r>
        <w:rPr>
          <w:rFonts w:hint="eastAsia" w:ascii="黑体" w:hAnsi="黑体" w:eastAsia="黑体" w:cs="黑体"/>
          <w:b/>
          <w:bCs/>
          <w:color w:val="auto"/>
          <w:kern w:val="44"/>
          <w:sz w:val="32"/>
          <w:szCs w:val="32"/>
          <w:highlight w:val="none"/>
          <w:lang w:val="en-US" w:eastAsia="zh-CN" w:bidi="ar-SA"/>
        </w:rPr>
        <w:fldChar w:fldCharType="end"/>
      </w:r>
      <w:bookmarkEnd w:id="440"/>
      <w:bookmarkEnd w:id="441"/>
      <w:bookmarkEnd w:id="442"/>
      <w:bookmarkEnd w:id="443"/>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firstLine="643" w:firstLineChars="200"/>
        <w:jc w:val="both"/>
        <w:textAlignment w:val="auto"/>
        <w:outlineLvl w:val="1"/>
        <w:rPr>
          <w:rFonts w:hint="eastAsia" w:ascii="仿宋_GB2312" w:hAnsi="仿宋_GB2312" w:eastAsia="楷体" w:cs="Times New Roman"/>
          <w:b/>
          <w:color w:val="auto"/>
          <w:kern w:val="2"/>
          <w:sz w:val="32"/>
          <w:szCs w:val="24"/>
          <w:highlight w:val="none"/>
          <w:lang w:val="en-US" w:eastAsia="zh-CN" w:bidi="ar-SA"/>
        </w:rPr>
      </w:pPr>
      <w:bookmarkStart w:id="444" w:name="_Toc12376"/>
      <w:bookmarkStart w:id="445" w:name="_Toc25857"/>
      <w:bookmarkStart w:id="446" w:name="_Toc11547"/>
      <w:bookmarkStart w:id="447" w:name="_Toc18151"/>
      <w:r>
        <w:rPr>
          <w:rFonts w:hint="eastAsia" w:ascii="楷体_GB2312" w:hAnsi="楷体_GB2312" w:eastAsia="楷体_GB2312" w:cs="楷体_GB2312"/>
          <w:b/>
          <w:color w:val="auto"/>
          <w:kern w:val="2"/>
          <w:sz w:val="32"/>
          <w:szCs w:val="24"/>
          <w:highlight w:val="none"/>
          <w:lang w:val="en-US" w:eastAsia="zh-CN" w:bidi="ar-SA"/>
        </w:rPr>
        <w:fldChar w:fldCharType="begin"/>
      </w:r>
      <w:r>
        <w:rPr>
          <w:rFonts w:hint="eastAsia" w:ascii="楷体_GB2312" w:hAnsi="楷体_GB2312" w:eastAsia="楷体_GB2312" w:cs="楷体_GB2312"/>
          <w:b/>
          <w:color w:val="auto"/>
          <w:kern w:val="2"/>
          <w:sz w:val="32"/>
          <w:szCs w:val="24"/>
          <w:highlight w:val="none"/>
          <w:lang w:val="en-US" w:eastAsia="zh-CN" w:bidi="ar-SA"/>
        </w:rPr>
        <w:instrText xml:space="preserve"> HYPERLINK \l _Toc7405 </w:instrText>
      </w:r>
      <w:r>
        <w:rPr>
          <w:rFonts w:hint="eastAsia" w:ascii="楷体_GB2312" w:hAnsi="楷体_GB2312" w:eastAsia="楷体_GB2312" w:cs="楷体_GB2312"/>
          <w:b/>
          <w:color w:val="auto"/>
          <w:kern w:val="2"/>
          <w:sz w:val="32"/>
          <w:szCs w:val="24"/>
          <w:highlight w:val="none"/>
          <w:lang w:val="en-US" w:eastAsia="zh-CN" w:bidi="ar-SA"/>
        </w:rPr>
        <w:fldChar w:fldCharType="separate"/>
      </w:r>
      <w:r>
        <w:rPr>
          <w:rFonts w:hint="eastAsia" w:ascii="楷体_GB2312" w:hAnsi="楷体_GB2312" w:eastAsia="楷体_GB2312" w:cs="楷体_GB2312"/>
          <w:b/>
          <w:color w:val="auto"/>
          <w:kern w:val="2"/>
          <w:sz w:val="32"/>
          <w:szCs w:val="24"/>
          <w:highlight w:val="none"/>
          <w:lang w:val="en-US" w:eastAsia="zh-CN" w:bidi="ar-SA"/>
        </w:rPr>
        <w:t>（一）项目立</w:t>
      </w:r>
      <w:r>
        <w:rPr>
          <w:rFonts w:hint="eastAsia" w:ascii="楷体_GB2312" w:hAnsi="楷体_GB2312" w:eastAsia="楷体_GB2312" w:cs="楷体_GB2312"/>
          <w:b/>
          <w:color w:val="auto"/>
          <w:kern w:val="2"/>
          <w:sz w:val="32"/>
          <w:szCs w:val="24"/>
          <w:highlight w:val="none"/>
          <w:lang w:val="en-US" w:eastAsia="zh-CN" w:bidi="ar-SA"/>
        </w:rPr>
        <w:fldChar w:fldCharType="end"/>
      </w:r>
      <w:r>
        <w:rPr>
          <w:rFonts w:hint="eastAsia" w:ascii="楷体_GB2312" w:hAnsi="楷体_GB2312" w:eastAsia="楷体_GB2312" w:cs="楷体_GB2312"/>
          <w:b/>
          <w:color w:val="auto"/>
          <w:kern w:val="2"/>
          <w:sz w:val="32"/>
          <w:szCs w:val="24"/>
          <w:highlight w:val="none"/>
          <w:lang w:val="en-US" w:eastAsia="zh-CN" w:bidi="ar-SA"/>
        </w:rPr>
        <w:t>项背景</w:t>
      </w:r>
      <w:bookmarkEnd w:id="444"/>
      <w:bookmarkEnd w:id="445"/>
      <w:bookmarkEnd w:id="446"/>
      <w:bookmarkEnd w:id="447"/>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default" w:cs="仿宋_GB2312"/>
          <w:b w:val="0"/>
          <w:color w:val="auto"/>
          <w:kern w:val="2"/>
          <w:sz w:val="32"/>
          <w:szCs w:val="32"/>
          <w:highlight w:val="none"/>
          <w:lang w:val="en-US" w:eastAsia="zh-CN" w:bidi="ar-SA"/>
        </w:rPr>
      </w:pPr>
      <w:r>
        <w:rPr>
          <w:rFonts w:hint="eastAsia" w:cs="仿宋_GB2312"/>
          <w:b w:val="0"/>
          <w:color w:val="auto"/>
          <w:kern w:val="2"/>
          <w:sz w:val="32"/>
          <w:szCs w:val="32"/>
          <w:highlight w:val="none"/>
          <w:lang w:val="en-US" w:eastAsia="zh-CN" w:bidi="ar-SA"/>
        </w:rPr>
        <w:t>进入</w:t>
      </w:r>
      <w:r>
        <w:rPr>
          <w:rFonts w:hint="eastAsia" w:ascii="Times New Roman" w:hAnsi="Times New Roman" w:eastAsia="仿宋_GB2312" w:cs="Times New Roman"/>
          <w:b w:val="0"/>
          <w:bCs w:val="0"/>
          <w:color w:val="auto"/>
          <w:kern w:val="2"/>
          <w:sz w:val="32"/>
          <w:szCs w:val="32"/>
          <w:highlight w:val="none"/>
          <w:lang w:val="en-US" w:eastAsia="zh-CN" w:bidi="ar-SA"/>
        </w:rPr>
        <w:t>21</w:t>
      </w:r>
      <w:r>
        <w:rPr>
          <w:rFonts w:hint="eastAsia" w:cs="仿宋_GB2312"/>
          <w:b w:val="0"/>
          <w:color w:val="auto"/>
          <w:kern w:val="2"/>
          <w:sz w:val="32"/>
          <w:szCs w:val="32"/>
          <w:highlight w:val="none"/>
          <w:lang w:val="en-US" w:eastAsia="zh-CN" w:bidi="ar-SA"/>
        </w:rPr>
        <w:t>世纪，随着市场经济体制不断完善，社会福利事业也得到了长足发展。全国推进了社会福利社会化政策，原有的养老服务模式在不断变革中求生存，同时，各种新的养老服务形式如雨后春笋破土而出。</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b w:val="0"/>
          <w:color w:val="auto"/>
          <w:kern w:val="2"/>
          <w:sz w:val="32"/>
          <w:szCs w:val="32"/>
          <w:highlight w:val="none"/>
          <w:lang w:val="en-US" w:eastAsia="zh-CN" w:bidi="ar-SA"/>
        </w:rPr>
      </w:pPr>
      <w:r>
        <w:rPr>
          <w:rFonts w:hint="eastAsia" w:cs="仿宋_GB2312"/>
          <w:b w:val="0"/>
          <w:color w:val="auto"/>
          <w:kern w:val="2"/>
          <w:sz w:val="32"/>
          <w:szCs w:val="32"/>
          <w:highlight w:val="none"/>
          <w:lang w:val="en-US" w:eastAsia="zh-CN" w:bidi="ar-SA"/>
        </w:rPr>
        <w:t>党和政府高度重视发展社区养老服务，《中共中央 国务院关于加强老龄工作的决定》中明确指出“建立以家庭养老为基础、社区服务为依托、社会养老为补充的养老机制”。全国老龄委办公室、发展改革委、民政部等十部委联合发布的《关于加快发展养老服务业的意见》和《关于全面推进居家养老服务工作的意见》分别指出“要逐步建立和完善以居家养老为基础、社区服务为依托、机构养老为补充的服务体系”,“要在城市社区基本建立起多种形式、广泛覆盖的居家养老服务网络”。“养老服务业”作为一个专门用语被明确提出来,并把它表述为老年人提供生活照顾和护理服务，满足老年人基本生活需求的服务行业。</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b w:val="0"/>
          <w:color w:val="auto"/>
          <w:kern w:val="2"/>
          <w:sz w:val="32"/>
          <w:szCs w:val="32"/>
          <w:highlight w:val="none"/>
          <w:lang w:val="en-US" w:eastAsia="zh-CN" w:bidi="ar-SA"/>
        </w:rPr>
      </w:pPr>
      <w:r>
        <w:rPr>
          <w:rFonts w:hint="eastAsia" w:cs="仿宋_GB2312"/>
          <w:b w:val="0"/>
          <w:color w:val="auto"/>
          <w:kern w:val="2"/>
          <w:sz w:val="32"/>
          <w:szCs w:val="32"/>
          <w:highlight w:val="none"/>
          <w:lang w:val="en-US" w:eastAsia="zh-CN" w:bidi="ar-SA"/>
        </w:rPr>
        <w:t>现阶段我国养老服务主要分为居家养老和机构养老两大类，居家养老在打破传统的仅由子女、亲戚照顾老人或老人自理的固有模式,引入了社区福利服务的新形式。以家庭为依托，以社区化、社会化服务为补充，既满足了老人居家养老的传统观念的需求，又实现了由社区提供帮助以及各种服务，是一种较为适合我国国情的居家养老模式的新发展。</w:t>
      </w:r>
      <w:bookmarkStart w:id="448" w:name="_Toc21230"/>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b w:val="0"/>
          <w:color w:val="auto"/>
          <w:kern w:val="2"/>
          <w:sz w:val="32"/>
          <w:szCs w:val="32"/>
          <w:highlight w:val="none"/>
          <w:lang w:val="en-US" w:eastAsia="zh-CN" w:bidi="ar-SA"/>
        </w:rPr>
      </w:pPr>
      <w:r>
        <w:rPr>
          <w:rFonts w:hint="eastAsia" w:cs="仿宋_GB2312"/>
          <w:b w:val="0"/>
          <w:color w:val="auto"/>
          <w:kern w:val="2"/>
          <w:sz w:val="32"/>
          <w:szCs w:val="32"/>
          <w:highlight w:val="none"/>
          <w:lang w:val="en-US" w:eastAsia="zh-CN" w:bidi="ar-SA"/>
        </w:rPr>
        <w:t>为进一步加快社区养老服务基础设施建设，改善社区养老服务场所，增强社区为民服务能力，推进社区综合治理，城中区民政局针对本区福禄巷南社区老年日间照料中心改造实际情况，于</w:t>
      </w:r>
      <w:r>
        <w:rPr>
          <w:rFonts w:hint="eastAsia" w:ascii="Times New Roman" w:hAnsi="Times New Roman" w:eastAsia="仿宋_GB2312" w:cs="Times New Roman"/>
          <w:b w:val="0"/>
          <w:bCs w:val="0"/>
          <w:color w:val="auto"/>
          <w:kern w:val="2"/>
          <w:sz w:val="32"/>
          <w:szCs w:val="32"/>
          <w:highlight w:val="none"/>
          <w:lang w:val="en-US" w:eastAsia="zh-CN" w:bidi="ar-SA"/>
        </w:rPr>
        <w:t>2020—2021</w:t>
      </w:r>
      <w:r>
        <w:rPr>
          <w:rFonts w:hint="eastAsia" w:cs="仿宋_GB2312"/>
          <w:b w:val="0"/>
          <w:color w:val="auto"/>
          <w:kern w:val="2"/>
          <w:sz w:val="32"/>
          <w:szCs w:val="32"/>
          <w:highlight w:val="none"/>
          <w:lang w:val="en-US" w:eastAsia="zh-CN" w:bidi="ar-SA"/>
        </w:rPr>
        <w:t>年组织实施了福禄巷南社区老年日间照料中心装修及设备购置项目。</w:t>
      </w:r>
    </w:p>
    <w:p>
      <w:pPr>
        <w:keepNext/>
        <w:keepLines/>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仿宋_GB2312" w:hAnsi="仿宋_GB2312" w:eastAsia="楷体" w:cs="Times New Roman"/>
          <w:b/>
          <w:color w:val="auto"/>
          <w:kern w:val="2"/>
          <w:sz w:val="32"/>
          <w:szCs w:val="24"/>
          <w:highlight w:val="none"/>
          <w:lang w:val="en-US" w:eastAsia="zh-CN" w:bidi="ar-SA"/>
        </w:rPr>
      </w:pPr>
      <w:bookmarkStart w:id="449" w:name="_Toc5168"/>
      <w:bookmarkStart w:id="450" w:name="_Toc27003"/>
      <w:bookmarkStart w:id="451" w:name="_Toc15362"/>
      <w:r>
        <w:rPr>
          <w:rFonts w:hint="eastAsia" w:ascii="楷体_GB2312" w:hAnsi="楷体_GB2312" w:eastAsia="楷体_GB2312" w:cs="楷体_GB2312"/>
          <w:b/>
          <w:color w:val="auto"/>
          <w:kern w:val="2"/>
          <w:sz w:val="32"/>
          <w:szCs w:val="24"/>
          <w:highlight w:val="none"/>
          <w:lang w:val="en-US" w:eastAsia="zh-CN" w:bidi="ar-SA"/>
        </w:rPr>
        <w:fldChar w:fldCharType="begin"/>
      </w:r>
      <w:r>
        <w:rPr>
          <w:rFonts w:hint="eastAsia" w:ascii="楷体_GB2312" w:hAnsi="楷体_GB2312" w:eastAsia="楷体_GB2312" w:cs="楷体_GB2312"/>
          <w:b/>
          <w:color w:val="auto"/>
          <w:kern w:val="2"/>
          <w:sz w:val="32"/>
          <w:szCs w:val="24"/>
          <w:highlight w:val="none"/>
          <w:lang w:val="en-US" w:eastAsia="zh-CN" w:bidi="ar-SA"/>
        </w:rPr>
        <w:instrText xml:space="preserve"> HYPERLINK \l _Toc7405 </w:instrText>
      </w:r>
      <w:r>
        <w:rPr>
          <w:rFonts w:hint="eastAsia" w:ascii="楷体_GB2312" w:hAnsi="楷体_GB2312" w:eastAsia="楷体_GB2312" w:cs="楷体_GB2312"/>
          <w:b/>
          <w:color w:val="auto"/>
          <w:kern w:val="2"/>
          <w:sz w:val="32"/>
          <w:szCs w:val="24"/>
          <w:highlight w:val="none"/>
          <w:lang w:val="en-US" w:eastAsia="zh-CN" w:bidi="ar-SA"/>
        </w:rPr>
        <w:fldChar w:fldCharType="separate"/>
      </w:r>
      <w:r>
        <w:rPr>
          <w:rFonts w:hint="eastAsia" w:ascii="楷体_GB2312" w:hAnsi="楷体_GB2312" w:eastAsia="楷体_GB2312" w:cs="楷体_GB2312"/>
          <w:b/>
          <w:color w:val="auto"/>
          <w:kern w:val="2"/>
          <w:sz w:val="32"/>
          <w:szCs w:val="24"/>
          <w:highlight w:val="none"/>
          <w:lang w:val="en-US" w:eastAsia="zh-CN" w:bidi="ar-SA"/>
        </w:rPr>
        <w:t>（二）项目预</w:t>
      </w:r>
      <w:r>
        <w:rPr>
          <w:rFonts w:hint="eastAsia" w:ascii="楷体_GB2312" w:hAnsi="楷体_GB2312" w:eastAsia="楷体_GB2312" w:cs="楷体_GB2312"/>
          <w:b/>
          <w:color w:val="auto"/>
          <w:kern w:val="2"/>
          <w:sz w:val="32"/>
          <w:szCs w:val="24"/>
          <w:highlight w:val="none"/>
          <w:lang w:val="en-US" w:eastAsia="zh-CN" w:bidi="ar-SA"/>
        </w:rPr>
        <w:fldChar w:fldCharType="end"/>
      </w:r>
      <w:r>
        <w:rPr>
          <w:rFonts w:hint="eastAsia" w:ascii="楷体_GB2312" w:hAnsi="楷体_GB2312" w:eastAsia="楷体_GB2312" w:cs="楷体_GB2312"/>
          <w:b/>
          <w:color w:val="auto"/>
          <w:kern w:val="2"/>
          <w:sz w:val="32"/>
          <w:szCs w:val="24"/>
          <w:highlight w:val="none"/>
          <w:lang w:val="en-US" w:eastAsia="zh-CN" w:bidi="ar-SA"/>
        </w:rPr>
        <w:t>算安排及使用情况</w:t>
      </w:r>
      <w:bookmarkEnd w:id="448"/>
      <w:bookmarkEnd w:id="449"/>
      <w:bookmarkEnd w:id="450"/>
      <w:bookmarkEnd w:id="451"/>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1.项目预算安排情况</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cs="仿宋_GB2312"/>
          <w:b w:val="0"/>
          <w:color w:val="auto"/>
          <w:kern w:val="2"/>
          <w:sz w:val="32"/>
          <w:szCs w:val="32"/>
          <w:highlight w:val="none"/>
          <w:lang w:val="en-US" w:eastAsia="zh-CN" w:bidi="ar-SA"/>
        </w:rPr>
        <w:t>根据西宁市城中区发展改革和工业信息化局《关于城中区福禄巷南社区老年日间照料中心装修及设备购置项目实施方案的报告批复》（城中发工信字</w:t>
      </w:r>
      <w:r>
        <w:rPr>
          <w:rFonts w:hint="eastAsia" w:ascii="Times New Roman" w:hAnsi="Times New Roman" w:eastAsia="仿宋_GB2312" w:cs="Times New Roman"/>
          <w:b w:val="0"/>
          <w:bCs w:val="0"/>
          <w:color w:val="auto"/>
          <w:kern w:val="2"/>
          <w:sz w:val="32"/>
          <w:szCs w:val="32"/>
          <w:highlight w:val="none"/>
          <w:lang w:val="en-US" w:eastAsia="zh-CN" w:bidi="ar-SA"/>
        </w:rPr>
        <w:t>〔2020〕127号）文件，城中区福禄巷南社区老年日间照料中心装修及设备购置项目总投资400万元，其中申请中央及省本级彩票公益金210万元，区级配套资金190万元。</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2.预算资金到位情况</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b w:val="0"/>
          <w:bCs w:val="0"/>
          <w:color w:val="auto"/>
          <w:kern w:val="2"/>
          <w:sz w:val="32"/>
          <w:szCs w:val="32"/>
          <w:highlight w:val="none"/>
          <w:lang w:val="en-US" w:eastAsia="zh-CN" w:bidi="ar-SA"/>
        </w:rPr>
      </w:pPr>
      <w:r>
        <w:rPr>
          <w:rFonts w:hint="eastAsia" w:cs="仿宋_GB2312"/>
          <w:b w:val="0"/>
          <w:bCs w:val="0"/>
          <w:color w:val="auto"/>
          <w:kern w:val="2"/>
          <w:sz w:val="32"/>
          <w:szCs w:val="32"/>
          <w:highlight w:val="none"/>
          <w:lang w:val="en-US" w:eastAsia="zh-CN" w:bidi="ar-SA"/>
        </w:rPr>
        <w:t>（1）省级彩票公益金到位情况</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cs="仿宋_GB2312"/>
          <w:b w:val="0"/>
          <w:color w:val="auto"/>
          <w:kern w:val="2"/>
          <w:sz w:val="32"/>
          <w:szCs w:val="32"/>
          <w:highlight w:val="none"/>
          <w:lang w:val="en-US" w:eastAsia="zh-CN" w:bidi="ar-SA"/>
        </w:rPr>
        <w:t>根据查阅省级彩票公益金资金下达文件，</w:t>
      </w:r>
      <w:r>
        <w:rPr>
          <w:rFonts w:hint="eastAsia" w:ascii="Times New Roman" w:hAnsi="Times New Roman" w:eastAsia="仿宋_GB2312" w:cs="Times New Roman"/>
          <w:b w:val="0"/>
          <w:bCs w:val="0"/>
          <w:color w:val="auto"/>
          <w:kern w:val="2"/>
          <w:sz w:val="32"/>
          <w:szCs w:val="32"/>
          <w:highlight w:val="none"/>
          <w:lang w:val="en-US" w:eastAsia="zh-CN" w:bidi="ar-SA"/>
        </w:rPr>
        <w:t>本项目2017年下达省级彩票公益金147万元，2018年下达省级彩票公益金63万元，合计210万元。但因当时房屋建设未完成，无法开展室内装修及设备采购工作，彩票公益金全部存量上缴财政，其中2018年年底上缴147万元，2019年年初上缴63万元。</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b w:val="0"/>
          <w:color w:val="auto"/>
          <w:kern w:val="2"/>
          <w:sz w:val="32"/>
          <w:szCs w:val="32"/>
          <w:highlight w:val="none"/>
          <w:lang w:val="en-US" w:eastAsia="zh-CN" w:bidi="ar-SA"/>
        </w:rPr>
      </w:pPr>
      <w:r>
        <w:rPr>
          <w:rFonts w:hint="eastAsia" w:cs="仿宋_GB2312"/>
          <w:b w:val="0"/>
          <w:color w:val="auto"/>
          <w:kern w:val="2"/>
          <w:sz w:val="32"/>
          <w:szCs w:val="32"/>
          <w:highlight w:val="none"/>
          <w:lang w:val="en-US" w:eastAsia="zh-CN" w:bidi="ar-SA"/>
        </w:rPr>
        <w:t>（2）区级配套资金到位情况</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cs="仿宋_GB2312"/>
          <w:b w:val="0"/>
          <w:color w:val="auto"/>
          <w:kern w:val="2"/>
          <w:sz w:val="32"/>
          <w:szCs w:val="32"/>
          <w:highlight w:val="none"/>
          <w:lang w:val="en-US" w:eastAsia="zh-CN" w:bidi="ar-SA"/>
        </w:rPr>
        <w:t>根据《城中区财政局关于批复</w:t>
      </w:r>
      <w:r>
        <w:rPr>
          <w:rFonts w:hint="eastAsia" w:ascii="Times New Roman" w:hAnsi="Times New Roman" w:eastAsia="仿宋_GB2312" w:cs="Times New Roman"/>
          <w:b w:val="0"/>
          <w:bCs w:val="0"/>
          <w:color w:val="auto"/>
          <w:kern w:val="2"/>
          <w:sz w:val="32"/>
          <w:szCs w:val="32"/>
          <w:highlight w:val="none"/>
          <w:lang w:val="en-US" w:eastAsia="zh-CN" w:bidi="ar-SA"/>
        </w:rPr>
        <w:t>2021年区级部门预算的通知》（城中财字〔2021〕025号）文件，下达城中区民政局福禄巷南社区老年日间照料中心装修及设备购置项目区级配套资金186.66万元。</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cs="Times New Roman"/>
          <w:b/>
          <w:bCs/>
          <w:color w:val="auto"/>
          <w:highlight w:val="none"/>
          <w:lang w:val="en-US" w:eastAsia="zh-CN"/>
        </w:rPr>
      </w:pPr>
      <w:bookmarkStart w:id="452" w:name="_Toc11527"/>
      <w:r>
        <w:rPr>
          <w:rFonts w:hint="eastAsia" w:cs="Times New Roman"/>
          <w:b/>
          <w:bCs/>
          <w:color w:val="auto"/>
          <w:highlight w:val="none"/>
          <w:lang w:val="en-US" w:eastAsia="zh-CN"/>
        </w:rPr>
        <w:t>3.预算资金执行情况</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default" w:ascii="Times New Roman" w:hAnsi="Times New Roman" w:eastAsia="仿宋_GB2312" w:cs="Times New Roman"/>
          <w:b w:val="0"/>
          <w:bCs w:val="0"/>
          <w:color w:val="auto"/>
          <w:kern w:val="2"/>
          <w:sz w:val="32"/>
          <w:szCs w:val="32"/>
          <w:highlight w:val="none"/>
          <w:lang w:val="en-US" w:eastAsia="zh-CN" w:bidi="ar-SA"/>
        </w:rPr>
      </w:pPr>
      <w:r>
        <w:rPr>
          <w:rFonts w:hint="eastAsia" w:cs="Times New Roman"/>
          <w:color w:val="auto"/>
          <w:highlight w:val="none"/>
          <w:lang w:val="en-US" w:eastAsia="zh-CN"/>
        </w:rPr>
        <w:t>截至</w:t>
      </w:r>
      <w:r>
        <w:rPr>
          <w:rFonts w:hint="eastAsia" w:ascii="Times New Roman" w:hAnsi="Times New Roman" w:eastAsia="仿宋_GB2312" w:cs="Times New Roman"/>
          <w:b w:val="0"/>
          <w:bCs w:val="0"/>
          <w:color w:val="auto"/>
          <w:kern w:val="2"/>
          <w:sz w:val="32"/>
          <w:szCs w:val="32"/>
          <w:highlight w:val="none"/>
          <w:lang w:val="en-US" w:eastAsia="zh-CN" w:bidi="ar-SA"/>
        </w:rPr>
        <w:t>2021年11月23日，城中区福禄巷南社区老年日间照料中心装修及设备购置项目省级彩票公益金存量返还资金43.65万元、区级配套资金186.66万元已全部支出，预算执行率为100%。资金到位及执行具体情况见下表：</w:t>
      </w:r>
    </w:p>
    <w:tbl>
      <w:tblPr>
        <w:tblStyle w:val="13"/>
        <w:tblW w:w="523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6"/>
        <w:gridCol w:w="1605"/>
        <w:gridCol w:w="1887"/>
        <w:gridCol w:w="1778"/>
        <w:gridCol w:w="1624"/>
        <w:gridCol w:w="14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5000" w:type="pct"/>
            <w:gridSpan w:val="6"/>
            <w:tcBorders>
              <w:top w:val="nil"/>
              <w:left w:val="nil"/>
              <w:bottom w:val="nil"/>
              <w:right w:val="nil"/>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表1  城中区福禄巷南社区老年日间照料中心装修及设备购置项目</w:t>
            </w:r>
          </w:p>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资金使用明细表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6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资金来源</w:t>
            </w:r>
          </w:p>
        </w:tc>
        <w:tc>
          <w:tcPr>
            <w:tcW w:w="8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实际到位资金</w:t>
            </w:r>
          </w:p>
        </w:tc>
        <w:tc>
          <w:tcPr>
            <w:tcW w:w="9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资金用途</w:t>
            </w:r>
          </w:p>
        </w:tc>
        <w:tc>
          <w:tcPr>
            <w:tcW w:w="9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中标/审计金额</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资金支出</w:t>
            </w:r>
          </w:p>
        </w:tc>
        <w:tc>
          <w:tcPr>
            <w:tcW w:w="7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资金缺口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省级彩票公益金存量返还</w:t>
            </w:r>
          </w:p>
        </w:tc>
        <w:tc>
          <w:tcPr>
            <w:tcW w:w="8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436,493.40</w:t>
            </w:r>
          </w:p>
        </w:tc>
        <w:tc>
          <w:tcPr>
            <w:tcW w:w="9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室内装修设计费</w:t>
            </w:r>
          </w:p>
        </w:tc>
        <w:tc>
          <w:tcPr>
            <w:tcW w:w="9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64,955.00</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64,955.00</w:t>
            </w:r>
          </w:p>
        </w:tc>
        <w:tc>
          <w:tcPr>
            <w:tcW w:w="7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8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室内装修造价费</w:t>
            </w:r>
          </w:p>
        </w:tc>
        <w:tc>
          <w:tcPr>
            <w:tcW w:w="9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6,315.00</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6,315.00</w:t>
            </w:r>
          </w:p>
        </w:tc>
        <w:tc>
          <w:tcPr>
            <w:tcW w:w="7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8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室内装修招标费</w:t>
            </w:r>
          </w:p>
        </w:tc>
        <w:tc>
          <w:tcPr>
            <w:tcW w:w="9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15,249.00</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15,249.00</w:t>
            </w:r>
          </w:p>
        </w:tc>
        <w:tc>
          <w:tcPr>
            <w:tcW w:w="7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8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94"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室内装修工程款</w:t>
            </w:r>
          </w:p>
        </w:tc>
        <w:tc>
          <w:tcPr>
            <w:tcW w:w="937"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1,585,576.29</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349,974.40</w:t>
            </w:r>
          </w:p>
        </w:tc>
        <w:tc>
          <w:tcPr>
            <w:tcW w:w="761"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582,496.89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区级配套</w:t>
            </w:r>
          </w:p>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资金</w:t>
            </w:r>
          </w:p>
        </w:tc>
        <w:tc>
          <w:tcPr>
            <w:tcW w:w="846" w:type="pct"/>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1,866,600.00</w:t>
            </w:r>
          </w:p>
        </w:tc>
        <w:tc>
          <w:tcPr>
            <w:tcW w:w="994"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left"/>
              <w:rPr>
                <w:rFonts w:hint="eastAsia" w:ascii="宋体" w:hAnsi="宋体" w:eastAsia="宋体" w:cs="宋体"/>
                <w:i w:val="0"/>
                <w:iCs w:val="0"/>
                <w:color w:val="auto"/>
                <w:kern w:val="0"/>
                <w:sz w:val="21"/>
                <w:szCs w:val="21"/>
                <w:highlight w:val="none"/>
                <w:u w:val="none"/>
                <w:lang w:val="en-US" w:eastAsia="zh-CN" w:bidi="ar"/>
              </w:rPr>
            </w:pPr>
          </w:p>
        </w:tc>
        <w:tc>
          <w:tcPr>
            <w:tcW w:w="937"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kern w:val="0"/>
                <w:sz w:val="21"/>
                <w:szCs w:val="21"/>
                <w:highlight w:val="none"/>
                <w:u w:val="none"/>
                <w:lang w:val="en-US" w:eastAsia="zh-CN" w:bidi="ar"/>
              </w:rPr>
            </w:pP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653,105.00</w:t>
            </w:r>
          </w:p>
        </w:tc>
        <w:tc>
          <w:tcPr>
            <w:tcW w:w="761"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8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9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室内装修监理费</w:t>
            </w:r>
          </w:p>
        </w:tc>
        <w:tc>
          <w:tcPr>
            <w:tcW w:w="9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36,000.00</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36,000.00</w:t>
            </w:r>
          </w:p>
        </w:tc>
        <w:tc>
          <w:tcPr>
            <w:tcW w:w="7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8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9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设备造价费</w:t>
            </w:r>
          </w:p>
        </w:tc>
        <w:tc>
          <w:tcPr>
            <w:tcW w:w="9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4,220.00</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4,220.00</w:t>
            </w:r>
          </w:p>
        </w:tc>
        <w:tc>
          <w:tcPr>
            <w:tcW w:w="7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8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9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电子设备购置款</w:t>
            </w:r>
          </w:p>
        </w:tc>
        <w:tc>
          <w:tcPr>
            <w:tcW w:w="9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754,322.00</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754,322.00</w:t>
            </w:r>
          </w:p>
        </w:tc>
        <w:tc>
          <w:tcPr>
            <w:tcW w:w="7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8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9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办公家具购置款</w:t>
            </w:r>
          </w:p>
        </w:tc>
        <w:tc>
          <w:tcPr>
            <w:tcW w:w="9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177,499.00</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177,499.00</w:t>
            </w:r>
          </w:p>
        </w:tc>
        <w:tc>
          <w:tcPr>
            <w:tcW w:w="7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8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9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厨具及康复仪器购置款</w:t>
            </w:r>
          </w:p>
        </w:tc>
        <w:tc>
          <w:tcPr>
            <w:tcW w:w="9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175,190.00</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175,190.00</w:t>
            </w:r>
          </w:p>
        </w:tc>
        <w:tc>
          <w:tcPr>
            <w:tcW w:w="7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8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9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燃气设计费</w:t>
            </w:r>
          </w:p>
        </w:tc>
        <w:tc>
          <w:tcPr>
            <w:tcW w:w="9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2,787.00</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2,787.00</w:t>
            </w:r>
          </w:p>
        </w:tc>
        <w:tc>
          <w:tcPr>
            <w:tcW w:w="7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8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9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燃气施工款</w:t>
            </w:r>
          </w:p>
        </w:tc>
        <w:tc>
          <w:tcPr>
            <w:tcW w:w="9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61,929.00</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61,929.00</w:t>
            </w:r>
          </w:p>
        </w:tc>
        <w:tc>
          <w:tcPr>
            <w:tcW w:w="7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846" w:type="pct"/>
            <w:vMerge w:val="continue"/>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center"/>
              <w:rPr>
                <w:rFonts w:hint="eastAsia" w:ascii="宋体" w:hAnsi="宋体" w:eastAsia="宋体" w:cs="宋体"/>
                <w:i w:val="0"/>
                <w:iCs w:val="0"/>
                <w:color w:val="auto"/>
                <w:sz w:val="21"/>
                <w:szCs w:val="21"/>
                <w:highlight w:val="none"/>
                <w:u w:val="none"/>
              </w:rPr>
            </w:pPr>
          </w:p>
        </w:tc>
        <w:tc>
          <w:tcPr>
            <w:tcW w:w="9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燃气监理费</w:t>
            </w:r>
          </w:p>
        </w:tc>
        <w:tc>
          <w:tcPr>
            <w:tcW w:w="9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1,548.00</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1,548.00</w:t>
            </w:r>
          </w:p>
        </w:tc>
        <w:tc>
          <w:tcPr>
            <w:tcW w:w="7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sz w:val="21"/>
                <w:szCs w:val="21"/>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0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合计</w:t>
            </w:r>
          </w:p>
        </w:tc>
        <w:tc>
          <w:tcPr>
            <w:tcW w:w="84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2,303,093.40</w:t>
            </w:r>
          </w:p>
        </w:tc>
        <w:tc>
          <w:tcPr>
            <w:tcW w:w="994"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left"/>
              <w:rPr>
                <w:rFonts w:hint="eastAsia" w:ascii="宋体" w:hAnsi="宋体" w:eastAsia="宋体" w:cs="宋体"/>
                <w:i w:val="0"/>
                <w:iCs w:val="0"/>
                <w:color w:val="auto"/>
                <w:kern w:val="0"/>
                <w:sz w:val="21"/>
                <w:szCs w:val="21"/>
                <w:highlight w:val="none"/>
                <w:u w:val="none"/>
                <w:lang w:val="en-US" w:eastAsia="zh-CN" w:bidi="ar"/>
              </w:rPr>
            </w:pPr>
          </w:p>
        </w:tc>
        <w:tc>
          <w:tcPr>
            <w:tcW w:w="93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2,885,590.29</w:t>
            </w:r>
          </w:p>
        </w:tc>
        <w:tc>
          <w:tcPr>
            <w:tcW w:w="856"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2,303,093.40</w:t>
            </w:r>
          </w:p>
        </w:tc>
        <w:tc>
          <w:tcPr>
            <w:tcW w:w="761"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hd w:val="clear" w:color="auto" w:fill="auto"/>
              <w:kinsoku/>
              <w:wordWrap/>
              <w:overflowPunct/>
              <w:topLinePunct w:val="0"/>
              <w:autoSpaceDE/>
              <w:autoSpaceDN/>
              <w:bidi w:val="0"/>
              <w:adjustRightInd/>
              <w:snapToGrid/>
              <w:spacing w:line="576" w:lineRule="exact"/>
              <w:ind w:left="0" w:leftChars="0"/>
              <w:jc w:val="right"/>
              <w:rPr>
                <w:rFonts w:hint="eastAsia" w:ascii="宋体" w:hAnsi="宋体" w:eastAsia="宋体" w:cs="宋体"/>
                <w:i w:val="0"/>
                <w:iCs w:val="0"/>
                <w:color w:val="auto"/>
                <w:sz w:val="21"/>
                <w:szCs w:val="21"/>
                <w:highlight w:val="none"/>
                <w:u w:val="none"/>
              </w:rPr>
            </w:pPr>
          </w:p>
        </w:tc>
      </w:tr>
    </w:tbl>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453" w:name="_Toc14689"/>
      <w:bookmarkStart w:id="454" w:name="_Toc19462"/>
      <w:bookmarkStart w:id="455" w:name="_Toc25589"/>
      <w:r>
        <w:rPr>
          <w:rFonts w:hint="eastAsia" w:ascii="楷体_GB2312" w:hAnsi="楷体_GB2312" w:eastAsia="楷体_GB2312" w:cs="楷体_GB2312"/>
          <w:b/>
          <w:color w:val="auto"/>
          <w:kern w:val="2"/>
          <w:sz w:val="32"/>
          <w:szCs w:val="24"/>
          <w:highlight w:val="none"/>
          <w:lang w:val="en-US" w:eastAsia="zh-CN" w:bidi="ar-SA"/>
        </w:rPr>
        <w:t>（三）项目计划内容及实施情况</w:t>
      </w:r>
      <w:bookmarkEnd w:id="452"/>
      <w:bookmarkEnd w:id="453"/>
      <w:bookmarkEnd w:id="454"/>
      <w:bookmarkEnd w:id="455"/>
    </w:p>
    <w:p>
      <w:pPr>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shd w:val="clear" w:color="auto" w:fill="auto"/>
        <w:kinsoku/>
        <w:wordWrap w:val="0"/>
        <w:overflowPunct/>
        <w:topLinePunct w:val="0"/>
        <w:autoSpaceDE/>
        <w:autoSpaceDN/>
        <w:bidi w:val="0"/>
        <w:adjustRightInd/>
        <w:snapToGrid/>
        <w:spacing w:before="0" w:beforeAutospacing="0" w:afterAutospacing="0" w:line="576" w:lineRule="exact"/>
        <w:ind w:left="0" w:leftChars="0" w:right="0" w:rightChars="0" w:firstLine="640" w:firstLineChars="200"/>
        <w:jc w:val="both"/>
        <w:textAlignment w:val="auto"/>
        <w:rPr>
          <w:rFonts w:hint="eastAsia" w:cs="仿宋_GB2312"/>
          <w:color w:val="auto"/>
          <w:sz w:val="32"/>
          <w:szCs w:val="22"/>
          <w:highlight w:val="none"/>
          <w:lang w:val="en-US" w:eastAsia="zh-CN"/>
        </w:rPr>
      </w:pPr>
      <w:r>
        <w:rPr>
          <w:rFonts w:hint="eastAsia" w:cs="Times New Roman"/>
          <w:color w:val="auto"/>
          <w:highlight w:val="none"/>
          <w:lang w:val="en-US" w:eastAsia="zh-CN"/>
        </w:rPr>
        <w:t>城中区福禄巷南社区老年日间照料中心装修及设备购置项目主要对福禄巷南社区老年日间照料中心面积约</w:t>
      </w:r>
      <w:r>
        <w:rPr>
          <w:rFonts w:hint="eastAsia" w:ascii="Times New Roman" w:hAnsi="Times New Roman" w:eastAsia="仿宋_GB2312" w:cs="Times New Roman"/>
          <w:b w:val="0"/>
          <w:bCs w:val="0"/>
          <w:color w:val="auto"/>
          <w:kern w:val="2"/>
          <w:sz w:val="32"/>
          <w:szCs w:val="32"/>
          <w:highlight w:val="none"/>
          <w:lang w:val="en-US" w:eastAsia="zh-CN" w:bidi="ar-SA"/>
        </w:rPr>
        <w:t>1050</w:t>
      </w:r>
      <w:r>
        <w:rPr>
          <w:rFonts w:hint="eastAsia" w:cs="Times New Roman"/>
          <w:color w:val="auto"/>
          <w:highlight w:val="none"/>
          <w:lang w:val="en-US" w:eastAsia="zh-CN"/>
        </w:rPr>
        <w:t>平方米（包括地上一层面积</w:t>
      </w:r>
      <w:r>
        <w:rPr>
          <w:rFonts w:hint="eastAsia" w:ascii="Times New Roman" w:hAnsi="Times New Roman" w:eastAsia="仿宋_GB2312" w:cs="Times New Roman"/>
          <w:b w:val="0"/>
          <w:bCs w:val="0"/>
          <w:color w:val="auto"/>
          <w:kern w:val="2"/>
          <w:sz w:val="32"/>
          <w:szCs w:val="32"/>
          <w:highlight w:val="none"/>
          <w:lang w:val="en-US" w:eastAsia="zh-CN" w:bidi="ar-SA"/>
        </w:rPr>
        <w:t>550平方米，地下四间面积330平方米，外廊封闭及门头面积170平方米）的业务用房进行装饰装修，并购置电脑、办公家具、厨具及康复仪器等设备。项目于2020年11月进场施工，于2021年7</w:t>
      </w:r>
      <w:r>
        <w:rPr>
          <w:rFonts w:hint="eastAsia" w:cs="Times New Roman"/>
          <w:color w:val="auto"/>
          <w:highlight w:val="none"/>
          <w:lang w:val="en-US" w:eastAsia="zh-CN"/>
        </w:rPr>
        <w:t>月完成竣工验收，并投入使用。设备购置清单如下：</w:t>
      </w:r>
    </w:p>
    <w:tbl>
      <w:tblPr>
        <w:tblStyle w:val="13"/>
        <w:tblW w:w="492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56"/>
        <w:gridCol w:w="5"/>
        <w:gridCol w:w="1220"/>
        <w:gridCol w:w="541"/>
        <w:gridCol w:w="786"/>
        <w:gridCol w:w="1189"/>
        <w:gridCol w:w="254"/>
        <w:gridCol w:w="2"/>
        <w:gridCol w:w="707"/>
        <w:gridCol w:w="75"/>
        <w:gridCol w:w="278"/>
        <w:gridCol w:w="1155"/>
        <w:gridCol w:w="25"/>
        <w:gridCol w:w="37"/>
        <w:gridCol w:w="15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5000" w:type="pct"/>
            <w:gridSpan w:val="15"/>
            <w:tcBorders>
              <w:top w:val="nil"/>
              <w:left w:val="nil"/>
              <w:bottom w:val="nil"/>
              <w:right w:val="nil"/>
            </w:tcBorders>
            <w:noWrap/>
            <w:vAlign w:val="center"/>
          </w:tcPr>
          <w:p>
            <w:pPr>
              <w:keepNext w:val="0"/>
              <w:keepLines w:val="0"/>
              <w:pageBreakBefore w:val="0"/>
              <w:widowControl/>
              <w:suppressLineNumbers w:val="0"/>
              <w:shd w:val="clear" w:color="auto" w:fill="auto"/>
              <w:overflowPunct/>
              <w:topLinePunct w:val="0"/>
              <w:bidi w:val="0"/>
              <w:spacing w:line="576" w:lineRule="exact"/>
              <w:ind w:left="0" w:leftChars="0"/>
              <w:jc w:val="center"/>
              <w:textAlignment w:val="center"/>
              <w:rPr>
                <w:rFonts w:hint="eastAsia" w:ascii="宋体" w:hAnsi="宋体" w:eastAsia="宋体" w:cs="宋体"/>
                <w:b/>
                <w:bCs/>
                <w:i w:val="0"/>
                <w:iCs w:val="0"/>
                <w:color w:val="auto"/>
                <w:sz w:val="24"/>
                <w:szCs w:val="24"/>
                <w:highlight w:val="none"/>
                <w:u w:val="none"/>
              </w:rPr>
            </w:pPr>
            <w:bookmarkStart w:id="456" w:name="_Toc10783"/>
            <w:r>
              <w:rPr>
                <w:rFonts w:hint="eastAsia" w:ascii="宋体" w:hAnsi="宋体" w:eastAsia="宋体" w:cs="宋体"/>
                <w:b/>
                <w:bCs/>
                <w:i w:val="0"/>
                <w:iCs w:val="0"/>
                <w:color w:val="auto"/>
                <w:kern w:val="0"/>
                <w:sz w:val="24"/>
                <w:szCs w:val="24"/>
                <w:highlight w:val="none"/>
                <w:u w:val="none"/>
                <w:lang w:val="en-US" w:eastAsia="zh-CN" w:bidi="ar"/>
              </w:rPr>
              <w:t>表2  城中区福禄巷南社区老年日间照料中心电脑设备采购明细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项目名称</w:t>
            </w:r>
          </w:p>
        </w:tc>
        <w:tc>
          <w:tcPr>
            <w:tcW w:w="988"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标的名称</w:t>
            </w:r>
          </w:p>
        </w:tc>
        <w:tc>
          <w:tcPr>
            <w:tcW w:w="1105"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型号规格</w:t>
            </w:r>
          </w:p>
        </w:tc>
        <w:tc>
          <w:tcPr>
            <w:tcW w:w="580" w:type="pct"/>
            <w:gridSpan w:val="4"/>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802"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单价</w:t>
            </w:r>
          </w:p>
        </w:tc>
        <w:tc>
          <w:tcPr>
            <w:tcW w:w="874"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城中区福禄巷南社区老年日间照料中心设备采购项目</w:t>
            </w:r>
          </w:p>
        </w:tc>
        <w:tc>
          <w:tcPr>
            <w:tcW w:w="988"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台式电脑</w:t>
            </w:r>
          </w:p>
        </w:tc>
        <w:tc>
          <w:tcPr>
            <w:tcW w:w="1105"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联想 启天M435</w:t>
            </w:r>
          </w:p>
        </w:tc>
        <w:tc>
          <w:tcPr>
            <w:tcW w:w="580" w:type="pct"/>
            <w:gridSpan w:val="4"/>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12台</w:t>
            </w:r>
          </w:p>
        </w:tc>
        <w:tc>
          <w:tcPr>
            <w:tcW w:w="802"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7,230.00</w:t>
            </w:r>
          </w:p>
        </w:tc>
        <w:tc>
          <w:tcPr>
            <w:tcW w:w="874"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86,760.00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笔记本电脑</w:t>
            </w:r>
          </w:p>
        </w:tc>
        <w:tc>
          <w:tcPr>
            <w:tcW w:w="1105"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联想 昭阳K4e</w:t>
            </w:r>
          </w:p>
        </w:tc>
        <w:tc>
          <w:tcPr>
            <w:tcW w:w="580" w:type="pct"/>
            <w:gridSpan w:val="4"/>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2台</w:t>
            </w:r>
          </w:p>
        </w:tc>
        <w:tc>
          <w:tcPr>
            <w:tcW w:w="802"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7,610.00</w:t>
            </w:r>
          </w:p>
        </w:tc>
        <w:tc>
          <w:tcPr>
            <w:tcW w:w="874"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15,220.00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单面打印机</w:t>
            </w:r>
          </w:p>
        </w:tc>
        <w:tc>
          <w:tcPr>
            <w:tcW w:w="1105"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HP M227sdn</w:t>
            </w:r>
          </w:p>
        </w:tc>
        <w:tc>
          <w:tcPr>
            <w:tcW w:w="580" w:type="pct"/>
            <w:gridSpan w:val="4"/>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5台</w:t>
            </w:r>
          </w:p>
        </w:tc>
        <w:tc>
          <w:tcPr>
            <w:tcW w:w="802"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2,450.00</w:t>
            </w:r>
          </w:p>
        </w:tc>
        <w:tc>
          <w:tcPr>
            <w:tcW w:w="874"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彩色打印机</w:t>
            </w:r>
          </w:p>
        </w:tc>
        <w:tc>
          <w:tcPr>
            <w:tcW w:w="1105"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HP M254dw</w:t>
            </w:r>
          </w:p>
        </w:tc>
        <w:tc>
          <w:tcPr>
            <w:tcW w:w="580" w:type="pct"/>
            <w:gridSpan w:val="4"/>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1台</w:t>
            </w:r>
          </w:p>
        </w:tc>
        <w:tc>
          <w:tcPr>
            <w:tcW w:w="802"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4,450.00</w:t>
            </w:r>
          </w:p>
        </w:tc>
        <w:tc>
          <w:tcPr>
            <w:tcW w:w="874"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4,450.00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办事大厅LED屏（P2.5）室内全彩</w:t>
            </w:r>
          </w:p>
        </w:tc>
        <w:tc>
          <w:tcPr>
            <w:tcW w:w="1105"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蓝普P2.5(含音响1套、功放1台</w:t>
            </w:r>
          </w:p>
        </w:tc>
        <w:tc>
          <w:tcPr>
            <w:tcW w:w="580" w:type="pct"/>
            <w:gridSpan w:val="4"/>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6.62m2</w:t>
            </w:r>
          </w:p>
        </w:tc>
        <w:tc>
          <w:tcPr>
            <w:tcW w:w="802"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18,350.00</w:t>
            </w:r>
          </w:p>
        </w:tc>
        <w:tc>
          <w:tcPr>
            <w:tcW w:w="874"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121,477.00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音响系统</w:t>
            </w:r>
          </w:p>
        </w:tc>
        <w:tc>
          <w:tcPr>
            <w:tcW w:w="1105"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威牛AD-12</w:t>
            </w:r>
          </w:p>
        </w:tc>
        <w:tc>
          <w:tcPr>
            <w:tcW w:w="580" w:type="pct"/>
            <w:gridSpan w:val="4"/>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1套</w:t>
            </w:r>
          </w:p>
        </w:tc>
        <w:tc>
          <w:tcPr>
            <w:tcW w:w="802"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37,900.00</w:t>
            </w:r>
          </w:p>
        </w:tc>
        <w:tc>
          <w:tcPr>
            <w:tcW w:w="874"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37,900.00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触摸屏(查询机)</w:t>
            </w:r>
          </w:p>
        </w:tc>
        <w:tc>
          <w:tcPr>
            <w:tcW w:w="1105"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正宇视讯ZYU-CM550</w:t>
            </w:r>
          </w:p>
        </w:tc>
        <w:tc>
          <w:tcPr>
            <w:tcW w:w="580" w:type="pct"/>
            <w:gridSpan w:val="4"/>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1台</w:t>
            </w:r>
          </w:p>
        </w:tc>
        <w:tc>
          <w:tcPr>
            <w:tcW w:w="802"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15940.00</w:t>
            </w:r>
          </w:p>
        </w:tc>
        <w:tc>
          <w:tcPr>
            <w:tcW w:w="874"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15,940.00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LED窗口显示屏</w:t>
            </w:r>
          </w:p>
        </w:tc>
        <w:tc>
          <w:tcPr>
            <w:tcW w:w="1105"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定制</w:t>
            </w:r>
          </w:p>
        </w:tc>
        <w:tc>
          <w:tcPr>
            <w:tcW w:w="580" w:type="pct"/>
            <w:gridSpan w:val="4"/>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2块</w:t>
            </w:r>
          </w:p>
        </w:tc>
        <w:tc>
          <w:tcPr>
            <w:tcW w:w="802" w:type="pct"/>
            <w:gridSpan w:val="2"/>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2110，00</w:t>
            </w:r>
          </w:p>
        </w:tc>
        <w:tc>
          <w:tcPr>
            <w:tcW w:w="874" w:type="pct"/>
            <w:gridSpan w:val="3"/>
            <w:tcBorders>
              <w:top w:val="single" w:color="000000" w:sz="4" w:space="0"/>
              <w:left w:val="single" w:color="000000" w:sz="4" w:space="0"/>
              <w:bottom w:val="single" w:color="000000" w:sz="4" w:space="0"/>
              <w:right w:val="single" w:color="000000" w:sz="4" w:space="0"/>
            </w:tcBorders>
            <w:noWrap/>
            <w:vAlign w:val="top"/>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4,220.00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65寸电视机</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海信65A52F</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5,570.00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16,710.00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投影仪(含电动幕布)</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理光PJ YX4000</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2套</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14,150.00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28,300.00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录音笔</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索尼TX650</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1050.00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点读笔</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大迈PT003</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空气加湿器</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美的SC3G40A</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880.00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便携式音响</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漫步者PW308</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5,850.00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5,850.00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5米插线板</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公牛GN403</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10个</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88.00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单反相机</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佳能 850D18- 200</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14,800.00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14,800.00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呼叫器</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多嘴毛猫HY-2610 E2MT</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245.00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P2LED屏显主机</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多嘴猫HY- 2611 P2</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1,520.00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防火墙</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深信服 FW-100-BN120</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115,000.00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115,000.00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上网行为管理</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深信服 AC-1000-B1100</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89,120.00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89,120.00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24口交换机</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信锐 RS3300-28T-4F</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7,140.00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14,280.00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无线控制器</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信锐 NAC-6100</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51,260.00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51,260.00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POE交换机</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信锐 S3100-24T-PWR-UN</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4,750.00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4,750.00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无线 AP</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信锐 NAP-1700-I</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5,540.00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77,560.00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网络机柜</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银洲 6637</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1台</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3,500.00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3,500.00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室外社区名称</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定制</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24个</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930.00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22,320.00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pageBreakBefore w:val="0"/>
              <w:shd w:val="clear" w:color="auto" w:fill="auto"/>
              <w:overflowPunct/>
              <w:topLinePunct w:val="0"/>
              <w:bidi w:val="0"/>
              <w:spacing w:line="576" w:lineRule="exact"/>
              <w:ind w:left="0" w:leftChars="0"/>
              <w:jc w:val="center"/>
              <w:rPr>
                <w:rFonts w:hint="eastAsia" w:ascii="宋体" w:hAnsi="宋体" w:eastAsia="宋体" w:cs="宋体"/>
                <w:i w:val="0"/>
                <w:iCs w:val="0"/>
                <w:color w:val="auto"/>
                <w:kern w:val="0"/>
                <w:sz w:val="21"/>
                <w:szCs w:val="21"/>
                <w:highlight w:val="none"/>
                <w:u w:val="none"/>
                <w:lang w:val="en-US" w:eastAsia="zh-CN" w:bidi="ar"/>
              </w:rPr>
            </w:pPr>
          </w:p>
        </w:tc>
        <w:tc>
          <w:tcPr>
            <w:tcW w:w="988"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标识牌</w:t>
            </w:r>
          </w:p>
        </w:tc>
        <w:tc>
          <w:tcPr>
            <w:tcW w:w="1105"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定制</w:t>
            </w:r>
          </w:p>
        </w:tc>
        <w:tc>
          <w:tcPr>
            <w:tcW w:w="580"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20块</w:t>
            </w:r>
          </w:p>
        </w:tc>
        <w:tc>
          <w:tcPr>
            <w:tcW w:w="80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160.00</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righ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47" w:type="pct"/>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p>
        </w:tc>
        <w:tc>
          <w:tcPr>
            <w:tcW w:w="3477" w:type="pct"/>
            <w:gridSpan w:val="11"/>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合计</w:t>
            </w:r>
          </w:p>
        </w:tc>
        <w:tc>
          <w:tcPr>
            <w:tcW w:w="874"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754,322.00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5000" w:type="pct"/>
            <w:gridSpan w:val="15"/>
            <w:tcBorders>
              <w:top w:val="nil"/>
              <w:left w:val="nil"/>
              <w:bottom w:val="nil"/>
              <w:right w:val="nil"/>
            </w:tcBorders>
            <w:noWrap/>
            <w:vAlign w:val="center"/>
          </w:tcPr>
          <w:p>
            <w:pPr>
              <w:keepNext w:val="0"/>
              <w:keepLines w:val="0"/>
              <w:pageBreakBefore w:val="0"/>
              <w:widowControl/>
              <w:suppressLineNumbers w:val="0"/>
              <w:shd w:val="clear" w:color="auto" w:fill="auto"/>
              <w:overflowPunct/>
              <w:topLinePunct w:val="0"/>
              <w:bidi w:val="0"/>
              <w:spacing w:line="576" w:lineRule="exact"/>
              <w:ind w:left="0" w:leftChars="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p>
          <w:p>
            <w:pPr>
              <w:keepNext w:val="0"/>
              <w:keepLines w:val="0"/>
              <w:pageBreakBefore w:val="0"/>
              <w:widowControl/>
              <w:suppressLineNumbers w:val="0"/>
              <w:shd w:val="clear" w:color="auto" w:fill="auto"/>
              <w:overflowPunct/>
              <w:topLinePunct w:val="0"/>
              <w:bidi w:val="0"/>
              <w:spacing w:line="576" w:lineRule="exact"/>
              <w:ind w:left="0" w:leftChars="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表3  城中区福禄巷南社区老年日间照料中心办公家具采购明细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项目名称</w:t>
            </w:r>
          </w:p>
        </w:tc>
        <w:tc>
          <w:tcPr>
            <w:tcW w:w="683"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标的名称</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型号规格</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单价</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城中区福禄巷南社区老年日间照料中心设备采购项目</w:t>
            </w: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餐桌</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1500*800*750mm CZ-150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9张</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1,568.00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14,112.00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餐椅</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600*560*850mm CY-600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720.00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25,920.00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1.4米办公桌</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1400*600*760mm UOB0141</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2张</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736.00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办公椅</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标准 733D</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双人沙发</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1570*790*720mm 0P304</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1套</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前台椅</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标准 733D</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吧椅</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标准 Y007</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228.00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 xml:space="preserve">576.00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阅览桌</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1500*800*750mm YZH150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4张</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1,568.00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6,272.00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阅览椅</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600*560*800mm J-YY060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720.00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11,520.00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书法桌</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1600*800*750mm ZZ-006</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3,968.00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7,936.00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书法椅</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680*520*1100mm YY680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1,568.00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3,136.00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方凳</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580*400*480mm YD580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576.00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茶水柜</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900*400*1100mm COSA08</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1,040.00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7"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会议桌</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3200*1200*760mmJ-FDT32</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1张</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3,328.00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3,328.00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会议椅</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标准 J-H1225C</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茶水柜</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1200*400*800mm J-C0SA-12</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928.00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928.00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档案柜</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2100*980*500mm J-NM850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12个</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720.00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8,640.00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治疗床</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2100*980*500mm J-ZLC21</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1张</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2,048.00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2,048.00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办公椅</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标准 756D</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560.00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护理床</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1050*2100*1000mm J-HLC-105</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4张</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2,800.00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11,200.00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床头柜</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450*450*550mm J-CG450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4个</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1,920.00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方凳</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580*400*480mm YD580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576.00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2,304.00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办公桌</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1600*800*750mm UOB0161</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1张</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736.00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736.00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办公椅</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标准 733D</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班前椅</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标准 J-H1225C</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295.00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单人沙发</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标准 KSF-001</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2套</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1,328.00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2,656.00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茶几</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500*500*600mm J-CJ-050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576.00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576.00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文件柜</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900*400*1800mm BXG900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3个</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880.00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2,640.00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7"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茶水柜</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800*400*800mm J-COSA-08</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928.00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928.00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多功能护理床</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2090*950*1100mm HLC-020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8张</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4,160.00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33,280.00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床头柜</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450*450*550mm J-CG450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8个</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480.00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3,840.00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棋牌桌</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950*950*750mm J-QHZ95</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2张</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1,200.00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2,400.00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棋牌椅</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600*560*800mm J-QY006</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720.00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5,760.00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茶水柜</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900*400*1100mm COSA08</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1,040.00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办公桌</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1400*700*760mm U0B0141</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2张</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736.00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办公椅</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标准 733D</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2把</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300.00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更衣凳</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960*500* 1920mm J-BH140</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4个</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1,600.00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6,400.00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6"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83" w:type="pct"/>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三门文件柜</w:t>
            </w:r>
          </w:p>
        </w:tc>
        <w:tc>
          <w:tcPr>
            <w:tcW w:w="1551" w:type="pct"/>
            <w:gridSpan w:val="5"/>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1200*400*2000mm J-UM1203</w:t>
            </w:r>
          </w:p>
        </w:tc>
        <w:tc>
          <w:tcPr>
            <w:tcW w:w="593"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1个</w:t>
            </w:r>
          </w:p>
        </w:tc>
        <w:tc>
          <w:tcPr>
            <w:tcW w:w="681" w:type="pct"/>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1,440.00</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650" w:type="pct"/>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3509" w:type="pct"/>
            <w:gridSpan w:val="12"/>
            <w:tcBorders>
              <w:top w:val="single" w:color="000000" w:sz="4" w:space="0"/>
              <w:left w:val="nil"/>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合计</w:t>
            </w:r>
          </w:p>
        </w:tc>
        <w:tc>
          <w:tcPr>
            <w:tcW w:w="840"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 xml:space="preserve">177,499.00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000" w:type="pct"/>
            <w:gridSpan w:val="15"/>
            <w:tcBorders>
              <w:top w:val="nil"/>
              <w:left w:val="nil"/>
              <w:bottom w:val="single" w:color="000000" w:sz="4" w:space="0"/>
              <w:right w:val="nil"/>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表4  城中区福禄巷南社区老年日间照料中心厨房设备及康复设施采购明细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64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货物</w:t>
            </w:r>
          </w:p>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名称</w:t>
            </w:r>
          </w:p>
        </w:tc>
        <w:tc>
          <w:tcPr>
            <w:tcW w:w="686"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品牌</w:t>
            </w:r>
          </w:p>
        </w:tc>
        <w:tc>
          <w:tcPr>
            <w:tcW w:w="74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型号/规格</w:t>
            </w:r>
          </w:p>
        </w:tc>
        <w:tc>
          <w:tcPr>
            <w:tcW w:w="807"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技术参数或配置要求</w:t>
            </w:r>
          </w:p>
        </w:tc>
        <w:tc>
          <w:tcPr>
            <w:tcW w:w="396"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数量</w:t>
            </w:r>
          </w:p>
        </w:tc>
        <w:tc>
          <w:tcPr>
            <w:tcW w:w="858"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单价</w:t>
            </w:r>
          </w:p>
        </w:tc>
        <w:tc>
          <w:tcPr>
            <w:tcW w:w="86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b/>
                <w:bCs/>
                <w:i w:val="0"/>
                <w:iCs w:val="0"/>
                <w:color w:val="auto"/>
                <w:kern w:val="0"/>
                <w:sz w:val="21"/>
                <w:szCs w:val="21"/>
                <w:highlight w:val="none"/>
                <w:u w:val="none"/>
                <w:lang w:val="en-US" w:eastAsia="zh-CN" w:bidi="ar"/>
              </w:rPr>
            </w:pPr>
            <w:r>
              <w:rPr>
                <w:rFonts w:hint="eastAsia" w:ascii="宋体" w:hAnsi="宋体" w:eastAsia="宋体" w:cs="宋体"/>
                <w:b/>
                <w:bCs/>
                <w:i w:val="0"/>
                <w:iCs w:val="0"/>
                <w:color w:val="auto"/>
                <w:kern w:val="0"/>
                <w:sz w:val="21"/>
                <w:szCs w:val="21"/>
                <w:highlight w:val="none"/>
                <w:u w:val="none"/>
                <w:lang w:val="en-US" w:eastAsia="zh-CN" w:bidi="ar"/>
              </w:rPr>
              <w:t>合同总价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2" w:hRule="atLeast"/>
          <w:jc w:val="center"/>
        </w:trPr>
        <w:tc>
          <w:tcPr>
            <w:tcW w:w="647" w:type="pct"/>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厨房设备及康复设施</w:t>
            </w:r>
          </w:p>
        </w:tc>
        <w:tc>
          <w:tcPr>
            <w:tcW w:w="686"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海尔/haior</w:t>
            </w:r>
          </w:p>
        </w:tc>
        <w:tc>
          <w:tcPr>
            <w:tcW w:w="742"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海尔/BC/BD-103HMC</w:t>
            </w:r>
          </w:p>
        </w:tc>
        <w:tc>
          <w:tcPr>
            <w:tcW w:w="807"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符合附件要求参数</w:t>
            </w:r>
          </w:p>
        </w:tc>
        <w:tc>
          <w:tcPr>
            <w:tcW w:w="396"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p>
        </w:tc>
        <w:tc>
          <w:tcPr>
            <w:tcW w:w="858" w:type="pct"/>
            <w:gridSpan w:val="4"/>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17,519,000.00</w:t>
            </w:r>
          </w:p>
        </w:tc>
        <w:tc>
          <w:tcPr>
            <w:tcW w:w="86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17,519,000.00</w:t>
            </w:r>
          </w:p>
        </w:tc>
      </w:tr>
    </w:tbl>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firstLine="643" w:firstLineChars="200"/>
        <w:jc w:val="both"/>
        <w:textAlignment w:val="auto"/>
        <w:outlineLvl w:val="1"/>
        <w:rPr>
          <w:rFonts w:hint="eastAsia" w:ascii="黑体" w:hAnsi="黑体" w:eastAsia="黑体" w:cs="黑体"/>
          <w:b/>
          <w:bCs/>
          <w:color w:val="auto"/>
          <w:kern w:val="44"/>
          <w:sz w:val="32"/>
          <w:szCs w:val="32"/>
          <w:highlight w:val="none"/>
          <w:lang w:val="en-US" w:eastAsia="zh-CN" w:bidi="ar-SA"/>
        </w:rPr>
      </w:pPr>
      <w:bookmarkStart w:id="457" w:name="_Toc1847"/>
      <w:bookmarkStart w:id="458" w:name="_Toc2430"/>
      <w:bookmarkStart w:id="459" w:name="_Toc26801"/>
      <w:r>
        <w:rPr>
          <w:rFonts w:hint="eastAsia" w:ascii="黑体" w:hAnsi="黑体" w:eastAsia="黑体" w:cs="黑体"/>
          <w:b/>
          <w:bCs/>
          <w:color w:val="auto"/>
          <w:kern w:val="44"/>
          <w:sz w:val="32"/>
          <w:szCs w:val="32"/>
          <w:highlight w:val="none"/>
          <w:lang w:val="en-US" w:eastAsia="zh-CN" w:bidi="ar-SA"/>
        </w:rPr>
        <w:t>二、项目绩效目标</w:t>
      </w:r>
      <w:bookmarkEnd w:id="456"/>
      <w:bookmarkEnd w:id="457"/>
      <w:bookmarkEnd w:id="458"/>
      <w:bookmarkEnd w:id="459"/>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460" w:name="_Toc31087"/>
      <w:bookmarkStart w:id="461" w:name="_Toc16501"/>
      <w:bookmarkStart w:id="462" w:name="_Toc2796"/>
      <w:bookmarkStart w:id="463" w:name="_Toc27743"/>
      <w:r>
        <w:rPr>
          <w:rFonts w:hint="eastAsia" w:ascii="楷体_GB2312" w:hAnsi="楷体_GB2312" w:eastAsia="楷体_GB2312" w:cs="楷体_GB2312"/>
          <w:b/>
          <w:color w:val="auto"/>
          <w:kern w:val="2"/>
          <w:sz w:val="32"/>
          <w:szCs w:val="24"/>
          <w:highlight w:val="none"/>
          <w:lang w:val="en-US" w:eastAsia="zh-CN" w:bidi="ar-SA"/>
        </w:rPr>
        <w:t>（一）项目总目标</w:t>
      </w:r>
      <w:bookmarkEnd w:id="460"/>
      <w:bookmarkEnd w:id="461"/>
      <w:bookmarkEnd w:id="462"/>
      <w:bookmarkEnd w:id="463"/>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val="0"/>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rPr>
        <w:t>完成</w:t>
      </w:r>
      <w:r>
        <w:rPr>
          <w:rFonts w:hint="eastAsia" w:ascii="仿宋_GB2312" w:hAnsi="仿宋_GB2312" w:eastAsia="仿宋_GB2312" w:cs="仿宋_GB2312"/>
          <w:b w:val="0"/>
          <w:bCs w:val="0"/>
          <w:color w:val="auto"/>
          <w:sz w:val="32"/>
          <w:szCs w:val="32"/>
          <w:highlight w:val="none"/>
          <w:lang w:val="en-US" w:eastAsia="zh-CN"/>
        </w:rPr>
        <w:t>福禄巷南社区老年日间照料中心</w:t>
      </w:r>
      <w:r>
        <w:rPr>
          <w:rFonts w:hint="eastAsia" w:ascii="仿宋_GB2312" w:hAnsi="仿宋_GB2312" w:eastAsia="仿宋_GB2312" w:cs="仿宋_GB2312"/>
          <w:color w:val="auto"/>
          <w:sz w:val="32"/>
          <w:szCs w:val="32"/>
          <w:highlight w:val="none"/>
          <w:lang w:val="en-US" w:eastAsia="zh-CN"/>
        </w:rPr>
        <w:t>项目</w:t>
      </w:r>
      <w:r>
        <w:rPr>
          <w:rFonts w:hint="eastAsia" w:ascii="Times New Roman" w:hAnsi="Times New Roman" w:eastAsia="仿宋_GB2312" w:cs="Times New Roman"/>
          <w:b w:val="0"/>
          <w:bCs w:val="0"/>
          <w:color w:val="auto"/>
          <w:kern w:val="2"/>
          <w:sz w:val="32"/>
          <w:szCs w:val="32"/>
          <w:highlight w:val="none"/>
          <w:lang w:val="en-US" w:eastAsia="zh-CN" w:bidi="ar-SA"/>
        </w:rPr>
        <w:t>1050平</w:t>
      </w:r>
      <w:r>
        <w:rPr>
          <w:rFonts w:hint="eastAsia" w:ascii="仿宋_GB2312" w:hAnsi="仿宋_GB2312" w:eastAsia="仿宋_GB2312" w:cs="仿宋_GB2312"/>
          <w:color w:val="auto"/>
          <w:sz w:val="32"/>
          <w:szCs w:val="32"/>
          <w:highlight w:val="none"/>
          <w:lang w:val="en-US" w:eastAsia="zh-CN"/>
        </w:rPr>
        <w:t>方米业务用房改造，改善社区养老服务基础设施。</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464" w:name="_Toc5057"/>
      <w:bookmarkStart w:id="465" w:name="_Toc5657"/>
      <w:bookmarkStart w:id="466" w:name="_Toc11304"/>
      <w:bookmarkStart w:id="467" w:name="_Toc9722"/>
      <w:r>
        <w:rPr>
          <w:rFonts w:hint="eastAsia" w:ascii="楷体_GB2312" w:hAnsi="楷体_GB2312" w:eastAsia="楷体_GB2312" w:cs="楷体_GB2312"/>
          <w:b/>
          <w:color w:val="auto"/>
          <w:kern w:val="2"/>
          <w:sz w:val="32"/>
          <w:szCs w:val="24"/>
          <w:highlight w:val="none"/>
          <w:lang w:val="en-US" w:eastAsia="zh-CN" w:bidi="ar-SA"/>
        </w:rPr>
        <w:t>（二）项目年度绩效目标</w:t>
      </w:r>
      <w:bookmarkEnd w:id="464"/>
      <w:bookmarkEnd w:id="465"/>
      <w:bookmarkEnd w:id="466"/>
      <w:bookmarkEnd w:id="467"/>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Times New Roman" w:hAnsi="Times New Roman" w:eastAsia="仿宋_GB2312" w:cs="Times New Roman"/>
          <w:b w:val="0"/>
          <w:bCs w:val="0"/>
          <w:color w:val="auto"/>
          <w:kern w:val="2"/>
          <w:sz w:val="32"/>
          <w:szCs w:val="32"/>
          <w:highlight w:val="none"/>
          <w:lang w:val="en-US" w:eastAsia="zh-CN" w:bidi="ar-SA"/>
        </w:rPr>
        <w:t>1.完成福禄巷南社区老年日间照料中心业务用房装修，2.采购社区养老服务设施设备，3.组</w:t>
      </w:r>
      <w:r>
        <w:rPr>
          <w:rFonts w:hint="eastAsia" w:ascii="仿宋_GB2312" w:hAnsi="仿宋_GB2312" w:eastAsia="仿宋_GB2312" w:cs="仿宋_GB2312"/>
          <w:color w:val="auto"/>
          <w:sz w:val="32"/>
          <w:szCs w:val="32"/>
          <w:highlight w:val="none"/>
          <w:lang w:val="en-US" w:eastAsia="zh-CN"/>
        </w:rPr>
        <w:t>织项目验收并投入使用。</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firstLine="643" w:firstLineChars="200"/>
        <w:jc w:val="both"/>
        <w:textAlignment w:val="auto"/>
        <w:outlineLvl w:val="1"/>
        <w:rPr>
          <w:rFonts w:hint="eastAsia" w:ascii="黑体" w:hAnsi="黑体" w:eastAsia="黑体" w:cs="黑体"/>
          <w:b/>
          <w:bCs/>
          <w:color w:val="auto"/>
          <w:kern w:val="44"/>
          <w:sz w:val="32"/>
          <w:szCs w:val="32"/>
          <w:highlight w:val="none"/>
          <w:lang w:val="en-US" w:eastAsia="zh-CN" w:bidi="ar-SA"/>
        </w:rPr>
      </w:pPr>
      <w:bookmarkStart w:id="468" w:name="_Toc8970"/>
      <w:bookmarkStart w:id="469" w:name="_Toc21184"/>
      <w:bookmarkStart w:id="470" w:name="_Toc12611"/>
      <w:bookmarkStart w:id="471" w:name="_Toc10075"/>
      <w:r>
        <w:rPr>
          <w:rFonts w:hint="eastAsia" w:ascii="黑体" w:hAnsi="黑体" w:eastAsia="黑体" w:cs="黑体"/>
          <w:b/>
          <w:bCs/>
          <w:color w:val="auto"/>
          <w:kern w:val="44"/>
          <w:sz w:val="32"/>
          <w:szCs w:val="32"/>
          <w:highlight w:val="none"/>
          <w:lang w:val="en-US" w:eastAsia="zh-CN" w:bidi="ar-SA"/>
        </w:rPr>
        <w:fldChar w:fldCharType="begin"/>
      </w:r>
      <w:r>
        <w:rPr>
          <w:rFonts w:hint="eastAsia" w:ascii="黑体" w:hAnsi="黑体" w:eastAsia="黑体" w:cs="黑体"/>
          <w:b/>
          <w:bCs/>
          <w:color w:val="auto"/>
          <w:kern w:val="44"/>
          <w:sz w:val="32"/>
          <w:szCs w:val="32"/>
          <w:highlight w:val="none"/>
          <w:lang w:val="en-US" w:eastAsia="zh-CN" w:bidi="ar-SA"/>
        </w:rPr>
        <w:instrText xml:space="preserve"> HYPERLINK \l _Toc8441 </w:instrText>
      </w:r>
      <w:r>
        <w:rPr>
          <w:rFonts w:hint="eastAsia" w:ascii="黑体" w:hAnsi="黑体" w:eastAsia="黑体" w:cs="黑体"/>
          <w:b/>
          <w:bCs/>
          <w:color w:val="auto"/>
          <w:kern w:val="44"/>
          <w:sz w:val="32"/>
          <w:szCs w:val="32"/>
          <w:highlight w:val="none"/>
          <w:lang w:val="en-US" w:eastAsia="zh-CN" w:bidi="ar-SA"/>
        </w:rPr>
        <w:fldChar w:fldCharType="separate"/>
      </w:r>
      <w:r>
        <w:rPr>
          <w:rFonts w:hint="eastAsia" w:ascii="黑体" w:hAnsi="黑体" w:eastAsia="黑体" w:cs="黑体"/>
          <w:b/>
          <w:bCs/>
          <w:color w:val="auto"/>
          <w:kern w:val="44"/>
          <w:sz w:val="32"/>
          <w:szCs w:val="32"/>
          <w:highlight w:val="none"/>
          <w:lang w:val="en-US" w:eastAsia="zh-CN" w:bidi="ar-SA"/>
        </w:rPr>
        <w:t>三、评价基本情况</w:t>
      </w:r>
      <w:r>
        <w:rPr>
          <w:rFonts w:hint="eastAsia" w:ascii="黑体" w:hAnsi="黑体" w:eastAsia="黑体" w:cs="黑体"/>
          <w:b/>
          <w:bCs/>
          <w:color w:val="auto"/>
          <w:kern w:val="44"/>
          <w:sz w:val="32"/>
          <w:szCs w:val="32"/>
          <w:highlight w:val="none"/>
          <w:lang w:val="en-US" w:eastAsia="zh-CN" w:bidi="ar-SA"/>
        </w:rPr>
        <w:fldChar w:fldCharType="end"/>
      </w:r>
      <w:bookmarkEnd w:id="468"/>
      <w:bookmarkEnd w:id="469"/>
      <w:bookmarkEnd w:id="470"/>
      <w:bookmarkEnd w:id="471"/>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472" w:name="_Toc1758"/>
      <w:bookmarkStart w:id="473" w:name="_Toc7298"/>
      <w:bookmarkStart w:id="474" w:name="_Toc29951"/>
      <w:bookmarkStart w:id="475" w:name="_Toc31625"/>
      <w:r>
        <w:rPr>
          <w:rFonts w:hint="eastAsia" w:ascii="楷体_GB2312" w:hAnsi="楷体_GB2312" w:eastAsia="楷体_GB2312" w:cs="楷体_GB2312"/>
          <w:b/>
          <w:color w:val="auto"/>
          <w:kern w:val="2"/>
          <w:sz w:val="32"/>
          <w:szCs w:val="24"/>
          <w:highlight w:val="none"/>
          <w:lang w:val="en-US" w:eastAsia="zh-CN" w:bidi="ar-SA"/>
        </w:rPr>
        <w:fldChar w:fldCharType="begin"/>
      </w:r>
      <w:r>
        <w:rPr>
          <w:rFonts w:hint="eastAsia" w:ascii="楷体_GB2312" w:hAnsi="楷体_GB2312" w:eastAsia="楷体_GB2312" w:cs="楷体_GB2312"/>
          <w:b/>
          <w:color w:val="auto"/>
          <w:kern w:val="2"/>
          <w:sz w:val="32"/>
          <w:szCs w:val="24"/>
          <w:highlight w:val="none"/>
          <w:lang w:val="en-US" w:eastAsia="zh-CN" w:bidi="ar-SA"/>
        </w:rPr>
        <w:instrText xml:space="preserve"> HYPERLINK \l _Toc14927 </w:instrText>
      </w:r>
      <w:r>
        <w:rPr>
          <w:rFonts w:hint="eastAsia" w:ascii="楷体_GB2312" w:hAnsi="楷体_GB2312" w:eastAsia="楷体_GB2312" w:cs="楷体_GB2312"/>
          <w:b/>
          <w:color w:val="auto"/>
          <w:kern w:val="2"/>
          <w:sz w:val="32"/>
          <w:szCs w:val="24"/>
          <w:highlight w:val="none"/>
          <w:lang w:val="en-US" w:eastAsia="zh-CN" w:bidi="ar-SA"/>
        </w:rPr>
        <w:fldChar w:fldCharType="separate"/>
      </w:r>
      <w:r>
        <w:rPr>
          <w:rFonts w:hint="eastAsia" w:ascii="楷体_GB2312" w:hAnsi="楷体_GB2312" w:eastAsia="楷体_GB2312" w:cs="楷体_GB2312"/>
          <w:b/>
          <w:color w:val="auto"/>
          <w:kern w:val="2"/>
          <w:sz w:val="32"/>
          <w:szCs w:val="24"/>
          <w:highlight w:val="none"/>
          <w:lang w:val="en-US" w:eastAsia="zh-CN" w:bidi="ar-SA"/>
        </w:rPr>
        <w:t>（一）评价目的</w:t>
      </w:r>
      <w:bookmarkEnd w:id="472"/>
      <w:bookmarkEnd w:id="473"/>
      <w:bookmarkEnd w:id="474"/>
      <w:bookmarkEnd w:id="475"/>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val="0"/>
          <w:color w:val="auto"/>
          <w:kern w:val="2"/>
          <w:sz w:val="32"/>
          <w:szCs w:val="32"/>
          <w:highlight w:val="none"/>
          <w:lang w:val="en-US" w:eastAsia="zh-CN" w:bidi="ar-SA"/>
        </w:rPr>
      </w:pPr>
      <w:r>
        <w:rPr>
          <w:rFonts w:hint="eastAsia" w:ascii="楷体_GB2312" w:hAnsi="楷体_GB2312" w:eastAsia="楷体_GB2312" w:cs="楷体_GB2312"/>
          <w:color w:val="auto"/>
          <w:highlight w:val="none"/>
          <w:lang w:val="en-US" w:eastAsia="zh-CN"/>
        </w:rPr>
        <w:fldChar w:fldCharType="end"/>
      </w:r>
      <w:r>
        <w:rPr>
          <w:rFonts w:hint="eastAsia" w:ascii="仿宋_GB2312" w:hAnsi="仿宋_GB2312" w:eastAsia="仿宋_GB2312" w:cs="仿宋_GB2312"/>
          <w:b w:val="0"/>
          <w:color w:val="auto"/>
          <w:kern w:val="2"/>
          <w:sz w:val="32"/>
          <w:szCs w:val="32"/>
          <w:highlight w:val="none"/>
          <w:lang w:val="en-US" w:eastAsia="zh-CN" w:bidi="ar-SA"/>
        </w:rPr>
        <w:t>本次绩效评价工作以结果为导向，采用绩效评价方法，运用量化指标从项目决策、项目管理、项目产出、项目效果四个维度对城中区福禄巷南社区老年日间照料中心装修及设备购置项目的实施效果进行综合评价，全面反映财政资金支出效率和使用效益。同时，针对项目实施过程中存在的问题和不足，提出改进意见或建议，以提高财政资金使用及管理水平，全面推进建立“预算编制有目标、预算执行有监控、预算完成有评价、评价结果有反馈、反馈结果有应用”的预算绩效管理新机制。</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 w:hAnsi="楷体" w:eastAsia="楷体" w:cs="楷体"/>
          <w:b/>
          <w:color w:val="auto"/>
          <w:kern w:val="2"/>
          <w:sz w:val="32"/>
          <w:szCs w:val="24"/>
          <w:highlight w:val="none"/>
          <w:lang w:val="en-US" w:eastAsia="zh-CN" w:bidi="ar-SA"/>
        </w:rPr>
      </w:pPr>
      <w:bookmarkStart w:id="476" w:name="_Toc31372"/>
      <w:bookmarkStart w:id="477" w:name="_Toc23300"/>
      <w:bookmarkStart w:id="478" w:name="_Toc20888"/>
      <w:bookmarkStart w:id="479" w:name="_Toc22219"/>
      <w:r>
        <w:rPr>
          <w:rFonts w:hint="eastAsia" w:ascii="楷体_GB2312" w:hAnsi="楷体_GB2312" w:eastAsia="楷体_GB2312" w:cs="楷体_GB2312"/>
          <w:b/>
          <w:color w:val="auto"/>
          <w:kern w:val="2"/>
          <w:sz w:val="32"/>
          <w:szCs w:val="24"/>
          <w:highlight w:val="none"/>
          <w:lang w:val="en-US" w:eastAsia="zh-CN" w:bidi="ar-SA"/>
        </w:rPr>
        <w:fldChar w:fldCharType="begin"/>
      </w:r>
      <w:r>
        <w:rPr>
          <w:rFonts w:hint="eastAsia" w:ascii="楷体_GB2312" w:hAnsi="楷体_GB2312" w:eastAsia="楷体_GB2312" w:cs="楷体_GB2312"/>
          <w:b/>
          <w:color w:val="auto"/>
          <w:kern w:val="2"/>
          <w:sz w:val="32"/>
          <w:szCs w:val="24"/>
          <w:highlight w:val="none"/>
          <w:lang w:val="en-US" w:eastAsia="zh-CN" w:bidi="ar-SA"/>
        </w:rPr>
        <w:instrText xml:space="preserve"> HYPERLINK \l _Toc22735 </w:instrText>
      </w:r>
      <w:r>
        <w:rPr>
          <w:rFonts w:hint="eastAsia" w:ascii="楷体_GB2312" w:hAnsi="楷体_GB2312" w:eastAsia="楷体_GB2312" w:cs="楷体_GB2312"/>
          <w:b/>
          <w:color w:val="auto"/>
          <w:kern w:val="2"/>
          <w:sz w:val="32"/>
          <w:szCs w:val="24"/>
          <w:highlight w:val="none"/>
          <w:lang w:val="en-US" w:eastAsia="zh-CN" w:bidi="ar-SA"/>
        </w:rPr>
        <w:fldChar w:fldCharType="separate"/>
      </w:r>
      <w:r>
        <w:rPr>
          <w:rFonts w:hint="eastAsia" w:ascii="楷体_GB2312" w:hAnsi="楷体_GB2312" w:eastAsia="楷体_GB2312" w:cs="楷体_GB2312"/>
          <w:b/>
          <w:color w:val="auto"/>
          <w:kern w:val="2"/>
          <w:sz w:val="32"/>
          <w:szCs w:val="24"/>
          <w:highlight w:val="none"/>
          <w:lang w:val="en-US" w:eastAsia="zh-CN" w:bidi="ar-SA"/>
        </w:rPr>
        <w:t>（二）评价对象</w:t>
      </w:r>
      <w:r>
        <w:rPr>
          <w:rFonts w:hint="eastAsia" w:ascii="楷体_GB2312" w:hAnsi="楷体_GB2312" w:eastAsia="楷体_GB2312" w:cs="楷体_GB2312"/>
          <w:b/>
          <w:color w:val="auto"/>
          <w:kern w:val="2"/>
          <w:sz w:val="32"/>
          <w:szCs w:val="24"/>
          <w:highlight w:val="none"/>
          <w:lang w:val="en-US" w:eastAsia="zh-CN" w:bidi="ar-SA"/>
        </w:rPr>
        <w:fldChar w:fldCharType="end"/>
      </w:r>
      <w:r>
        <w:rPr>
          <w:rFonts w:hint="eastAsia" w:ascii="楷体_GB2312" w:hAnsi="楷体_GB2312" w:eastAsia="楷体_GB2312" w:cs="楷体_GB2312"/>
          <w:b/>
          <w:color w:val="auto"/>
          <w:kern w:val="2"/>
          <w:sz w:val="32"/>
          <w:szCs w:val="24"/>
          <w:highlight w:val="none"/>
          <w:lang w:val="en-US" w:eastAsia="zh-CN" w:bidi="ar-SA"/>
        </w:rPr>
        <w:t>和范围</w:t>
      </w:r>
      <w:bookmarkEnd w:id="476"/>
      <w:bookmarkEnd w:id="477"/>
      <w:bookmarkEnd w:id="478"/>
      <w:bookmarkEnd w:id="479"/>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本次绩效评价对象为城中区福禄巷南社区老年日间照料中心装修及设备购置项目区级配套财政资金</w:t>
      </w:r>
      <w:r>
        <w:rPr>
          <w:rFonts w:hint="eastAsia" w:ascii="Times New Roman" w:hAnsi="Times New Roman" w:eastAsia="仿宋_GB2312" w:cs="Times New Roman"/>
          <w:b w:val="0"/>
          <w:bCs w:val="0"/>
          <w:color w:val="auto"/>
          <w:kern w:val="2"/>
          <w:sz w:val="32"/>
          <w:szCs w:val="32"/>
          <w:highlight w:val="none"/>
          <w:lang w:val="en-US" w:eastAsia="zh-CN" w:bidi="ar-SA"/>
        </w:rPr>
        <w:t>186.66万元</w:t>
      </w:r>
      <w:bookmarkStart w:id="480" w:name="_Toc14749"/>
      <w:r>
        <w:rPr>
          <w:rFonts w:hint="eastAsia" w:ascii="仿宋_GB2312" w:hAnsi="仿宋_GB2312" w:eastAsia="仿宋_GB2312" w:cs="仿宋_GB2312"/>
          <w:b w:val="0"/>
          <w:bCs w:val="0"/>
          <w:color w:val="auto"/>
          <w:sz w:val="32"/>
          <w:szCs w:val="32"/>
          <w:highlight w:val="none"/>
          <w:lang w:val="en-US" w:eastAsia="zh-CN"/>
        </w:rPr>
        <w:t>，绩效评价范围主要是社区辖区居民群众和服务对象。</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481" w:name="_Toc23020"/>
      <w:bookmarkStart w:id="482" w:name="_Toc23861"/>
      <w:bookmarkStart w:id="483" w:name="_Toc4861"/>
      <w:r>
        <w:rPr>
          <w:rFonts w:hint="eastAsia" w:ascii="楷体_GB2312" w:hAnsi="楷体_GB2312" w:eastAsia="楷体_GB2312" w:cs="楷体_GB2312"/>
          <w:b/>
          <w:color w:val="auto"/>
          <w:kern w:val="2"/>
          <w:sz w:val="32"/>
          <w:szCs w:val="24"/>
          <w:highlight w:val="none"/>
          <w:lang w:val="en-US" w:eastAsia="zh-CN" w:bidi="ar-SA"/>
        </w:rPr>
        <w:t>（三）评价依据</w:t>
      </w:r>
      <w:bookmarkEnd w:id="480"/>
      <w:bookmarkEnd w:id="481"/>
      <w:bookmarkEnd w:id="482"/>
      <w:bookmarkEnd w:id="483"/>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1.《中华人民共和国预算法》；</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2.《中华人民共和国政府采购法》；</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3.《</w:t>
      </w:r>
      <w:r>
        <w:rPr>
          <w:rFonts w:hint="eastAsia" w:cs="Times New Roman"/>
          <w:color w:val="auto"/>
          <w:highlight w:val="none"/>
        </w:rPr>
        <w:t>中共中央</w:t>
      </w:r>
      <w:r>
        <w:rPr>
          <w:rFonts w:hint="eastAsia" w:cs="Times New Roman"/>
          <w:color w:val="auto"/>
          <w:highlight w:val="none"/>
          <w:lang w:val="en-US" w:eastAsia="zh-CN"/>
        </w:rPr>
        <w:t xml:space="preserve"> </w:t>
      </w:r>
      <w:r>
        <w:rPr>
          <w:rFonts w:hint="eastAsia" w:cs="Times New Roman"/>
          <w:color w:val="auto"/>
          <w:highlight w:val="none"/>
        </w:rPr>
        <w:t>国务院关于全面实施预算绩效管理的意见》（中发</w:t>
      </w:r>
      <w:r>
        <w:rPr>
          <w:rFonts w:hint="eastAsia" w:ascii="Times New Roman" w:hAnsi="Times New Roman" w:eastAsia="仿宋_GB2312" w:cs="Times New Roman"/>
          <w:b w:val="0"/>
          <w:bCs w:val="0"/>
          <w:color w:val="auto"/>
          <w:kern w:val="2"/>
          <w:sz w:val="32"/>
          <w:szCs w:val="32"/>
          <w:highlight w:val="none"/>
          <w:lang w:val="en-US" w:eastAsia="zh-CN" w:bidi="ar-SA"/>
        </w:rPr>
        <w:t>〔2018〕34号）；</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4.《关于贯彻落实&lt;中共中央 国务院关于全面实施预算绩效管理的意见&gt;的通知》（财预〔2018〕167号）；</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5.《中共甘肃省委 甘肃省人民政府关于全面实施预算绩效管理的实施意见》（甘发〔2018〕32号）；</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6.《财政部关于印发&lt;项目支出绩效评价管理办法&gt;的通知》（财预〔2020〕10号）；</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7.《甘肃省省级预算绩效管理办法等6个办法和规程》（甘财绩〔2020〕5号）；</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8.《西宁市民政局关于下达社区老年日间照料中心项目建设任务的通知》（宁民政〔2017〕203号）；</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highlight w:val="none"/>
          <w:lang w:val="en-US" w:eastAsia="zh-CN"/>
        </w:rPr>
      </w:pPr>
      <w:r>
        <w:rPr>
          <w:rFonts w:hint="eastAsia" w:ascii="Times New Roman" w:hAnsi="Times New Roman" w:eastAsia="仿宋_GB2312" w:cs="Times New Roman"/>
          <w:b w:val="0"/>
          <w:bCs w:val="0"/>
          <w:color w:val="auto"/>
          <w:kern w:val="2"/>
          <w:sz w:val="32"/>
          <w:szCs w:val="32"/>
          <w:highlight w:val="none"/>
          <w:lang w:val="en-US" w:eastAsia="zh-CN" w:bidi="ar-SA"/>
        </w:rPr>
        <w:t>9.《</w:t>
      </w:r>
      <w:r>
        <w:rPr>
          <w:rFonts w:hint="eastAsia" w:cs="Times New Roman"/>
          <w:color w:val="auto"/>
          <w:highlight w:val="none"/>
          <w:lang w:val="en-US" w:eastAsia="zh-CN"/>
        </w:rPr>
        <w:t>西宁市</w:t>
      </w:r>
      <w:r>
        <w:rPr>
          <w:rFonts w:hint="eastAsia" w:cs="仿宋_GB2312"/>
          <w:b w:val="0"/>
          <w:color w:val="auto"/>
          <w:kern w:val="2"/>
          <w:sz w:val="32"/>
          <w:szCs w:val="32"/>
          <w:highlight w:val="none"/>
          <w:lang w:val="en-US" w:eastAsia="zh-CN" w:bidi="ar-SA"/>
        </w:rPr>
        <w:t>城中区福禄巷南社区老年日间照料中心室内装修项目工程改造实施方案</w:t>
      </w:r>
      <w:r>
        <w:rPr>
          <w:rFonts w:hint="eastAsia" w:cs="Times New Roman"/>
          <w:color w:val="auto"/>
          <w:highlight w:val="none"/>
          <w:lang w:val="en-US" w:eastAsia="zh-CN"/>
        </w:rPr>
        <w:t>》；</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10.《关于城中区福禄巷南社区老年日间照料中心装修及设备购置项目实施方案的报告》（城中民政字〔2020〕137号）；</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11.《关于城中区福禄巷南社区老年日间照料中心装修及设备购置项目实施方案的报告批复》（城中发工信字〔2020〕127号）；</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12.《城中区财政局关于批复2021年区级部门预算的通知》（城中财字〔2021〕025号）；</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13.《城中区民政局党组2021年第6次会议纪要》；</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14.其他项目相关管理制度、财务记账凭证、政府采购合同、竣工验收报告等资料。</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484" w:name="_Toc31076"/>
      <w:bookmarkStart w:id="485" w:name="_Toc16103"/>
      <w:bookmarkStart w:id="486" w:name="_Toc30295"/>
      <w:bookmarkStart w:id="487" w:name="_Toc9445"/>
      <w:r>
        <w:rPr>
          <w:rFonts w:hint="eastAsia" w:ascii="楷体_GB2312" w:hAnsi="楷体_GB2312" w:eastAsia="楷体_GB2312" w:cs="楷体_GB2312"/>
          <w:b/>
          <w:color w:val="auto"/>
          <w:kern w:val="2"/>
          <w:sz w:val="32"/>
          <w:szCs w:val="24"/>
          <w:highlight w:val="none"/>
          <w:lang w:val="en-US" w:eastAsia="zh-CN" w:bidi="ar-SA"/>
        </w:rPr>
        <w:t>（四）评价原则</w:t>
      </w:r>
      <w:bookmarkEnd w:id="484"/>
      <w:bookmarkEnd w:id="485"/>
      <w:bookmarkEnd w:id="486"/>
      <w:bookmarkEnd w:id="487"/>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Times New Roman"/>
          <w:b w:val="0"/>
          <w:color w:val="auto"/>
          <w:kern w:val="2"/>
          <w:sz w:val="32"/>
          <w:szCs w:val="24"/>
          <w:highlight w:val="none"/>
          <w:lang w:val="en-US" w:eastAsia="zh-CN" w:bidi="ar-SA"/>
        </w:rPr>
      </w:pPr>
      <w:r>
        <w:rPr>
          <w:rFonts w:hint="eastAsia" w:ascii="仿宋_GB2312" w:hAnsi="仿宋_GB2312" w:eastAsia="仿宋_GB2312" w:cs="Times New Roman"/>
          <w:b w:val="0"/>
          <w:color w:val="auto"/>
          <w:kern w:val="2"/>
          <w:sz w:val="32"/>
          <w:szCs w:val="24"/>
          <w:highlight w:val="none"/>
          <w:lang w:val="en-US" w:eastAsia="zh-CN" w:bidi="ar-SA"/>
        </w:rPr>
        <w:t>本次绩效评价遵循以下原则：</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Times New Roman"/>
          <w:b/>
          <w:bCs/>
          <w:color w:val="auto"/>
          <w:kern w:val="2"/>
          <w:sz w:val="32"/>
          <w:szCs w:val="24"/>
          <w:highlight w:val="none"/>
          <w:lang w:val="en-US" w:eastAsia="zh-CN" w:bidi="ar-SA"/>
        </w:rPr>
      </w:pPr>
      <w:r>
        <w:rPr>
          <w:rFonts w:hint="eastAsia" w:ascii="仿宋_GB2312" w:hAnsi="仿宋_GB2312" w:eastAsia="仿宋_GB2312" w:cs="Times New Roman"/>
          <w:b/>
          <w:bCs/>
          <w:color w:val="auto"/>
          <w:kern w:val="2"/>
          <w:sz w:val="32"/>
          <w:szCs w:val="24"/>
          <w:highlight w:val="none"/>
          <w:lang w:val="en-US" w:eastAsia="zh-CN" w:bidi="ar-SA"/>
        </w:rPr>
        <w:t>1.科学规范原则</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此次绩效评价运用科学合理的方法，按照规范的程序，对</w:t>
      </w:r>
      <w:r>
        <w:rPr>
          <w:rFonts w:hint="eastAsia" w:ascii="仿宋_GB2312" w:hAnsi="仿宋_GB2312" w:eastAsia="仿宋_GB2312" w:cs="仿宋_GB2312"/>
          <w:b w:val="0"/>
          <w:bCs w:val="0"/>
          <w:color w:val="auto"/>
          <w:sz w:val="32"/>
          <w:szCs w:val="32"/>
          <w:highlight w:val="none"/>
          <w:lang w:val="en-US" w:eastAsia="zh-CN"/>
        </w:rPr>
        <w:t>城中区福禄巷南社区老年日间照料中心装修及设备购置项目财政</w:t>
      </w:r>
      <w:r>
        <w:rPr>
          <w:rFonts w:hint="eastAsia" w:ascii="仿宋_GB2312" w:hAnsi="仿宋_GB2312" w:eastAsia="仿宋_GB2312" w:cs="仿宋_GB2312"/>
          <w:color w:val="auto"/>
          <w:highlight w:val="none"/>
          <w:lang w:val="en-US" w:eastAsia="zh-CN"/>
        </w:rPr>
        <w:t>资金使用情况进行客观、公正的反映。</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2.统筹兼顾原则</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此次绩效评价委托第三方进行，绩效评价结果将报送西宁市城中区财政局作为财政主管单位评价参考依据。</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3.激励约束原则</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此次绩效评价结果与预算安排、政策调整、改进管理实质性挂钩，体现奖优罚劣和激励相容导向，有效要安排、低效要压减、无效要问责。</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4.公开透明原则</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此次绩效评价结果将依法依规公开，并自觉接受社会监督。</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488" w:name="_Toc31009"/>
      <w:bookmarkStart w:id="489" w:name="_Toc29781"/>
      <w:bookmarkStart w:id="490" w:name="_Toc320"/>
      <w:bookmarkStart w:id="491" w:name="_Toc32402"/>
      <w:r>
        <w:rPr>
          <w:rFonts w:hint="eastAsia" w:ascii="楷体_GB2312" w:hAnsi="楷体_GB2312" w:eastAsia="楷体_GB2312" w:cs="楷体_GB2312"/>
          <w:b/>
          <w:color w:val="auto"/>
          <w:kern w:val="2"/>
          <w:sz w:val="32"/>
          <w:szCs w:val="24"/>
          <w:highlight w:val="none"/>
          <w:lang w:val="en-US" w:eastAsia="zh-CN" w:bidi="ar-SA"/>
        </w:rPr>
        <w:t>（五）评价方法</w:t>
      </w:r>
      <w:bookmarkEnd w:id="488"/>
      <w:bookmarkEnd w:id="489"/>
      <w:bookmarkEnd w:id="490"/>
      <w:bookmarkEnd w:id="491"/>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cs="Times New Roman"/>
          <w:color w:val="auto"/>
          <w:highlight w:val="none"/>
          <w:lang w:val="en-US" w:eastAsia="zh-CN"/>
        </w:rPr>
      </w:pPr>
      <w:r>
        <w:rPr>
          <w:rFonts w:hint="eastAsia" w:cs="Times New Roman"/>
          <w:b/>
          <w:bCs/>
          <w:color w:val="auto"/>
          <w:highlight w:val="none"/>
          <w:lang w:val="en-US" w:eastAsia="zh-CN"/>
        </w:rPr>
        <w:t>1.比较法</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选用目标比较法，通过对</w:t>
      </w:r>
      <w:r>
        <w:rPr>
          <w:rFonts w:hint="eastAsia" w:ascii="仿宋_GB2312" w:hAnsi="仿宋_GB2312" w:eastAsia="仿宋_GB2312" w:cs="仿宋_GB2312"/>
          <w:b w:val="0"/>
          <w:bCs w:val="0"/>
          <w:color w:val="auto"/>
          <w:sz w:val="32"/>
          <w:szCs w:val="32"/>
          <w:highlight w:val="none"/>
          <w:lang w:val="en-US" w:eastAsia="zh-CN"/>
        </w:rPr>
        <w:t>城中区福禄巷南社区老年日间照料中心装修及设备购置</w:t>
      </w:r>
      <w:r>
        <w:rPr>
          <w:rFonts w:hint="eastAsia" w:ascii="仿宋_GB2312" w:hAnsi="仿宋_GB2312" w:eastAsia="仿宋_GB2312" w:cs="仿宋_GB2312"/>
          <w:color w:val="auto"/>
          <w:highlight w:val="none"/>
          <w:lang w:val="en-US" w:eastAsia="zh-CN"/>
        </w:rPr>
        <w:t>项目的年度绩效目标和实际完成情况进行对比，考虑研究影响目标完成情况的各个因素，采取定量分析与定性分析相结合的方法，综合分析，最后依据分析结果进行绩效评价。</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rPr>
          <w:rFonts w:hint="eastAsia" w:cs="Times New Roman"/>
          <w:color w:val="auto"/>
          <w:highlight w:val="none"/>
          <w:lang w:val="en-US" w:eastAsia="zh-CN"/>
        </w:rPr>
      </w:pPr>
      <w:r>
        <w:rPr>
          <w:rFonts w:hint="eastAsia" w:cs="Times New Roman"/>
          <w:b/>
          <w:bCs/>
          <w:color w:val="auto"/>
          <w:highlight w:val="none"/>
          <w:lang w:val="en-US" w:eastAsia="zh-CN"/>
        </w:rPr>
        <w:t>2.公众评判法</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rPr>
          <w:rFonts w:hint="eastAsia" w:cs="Times New Roman"/>
          <w:color w:val="auto"/>
          <w:highlight w:val="none"/>
          <w:lang w:val="en-US" w:eastAsia="zh-CN"/>
        </w:rPr>
      </w:pPr>
      <w:r>
        <w:rPr>
          <w:rFonts w:hint="eastAsia" w:ascii="仿宋_GB2312" w:hAnsi="仿宋_GB2312" w:eastAsia="仿宋_GB2312" w:cs="仿宋_GB2312"/>
          <w:color w:val="auto"/>
          <w:highlight w:val="none"/>
          <w:lang w:val="en-US" w:eastAsia="zh-CN"/>
        </w:rPr>
        <w:t>通过查阅资料，结合设计的调查问卷，对项目开展调查，了解</w:t>
      </w:r>
      <w:r>
        <w:rPr>
          <w:rFonts w:hint="eastAsia" w:ascii="仿宋_GB2312" w:hAnsi="仿宋_GB2312" w:eastAsia="仿宋_GB2312" w:cs="仿宋_GB2312"/>
          <w:b w:val="0"/>
          <w:bCs w:val="0"/>
          <w:color w:val="auto"/>
          <w:sz w:val="32"/>
          <w:szCs w:val="32"/>
          <w:highlight w:val="none"/>
          <w:lang w:val="en-US" w:eastAsia="zh-CN"/>
        </w:rPr>
        <w:t>城中区福禄巷南社区老年日间照料中心装修及设备购置</w:t>
      </w:r>
      <w:r>
        <w:rPr>
          <w:rFonts w:hint="eastAsia" w:ascii="仿宋_GB2312" w:hAnsi="仿宋_GB2312" w:eastAsia="仿宋_GB2312" w:cs="仿宋_GB2312"/>
          <w:color w:val="auto"/>
          <w:highlight w:val="none"/>
          <w:lang w:val="en-US" w:eastAsia="zh-CN"/>
        </w:rPr>
        <w:t>项目的实施效果，服务对象对项目实施及其效果的认可度和满意度，最终总结分析出受益对</w:t>
      </w:r>
      <w:r>
        <w:rPr>
          <w:rFonts w:hint="eastAsia" w:cs="Times New Roman"/>
          <w:color w:val="auto"/>
          <w:highlight w:val="none"/>
          <w:lang w:val="en-US" w:eastAsia="zh-CN"/>
        </w:rPr>
        <w:t>象的满意程度和项目实施效果。</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492" w:name="_Toc23213"/>
      <w:bookmarkStart w:id="493" w:name="_Toc25539"/>
      <w:bookmarkStart w:id="494" w:name="_Toc2885"/>
      <w:bookmarkStart w:id="495" w:name="_Toc20041"/>
      <w:r>
        <w:rPr>
          <w:rFonts w:hint="eastAsia" w:ascii="楷体_GB2312" w:hAnsi="楷体_GB2312" w:eastAsia="楷体_GB2312" w:cs="楷体_GB2312"/>
          <w:b/>
          <w:color w:val="auto"/>
          <w:kern w:val="2"/>
          <w:sz w:val="32"/>
          <w:szCs w:val="24"/>
          <w:highlight w:val="none"/>
          <w:lang w:val="en-US" w:eastAsia="zh-CN" w:bidi="ar-SA"/>
        </w:rPr>
        <w:t>（六）绩效评价指标体系</w:t>
      </w:r>
      <w:bookmarkEnd w:id="492"/>
      <w:bookmarkEnd w:id="493"/>
      <w:bookmarkEnd w:id="494"/>
      <w:bookmarkEnd w:id="495"/>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rPr>
          <w:rFonts w:cs="Times New Roman"/>
          <w:color w:val="auto"/>
          <w:highlight w:val="none"/>
        </w:rPr>
      </w:pPr>
      <w:r>
        <w:rPr>
          <w:rFonts w:hint="eastAsia" w:cs="Times New Roman"/>
          <w:color w:val="auto"/>
          <w:highlight w:val="none"/>
        </w:rPr>
        <w:t>本次绩效评价指标体系</w:t>
      </w:r>
      <w:r>
        <w:rPr>
          <w:rFonts w:hint="eastAsia" w:cs="Times New Roman"/>
          <w:color w:val="auto"/>
          <w:highlight w:val="none"/>
          <w:lang w:eastAsia="zh-CN"/>
        </w:rPr>
        <w:t>紧紧</w:t>
      </w:r>
      <w:r>
        <w:rPr>
          <w:rFonts w:hint="eastAsia" w:cs="Times New Roman"/>
          <w:color w:val="auto"/>
          <w:highlight w:val="none"/>
        </w:rPr>
        <w:t>围绕项目决策、项目组织管理、资金投入与使用、项目实施进度及目标实现情况等重要内容</w:t>
      </w:r>
      <w:r>
        <w:rPr>
          <w:rFonts w:hint="eastAsia" w:cs="Times New Roman"/>
          <w:color w:val="auto"/>
          <w:highlight w:val="none"/>
          <w:lang w:eastAsia="zh-CN"/>
        </w:rPr>
        <w:t>进行</w:t>
      </w:r>
      <w:r>
        <w:rPr>
          <w:rFonts w:hint="eastAsia" w:cs="Times New Roman"/>
          <w:color w:val="auto"/>
          <w:highlight w:val="none"/>
        </w:rPr>
        <w:t>设计，结合绩效评价方法，从项目决策、过程、产出、效果四个方面对项目实施情况进行综合评价。各项</w:t>
      </w:r>
      <w:r>
        <w:rPr>
          <w:rFonts w:hint="eastAsia" w:hAnsi="Times New Roman" w:cs="Times New Roman"/>
          <w:bCs/>
          <w:color w:val="auto"/>
          <w:szCs w:val="32"/>
          <w:highlight w:val="none"/>
        </w:rPr>
        <w:t>指标权重设计，按照</w:t>
      </w:r>
      <w:r>
        <w:rPr>
          <w:rFonts w:hint="eastAsia" w:cs="Times New Roman"/>
          <w:bCs/>
          <w:color w:val="auto"/>
          <w:szCs w:val="32"/>
          <w:highlight w:val="none"/>
        </w:rPr>
        <w:t>《财政部关于印发</w:t>
      </w:r>
      <w:r>
        <w:rPr>
          <w:rFonts w:hint="eastAsia" w:cs="仿宋_GB2312"/>
          <w:color w:val="auto"/>
          <w:szCs w:val="32"/>
          <w:highlight w:val="none"/>
        </w:rPr>
        <w:t>&lt;</w:t>
      </w:r>
      <w:r>
        <w:rPr>
          <w:rFonts w:hint="eastAsia" w:cs="Times New Roman"/>
          <w:bCs/>
          <w:color w:val="auto"/>
          <w:szCs w:val="32"/>
          <w:highlight w:val="none"/>
        </w:rPr>
        <w:t>项目支出绩效评价管理办法&gt;的通知》（财预</w:t>
      </w:r>
      <w:r>
        <w:rPr>
          <w:rFonts w:hint="eastAsia" w:ascii="Times New Roman" w:hAnsi="Times New Roman" w:eastAsia="仿宋_GB2312" w:cs="Times New Roman"/>
          <w:b w:val="0"/>
          <w:bCs w:val="0"/>
          <w:color w:val="auto"/>
          <w:kern w:val="2"/>
          <w:sz w:val="32"/>
          <w:szCs w:val="32"/>
          <w:highlight w:val="none"/>
          <w:lang w:val="en-US" w:eastAsia="zh-CN" w:bidi="ar-SA"/>
        </w:rPr>
        <w:t>〔2020〕10号）文件中“应当突出结果导向，原则上产出、效益指标权重不低于60%”</w:t>
      </w:r>
      <w:r>
        <w:rPr>
          <w:rFonts w:hint="eastAsia" w:hAnsi="Times New Roman" w:cs="Times New Roman"/>
          <w:bCs/>
          <w:color w:val="auto"/>
          <w:szCs w:val="32"/>
          <w:highlight w:val="none"/>
        </w:rPr>
        <w:t>的要求进行合理赋分。具体评价指标内容如下：</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rPr>
          <w:rFonts w:cs="Times New Roman"/>
          <w:color w:val="auto"/>
          <w:highlight w:val="none"/>
        </w:rPr>
      </w:pPr>
      <w:r>
        <w:rPr>
          <w:rFonts w:hint="eastAsia" w:cs="Times New Roman"/>
          <w:b/>
          <w:bCs/>
          <w:color w:val="auto"/>
          <w:highlight w:val="none"/>
        </w:rPr>
        <w:t>1.决策</w:t>
      </w:r>
      <w:r>
        <w:rPr>
          <w:rFonts w:hint="eastAsia" w:cs="Times New Roman"/>
          <w:color w:val="auto"/>
          <w:highlight w:val="none"/>
        </w:rPr>
        <w:t>：占权重分</w:t>
      </w:r>
      <w:r>
        <w:rPr>
          <w:rFonts w:hint="eastAsia" w:ascii="Times New Roman" w:hAnsi="Times New Roman" w:eastAsia="仿宋_GB2312" w:cs="Times New Roman"/>
          <w:b w:val="0"/>
          <w:bCs w:val="0"/>
          <w:color w:val="auto"/>
          <w:kern w:val="2"/>
          <w:sz w:val="32"/>
          <w:szCs w:val="32"/>
          <w:highlight w:val="none"/>
          <w:lang w:val="en-US" w:eastAsia="zh-CN" w:bidi="ar-SA"/>
        </w:rPr>
        <w:t>12分，</w:t>
      </w:r>
      <w:r>
        <w:rPr>
          <w:rFonts w:hint="eastAsia" w:cs="Times New Roman"/>
          <w:color w:val="auto"/>
          <w:highlight w:val="none"/>
        </w:rPr>
        <w:t>从项目</w:t>
      </w:r>
      <w:r>
        <w:rPr>
          <w:rFonts w:hint="eastAsia" w:cs="Times New Roman"/>
          <w:color w:val="auto"/>
          <w:highlight w:val="none"/>
          <w:lang w:eastAsia="zh-CN"/>
        </w:rPr>
        <w:t>决策</w:t>
      </w:r>
      <w:r>
        <w:rPr>
          <w:rFonts w:hint="eastAsia" w:cs="Times New Roman"/>
          <w:color w:val="auto"/>
          <w:highlight w:val="none"/>
        </w:rPr>
        <w:t>、</w:t>
      </w:r>
      <w:r>
        <w:rPr>
          <w:rFonts w:hint="eastAsia" w:cs="Times New Roman"/>
          <w:color w:val="auto"/>
          <w:highlight w:val="none"/>
          <w:lang w:eastAsia="zh-CN"/>
        </w:rPr>
        <w:t>绩效目标、资金投入三个</w:t>
      </w:r>
      <w:r>
        <w:rPr>
          <w:rFonts w:hint="eastAsia" w:cs="Times New Roman"/>
          <w:color w:val="auto"/>
          <w:highlight w:val="none"/>
        </w:rPr>
        <w:t>方面进行评价分析，主要</w:t>
      </w:r>
      <w:r>
        <w:rPr>
          <w:rFonts w:hint="eastAsia" w:cs="Times New Roman"/>
          <w:color w:val="auto"/>
          <w:highlight w:val="none"/>
          <w:lang w:eastAsia="zh-CN"/>
        </w:rPr>
        <w:t>考核项目立项依据的充分性、项目立项的规范性、绩效目标设定的合理性、绩效指标设定的明确性、预算编制科学性、资金到位率等</w:t>
      </w:r>
      <w:r>
        <w:rPr>
          <w:rFonts w:hint="eastAsia" w:cs="Times New Roman"/>
          <w:color w:val="auto"/>
          <w:highlight w:val="none"/>
        </w:rPr>
        <w:t>。</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rPr>
          <w:rFonts w:cs="Times New Roman"/>
          <w:color w:val="auto"/>
          <w:highlight w:val="none"/>
        </w:rPr>
      </w:pPr>
      <w:r>
        <w:rPr>
          <w:rFonts w:hint="eastAsia" w:cs="Times New Roman"/>
          <w:b/>
          <w:bCs/>
          <w:color w:val="auto"/>
          <w:highlight w:val="none"/>
        </w:rPr>
        <w:t>2.过程：</w:t>
      </w:r>
      <w:r>
        <w:rPr>
          <w:rFonts w:hint="eastAsia" w:cs="Times New Roman"/>
          <w:color w:val="auto"/>
          <w:highlight w:val="none"/>
        </w:rPr>
        <w:t>占权重</w:t>
      </w:r>
      <w:r>
        <w:rPr>
          <w:rFonts w:hint="eastAsia" w:ascii="Times New Roman" w:hAnsi="Times New Roman" w:eastAsia="仿宋_GB2312" w:cs="Times New Roman"/>
          <w:b w:val="0"/>
          <w:bCs w:val="0"/>
          <w:color w:val="auto"/>
          <w:kern w:val="2"/>
          <w:sz w:val="32"/>
          <w:szCs w:val="32"/>
          <w:highlight w:val="none"/>
          <w:lang w:val="en-US" w:eastAsia="zh-CN" w:bidi="ar-SA"/>
        </w:rPr>
        <w:t>分22分</w:t>
      </w:r>
      <w:r>
        <w:rPr>
          <w:rFonts w:hint="eastAsia" w:cs="Times New Roman"/>
          <w:color w:val="auto"/>
          <w:highlight w:val="none"/>
        </w:rPr>
        <w:t>，从</w:t>
      </w:r>
      <w:r>
        <w:rPr>
          <w:rFonts w:hint="eastAsia" w:cs="Times New Roman"/>
          <w:color w:val="auto"/>
          <w:highlight w:val="none"/>
          <w:lang w:eastAsia="zh-CN"/>
        </w:rPr>
        <w:t>项目管理</w:t>
      </w:r>
      <w:r>
        <w:rPr>
          <w:rFonts w:hint="eastAsia" w:cs="Times New Roman"/>
          <w:color w:val="auto"/>
          <w:highlight w:val="none"/>
        </w:rPr>
        <w:t>和</w:t>
      </w:r>
      <w:r>
        <w:rPr>
          <w:rFonts w:hint="eastAsia" w:cs="Times New Roman"/>
          <w:color w:val="auto"/>
          <w:highlight w:val="none"/>
          <w:lang w:eastAsia="zh-CN"/>
        </w:rPr>
        <w:t>资金</w:t>
      </w:r>
      <w:r>
        <w:rPr>
          <w:rFonts w:hint="eastAsia" w:cs="Times New Roman"/>
          <w:color w:val="auto"/>
          <w:highlight w:val="none"/>
        </w:rPr>
        <w:t>管理两个方面进行评价分析，主要</w:t>
      </w:r>
      <w:r>
        <w:rPr>
          <w:rFonts w:hint="eastAsia" w:cs="Times New Roman"/>
          <w:color w:val="auto"/>
          <w:highlight w:val="none"/>
          <w:lang w:eastAsia="zh-CN"/>
        </w:rPr>
        <w:t>考核制度建设、采购招投标、合同管理规、施工管理、工程监理、项目验收、档案管理、资金使用情况及管理制度执行情况等。</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center"/>
        <w:rPr>
          <w:rFonts w:hint="eastAsia" w:ascii="宋体" w:hAnsi="宋体" w:eastAsia="仿宋_GB2312" w:cs="宋体"/>
          <w:color w:val="auto"/>
          <w:kern w:val="0"/>
          <w:sz w:val="24"/>
          <w:highlight w:val="none"/>
          <w:lang w:eastAsia="zh-CN"/>
        </w:rPr>
      </w:pPr>
      <w:r>
        <w:rPr>
          <w:rFonts w:hint="eastAsia" w:cs="Times New Roman"/>
          <w:b/>
          <w:bCs/>
          <w:color w:val="auto"/>
          <w:highlight w:val="none"/>
        </w:rPr>
        <w:t>3.产出：</w:t>
      </w:r>
      <w:r>
        <w:rPr>
          <w:rFonts w:hint="eastAsia" w:cs="Times New Roman"/>
          <w:color w:val="auto"/>
          <w:highlight w:val="none"/>
        </w:rPr>
        <w:t>占权重分</w:t>
      </w:r>
      <w:r>
        <w:rPr>
          <w:rFonts w:hint="eastAsia" w:ascii="Times New Roman" w:hAnsi="Times New Roman" w:eastAsia="仿宋_GB2312" w:cs="Times New Roman"/>
          <w:b w:val="0"/>
          <w:bCs w:val="0"/>
          <w:color w:val="auto"/>
          <w:kern w:val="2"/>
          <w:sz w:val="32"/>
          <w:szCs w:val="32"/>
          <w:highlight w:val="none"/>
          <w:lang w:val="en-US" w:eastAsia="zh-CN" w:bidi="ar-SA"/>
        </w:rPr>
        <w:t>34分，</w:t>
      </w:r>
      <w:r>
        <w:rPr>
          <w:rFonts w:hint="eastAsia" w:cs="Times New Roman"/>
          <w:color w:val="auto"/>
          <w:highlight w:val="none"/>
        </w:rPr>
        <w:t>从产出数量、产出质量、产出时效</w:t>
      </w:r>
      <w:r>
        <w:rPr>
          <w:rFonts w:hint="eastAsia" w:cs="Times New Roman"/>
          <w:color w:val="auto"/>
          <w:highlight w:val="none"/>
          <w:lang w:eastAsia="zh-CN"/>
        </w:rPr>
        <w:t>、成本节约四</w:t>
      </w:r>
      <w:r>
        <w:rPr>
          <w:rFonts w:hint="eastAsia" w:cs="Times New Roman"/>
          <w:color w:val="auto"/>
          <w:highlight w:val="none"/>
        </w:rPr>
        <w:t>个方面进行绩效分析，具体</w:t>
      </w:r>
      <w:r>
        <w:rPr>
          <w:rFonts w:hint="eastAsia" w:cs="Times New Roman"/>
          <w:color w:val="auto"/>
          <w:highlight w:val="none"/>
          <w:lang w:eastAsia="zh-CN"/>
        </w:rPr>
        <w:t>包括室内装修工程完工率、设备购置完成率、装修工程验收合格率、采购设备质量合格率、装修工程完工及时性、设备采购及时性、竣工验收决算及时性、成本节约率等指标。</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eastAsia="仿宋_GB2312" w:cs="Times New Roman"/>
          <w:color w:val="auto"/>
          <w:highlight w:val="none"/>
          <w:lang w:eastAsia="zh-CN"/>
        </w:rPr>
      </w:pPr>
      <w:r>
        <w:rPr>
          <w:rFonts w:hint="eastAsia" w:cs="Times New Roman"/>
          <w:b/>
          <w:bCs/>
          <w:color w:val="auto"/>
          <w:highlight w:val="none"/>
        </w:rPr>
        <w:t>4.效益：</w:t>
      </w:r>
      <w:r>
        <w:rPr>
          <w:rFonts w:hint="eastAsia" w:cs="Times New Roman"/>
          <w:color w:val="auto"/>
          <w:highlight w:val="none"/>
          <w:lang w:eastAsia="zh-CN"/>
        </w:rPr>
        <w:t>占权重</w:t>
      </w:r>
      <w:r>
        <w:rPr>
          <w:rFonts w:hint="eastAsia" w:ascii="Times New Roman" w:hAnsi="Times New Roman" w:eastAsia="仿宋_GB2312" w:cs="Times New Roman"/>
          <w:b w:val="0"/>
          <w:bCs w:val="0"/>
          <w:color w:val="auto"/>
          <w:kern w:val="2"/>
          <w:sz w:val="32"/>
          <w:szCs w:val="32"/>
          <w:highlight w:val="none"/>
          <w:lang w:val="en-US" w:eastAsia="zh-CN" w:bidi="ar-SA"/>
        </w:rPr>
        <w:t>分32分</w:t>
      </w:r>
      <w:r>
        <w:rPr>
          <w:rFonts w:hint="eastAsia" w:cs="Times New Roman"/>
          <w:color w:val="auto"/>
          <w:highlight w:val="none"/>
          <w:lang w:eastAsia="zh-CN"/>
        </w:rPr>
        <w:t>，从社会效益、可持续影响、满意度</w:t>
      </w:r>
      <w:r>
        <w:rPr>
          <w:rFonts w:hint="eastAsia" w:cs="Times New Roman"/>
          <w:color w:val="auto"/>
          <w:highlight w:val="none"/>
          <w:lang w:val="en-US" w:eastAsia="zh-CN"/>
        </w:rPr>
        <w:t>三</w:t>
      </w:r>
      <w:r>
        <w:rPr>
          <w:rFonts w:hint="eastAsia" w:cs="Times New Roman"/>
          <w:color w:val="auto"/>
          <w:highlight w:val="none"/>
          <w:lang w:eastAsia="zh-CN"/>
        </w:rPr>
        <w:t>个方面进行评价分析，主要考核项目实施后在加快社区养老服务基础设施建设、改善社区养老服务条件与环境、增强社区为民服务能力等</w:t>
      </w:r>
      <w:r>
        <w:rPr>
          <w:rFonts w:hint="eastAsia" w:cs="Times New Roman"/>
          <w:color w:val="auto"/>
          <w:highlight w:val="none"/>
          <w:lang w:val="en-US" w:eastAsia="zh-CN"/>
        </w:rPr>
        <w:t>方面产生的</w:t>
      </w:r>
      <w:r>
        <w:rPr>
          <w:rFonts w:hint="eastAsia" w:cs="Times New Roman"/>
          <w:color w:val="auto"/>
          <w:highlight w:val="none"/>
          <w:lang w:eastAsia="zh-CN"/>
        </w:rPr>
        <w:t>社会效益情况，在完善养老服务体系、推进社区综合治理方面产生的可持续影响作用，以及社</w:t>
      </w:r>
      <w:r>
        <w:rPr>
          <w:rFonts w:hint="eastAsia" w:cs="Times New Roman"/>
          <w:color w:val="auto"/>
          <w:highlight w:val="none"/>
          <w:lang w:val="en-US" w:eastAsia="zh-CN"/>
        </w:rPr>
        <w:t>区</w:t>
      </w:r>
      <w:r>
        <w:rPr>
          <w:rFonts w:hint="eastAsia" w:cs="Times New Roman"/>
          <w:color w:val="auto"/>
          <w:highlight w:val="none"/>
          <w:lang w:eastAsia="zh-CN"/>
        </w:rPr>
        <w:t>群众和工作人员对项目</w:t>
      </w:r>
      <w:r>
        <w:rPr>
          <w:rFonts w:hint="eastAsia" w:cs="Times New Roman"/>
          <w:color w:val="auto"/>
          <w:highlight w:val="none"/>
          <w:lang w:val="en-US" w:eastAsia="zh-CN"/>
        </w:rPr>
        <w:t>实施</w:t>
      </w:r>
      <w:r>
        <w:rPr>
          <w:rFonts w:hint="eastAsia" w:cs="Times New Roman"/>
          <w:color w:val="auto"/>
          <w:highlight w:val="none"/>
          <w:lang w:eastAsia="zh-CN"/>
        </w:rPr>
        <w:t>的满意度等。</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496" w:name="_Toc24002"/>
      <w:bookmarkStart w:id="497" w:name="_Toc25141"/>
      <w:bookmarkStart w:id="498" w:name="_Toc9188"/>
      <w:bookmarkStart w:id="499" w:name="_Toc26651"/>
      <w:r>
        <w:rPr>
          <w:rFonts w:hint="eastAsia" w:ascii="楷体_GB2312" w:hAnsi="楷体_GB2312" w:eastAsia="楷体_GB2312" w:cs="楷体_GB2312"/>
          <w:b/>
          <w:color w:val="auto"/>
          <w:kern w:val="2"/>
          <w:sz w:val="32"/>
          <w:szCs w:val="24"/>
          <w:highlight w:val="none"/>
          <w:lang w:val="en-US" w:eastAsia="zh-CN" w:bidi="ar-SA"/>
        </w:rPr>
        <w:t>（七）评价人员组成</w:t>
      </w:r>
      <w:bookmarkEnd w:id="496"/>
      <w:bookmarkEnd w:id="497"/>
      <w:bookmarkEnd w:id="498"/>
      <w:bookmarkEnd w:id="499"/>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Ansi="Calibri" w:cs="黑体"/>
          <w:bCs/>
          <w:color w:val="auto"/>
          <w:szCs w:val="32"/>
          <w:highlight w:val="none"/>
        </w:rPr>
      </w:pPr>
      <w:r>
        <w:rPr>
          <w:rFonts w:hint="eastAsia" w:hAnsi="Calibri" w:cs="黑体"/>
          <w:bCs/>
          <w:color w:val="auto"/>
          <w:highlight w:val="none"/>
        </w:rPr>
        <w:t>为加强对绩效评价工作的组织和管理，绩效评价机构根据此次工作需求，成立</w:t>
      </w:r>
      <w:r>
        <w:rPr>
          <w:rFonts w:hint="eastAsia" w:hAnsi="Calibri" w:cs="黑体"/>
          <w:bCs/>
          <w:color w:val="auto"/>
          <w:highlight w:val="none"/>
          <w:lang w:val="en-US" w:eastAsia="zh-CN"/>
        </w:rPr>
        <w:t>本</w:t>
      </w:r>
      <w:r>
        <w:rPr>
          <w:rFonts w:hint="eastAsia" w:hAnsi="Calibri" w:cs="黑体"/>
          <w:bCs/>
          <w:color w:val="auto"/>
          <w:highlight w:val="none"/>
        </w:rPr>
        <w:t>项目绩效评价工作组，负责项目绩效评价的组织协调、调研访谈及报告撰写等工作。在具体工作开展过程中，</w:t>
      </w:r>
      <w:r>
        <w:rPr>
          <w:rFonts w:hint="eastAsia" w:hAnsi="Calibri" w:cs="黑体"/>
          <w:bCs/>
          <w:color w:val="auto"/>
          <w:szCs w:val="32"/>
          <w:highlight w:val="none"/>
        </w:rPr>
        <w:t>实施人员的构成采取“</w:t>
      </w:r>
      <w:r>
        <w:rPr>
          <w:rFonts w:hint="eastAsia" w:hAnsi="Calibri" w:cs="黑体"/>
          <w:bCs/>
          <w:color w:val="auto"/>
          <w:szCs w:val="32"/>
          <w:highlight w:val="none"/>
          <w:lang w:eastAsia="zh-CN"/>
        </w:rPr>
        <w:t>主评人</w:t>
      </w:r>
      <w:r>
        <w:rPr>
          <w:rFonts w:hint="eastAsia" w:hAnsi="Calibri" w:cs="黑体"/>
          <w:bCs/>
          <w:color w:val="auto"/>
          <w:szCs w:val="32"/>
          <w:highlight w:val="none"/>
          <w:lang w:val="en-US" w:eastAsia="zh-CN"/>
        </w:rPr>
        <w:t>+</w:t>
      </w:r>
      <w:r>
        <w:rPr>
          <w:rFonts w:hint="eastAsia" w:hAnsi="Calibri" w:cs="黑体"/>
          <w:bCs/>
          <w:color w:val="auto"/>
          <w:szCs w:val="32"/>
          <w:highlight w:val="none"/>
        </w:rPr>
        <w:t>项目经理+项目助理”的模式开展。</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Ansi="Calibri" w:cs="黑体"/>
          <w:bCs/>
          <w:color w:val="auto"/>
          <w:highlight w:val="none"/>
        </w:rPr>
      </w:pPr>
      <w:r>
        <w:rPr>
          <w:rFonts w:hint="eastAsia" w:hAnsi="Calibri" w:cs="黑体"/>
          <w:b/>
          <w:color w:val="auto"/>
          <w:highlight w:val="none"/>
          <w:lang w:eastAsia="zh-CN"/>
        </w:rPr>
        <w:t>主评人</w:t>
      </w:r>
      <w:r>
        <w:rPr>
          <w:rFonts w:hint="eastAsia" w:hAnsi="Calibri" w:cs="黑体"/>
          <w:b/>
          <w:color w:val="auto"/>
          <w:highlight w:val="none"/>
        </w:rPr>
        <w:t>：</w:t>
      </w:r>
      <w:r>
        <w:rPr>
          <w:rFonts w:hint="eastAsia" w:hAnsi="Calibri" w:cs="黑体"/>
          <w:bCs/>
          <w:color w:val="auto"/>
          <w:highlight w:val="none"/>
        </w:rPr>
        <w:t>项目绩效评价的总负责人，统筹绩效评价整体工作。</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hAnsi="Calibri" w:cs="黑体"/>
          <w:bCs/>
          <w:color w:val="auto"/>
          <w:highlight w:val="none"/>
          <w:lang w:eastAsia="zh-CN"/>
        </w:rPr>
      </w:pPr>
      <w:r>
        <w:rPr>
          <w:rFonts w:hint="eastAsia" w:hAnsi="Calibri" w:cs="黑体"/>
          <w:b/>
          <w:color w:val="auto"/>
          <w:highlight w:val="none"/>
          <w:lang w:val="en-US" w:eastAsia="zh-CN"/>
        </w:rPr>
        <w:t>项目经理：</w:t>
      </w:r>
      <w:r>
        <w:rPr>
          <w:rFonts w:hint="eastAsia" w:hAnsi="Calibri" w:cs="黑体"/>
          <w:bCs/>
          <w:color w:val="auto"/>
          <w:highlight w:val="none"/>
          <w:lang w:val="en-US" w:eastAsia="zh-CN"/>
        </w:rPr>
        <w:t>主要负责绩</w:t>
      </w:r>
      <w:r>
        <w:rPr>
          <w:rFonts w:hint="eastAsia" w:hAnsi="Calibri" w:cs="黑体"/>
          <w:bCs/>
          <w:color w:val="auto"/>
          <w:highlight w:val="none"/>
        </w:rPr>
        <w:t>效评价前期资料的准备、现场核查工作的安排、</w:t>
      </w:r>
      <w:r>
        <w:rPr>
          <w:rFonts w:hint="eastAsia" w:hAnsi="Calibri" w:cs="黑体"/>
          <w:bCs/>
          <w:color w:val="auto"/>
          <w:highlight w:val="none"/>
          <w:lang w:val="en-US" w:eastAsia="zh-CN"/>
        </w:rPr>
        <w:t>调研项目对接、开展座谈会、资料查阅汇总</w:t>
      </w:r>
      <w:r>
        <w:rPr>
          <w:rFonts w:hint="eastAsia" w:hAnsi="Calibri" w:cs="黑体"/>
          <w:bCs/>
          <w:color w:val="auto"/>
          <w:highlight w:val="none"/>
        </w:rPr>
        <w:t>、数据分析及报告撰写等工作</w:t>
      </w:r>
      <w:r>
        <w:rPr>
          <w:rFonts w:hint="eastAsia" w:hAnsi="Calibri" w:cs="黑体"/>
          <w:bCs/>
          <w:color w:val="auto"/>
          <w:highlight w:val="none"/>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hAnsi="Calibri" w:cs="黑体"/>
          <w:bCs/>
          <w:color w:val="auto"/>
          <w:highlight w:val="none"/>
          <w:lang w:eastAsia="zh-CN"/>
        </w:rPr>
      </w:pPr>
      <w:r>
        <w:rPr>
          <w:rFonts w:hint="eastAsia" w:hAnsi="Calibri" w:cs="黑体"/>
          <w:b/>
          <w:color w:val="auto"/>
          <w:highlight w:val="none"/>
        </w:rPr>
        <w:t>项目助理：</w:t>
      </w:r>
      <w:r>
        <w:rPr>
          <w:rFonts w:hint="eastAsia" w:hAnsi="Calibri" w:cs="黑体"/>
          <w:bCs/>
          <w:color w:val="auto"/>
          <w:highlight w:val="none"/>
        </w:rPr>
        <w:t>负责辅助</w:t>
      </w:r>
      <w:r>
        <w:rPr>
          <w:rFonts w:hint="eastAsia" w:hAnsi="Calibri" w:cs="黑体"/>
          <w:bCs/>
          <w:color w:val="auto"/>
          <w:highlight w:val="none"/>
          <w:lang w:val="en-US" w:eastAsia="zh-CN"/>
        </w:rPr>
        <w:t>主评人和</w:t>
      </w:r>
      <w:r>
        <w:rPr>
          <w:rFonts w:hint="eastAsia" w:hAnsi="Calibri" w:cs="黑体"/>
          <w:bCs/>
          <w:color w:val="auto"/>
          <w:highlight w:val="none"/>
        </w:rPr>
        <w:t>项目经理的工作，</w:t>
      </w:r>
      <w:r>
        <w:rPr>
          <w:rFonts w:hint="eastAsia" w:hAnsi="Calibri" w:cs="黑体"/>
          <w:bCs/>
          <w:color w:val="auto"/>
          <w:highlight w:val="none"/>
          <w:lang w:val="en-US" w:eastAsia="zh-CN"/>
        </w:rPr>
        <w:t>协助完成</w:t>
      </w:r>
      <w:r>
        <w:rPr>
          <w:rFonts w:hint="eastAsia" w:hAnsi="Calibri" w:cs="黑体"/>
          <w:bCs/>
          <w:color w:val="auto"/>
          <w:highlight w:val="none"/>
        </w:rPr>
        <w:t>收集</w:t>
      </w:r>
      <w:r>
        <w:rPr>
          <w:rFonts w:hint="eastAsia" w:hAnsi="Calibri" w:cs="黑体"/>
          <w:bCs/>
          <w:color w:val="auto"/>
          <w:highlight w:val="none"/>
          <w:lang w:eastAsia="zh-CN"/>
        </w:rPr>
        <w:t>核查资料、</w:t>
      </w:r>
      <w:r>
        <w:rPr>
          <w:rFonts w:hint="eastAsia" w:hAnsi="Calibri" w:cs="黑体"/>
          <w:bCs/>
          <w:color w:val="auto"/>
          <w:highlight w:val="none"/>
        </w:rPr>
        <w:t>现场问卷的发放</w:t>
      </w:r>
      <w:r>
        <w:rPr>
          <w:rFonts w:hint="eastAsia" w:hAnsi="Calibri" w:cs="黑体"/>
          <w:bCs/>
          <w:color w:val="auto"/>
          <w:highlight w:val="none"/>
          <w:lang w:eastAsia="zh-CN"/>
        </w:rPr>
        <w:t>、访谈以及拍照取证</w:t>
      </w:r>
      <w:r>
        <w:rPr>
          <w:rFonts w:hint="eastAsia" w:hAnsi="Calibri" w:cs="黑体"/>
          <w:bCs/>
          <w:color w:val="auto"/>
          <w:highlight w:val="none"/>
        </w:rPr>
        <w:t>等基础性工作。具体人员的安排如下</w:t>
      </w:r>
      <w:r>
        <w:rPr>
          <w:rFonts w:hint="eastAsia" w:hAnsi="Calibri" w:cs="黑体"/>
          <w:bCs/>
          <w:color w:val="auto"/>
          <w:highlight w:val="none"/>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表5  西宁市城中区福禄巷南社区老年日间照料中心装修及设备</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lang w:val="en-US" w:eastAsia="zh-CN"/>
        </w:rPr>
        <w:t>购置项目绩效评价人员安排</w:t>
      </w:r>
    </w:p>
    <w:tbl>
      <w:tblPr>
        <w:tblStyle w:val="13"/>
        <w:tblW w:w="524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835"/>
        <w:gridCol w:w="1445"/>
        <w:gridCol w:w="1320"/>
        <w:gridCol w:w="4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545" w:type="pct"/>
            <w:noWrap/>
            <w:vAlign w:val="center"/>
          </w:tcPr>
          <w:p>
            <w:pPr>
              <w:pageBreakBefore w:val="0"/>
              <w:shd w:val="clear" w:color="auto" w:fill="auto"/>
              <w:overflowPunct/>
              <w:topLinePunct w:val="0"/>
              <w:bidi w:val="0"/>
              <w:spacing w:line="576" w:lineRule="exact"/>
              <w:ind w:left="0" w:leftChars="0" w:firstLine="0" w:firstLineChars="0"/>
              <w:jc w:val="center"/>
              <w:rPr>
                <w:rFonts w:ascii="宋体" w:hAnsi="宋体" w:eastAsia="宋体" w:cs="宋体"/>
                <w:b/>
                <w:bCs/>
                <w:color w:val="auto"/>
                <w:sz w:val="24"/>
                <w:highlight w:val="none"/>
              </w:rPr>
            </w:pPr>
            <w:bookmarkStart w:id="500" w:name="_Toc4057"/>
            <w:r>
              <w:rPr>
                <w:rFonts w:hint="eastAsia" w:ascii="宋体" w:hAnsi="宋体" w:eastAsia="宋体" w:cs="宋体"/>
                <w:b/>
                <w:bCs/>
                <w:color w:val="auto"/>
                <w:sz w:val="24"/>
                <w:highlight w:val="none"/>
              </w:rPr>
              <w:t>姓名</w:t>
            </w:r>
          </w:p>
        </w:tc>
        <w:tc>
          <w:tcPr>
            <w:tcW w:w="439" w:type="pct"/>
            <w:noWrap/>
            <w:vAlign w:val="center"/>
          </w:tcPr>
          <w:p>
            <w:pPr>
              <w:pageBreakBefore w:val="0"/>
              <w:shd w:val="clear" w:color="auto" w:fill="auto"/>
              <w:overflowPunct/>
              <w:topLinePunct w:val="0"/>
              <w:bidi w:val="0"/>
              <w:spacing w:line="576" w:lineRule="exact"/>
              <w:ind w:left="0" w:leftChars="0" w:firstLine="0" w:firstLineChars="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学历</w:t>
            </w:r>
          </w:p>
        </w:tc>
        <w:tc>
          <w:tcPr>
            <w:tcW w:w="759"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职称</w:t>
            </w:r>
          </w:p>
        </w:tc>
        <w:tc>
          <w:tcPr>
            <w:tcW w:w="694" w:type="pct"/>
            <w:noWrap/>
            <w:vAlign w:val="center"/>
          </w:tcPr>
          <w:p>
            <w:pPr>
              <w:pageBreakBefore w:val="0"/>
              <w:shd w:val="clear" w:color="auto" w:fill="auto"/>
              <w:overflowPunct/>
              <w:topLinePunct w:val="0"/>
              <w:bidi w:val="0"/>
              <w:spacing w:line="576" w:lineRule="exact"/>
              <w:ind w:left="0" w:leftChars="0" w:firstLine="0" w:firstLineChars="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职位</w:t>
            </w:r>
          </w:p>
        </w:tc>
        <w:tc>
          <w:tcPr>
            <w:tcW w:w="2561" w:type="pct"/>
            <w:noWrap/>
            <w:vAlign w:val="center"/>
          </w:tcPr>
          <w:p>
            <w:pPr>
              <w:pageBreakBefore w:val="0"/>
              <w:shd w:val="clear" w:color="auto" w:fill="auto"/>
              <w:overflowPunct/>
              <w:topLinePunct w:val="0"/>
              <w:bidi w:val="0"/>
              <w:spacing w:line="576" w:lineRule="exact"/>
              <w:ind w:left="0" w:leftChars="0" w:firstLine="0" w:firstLineChars="0"/>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具体</w:t>
            </w:r>
            <w:r>
              <w:rPr>
                <w:rFonts w:hint="eastAsia" w:ascii="宋体" w:hAnsi="宋体" w:eastAsia="宋体" w:cs="宋体"/>
                <w:b/>
                <w:bCs/>
                <w:color w:val="auto"/>
                <w:sz w:val="24"/>
                <w:highlight w:val="none"/>
                <w:lang w:val="en-US" w:eastAsia="zh-CN"/>
              </w:rPr>
              <w:t>工作</w:t>
            </w:r>
            <w:r>
              <w:rPr>
                <w:rFonts w:hint="eastAsia" w:ascii="宋体" w:hAnsi="宋体" w:eastAsia="宋体" w:cs="宋体"/>
                <w:b/>
                <w:bCs/>
                <w:color w:val="auto"/>
                <w:sz w:val="24"/>
                <w:highlight w:val="none"/>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5" w:type="pct"/>
            <w:noWrap/>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王守成</w:t>
            </w:r>
          </w:p>
        </w:tc>
        <w:tc>
          <w:tcPr>
            <w:tcW w:w="439" w:type="pct"/>
            <w:noWrap/>
            <w:vAlign w:val="center"/>
          </w:tcPr>
          <w:p>
            <w:pPr>
              <w:pageBreakBefore w:val="0"/>
              <w:shd w:val="clear" w:color="auto" w:fill="auto"/>
              <w:overflowPunct/>
              <w:topLinePunct w:val="0"/>
              <w:bidi w:val="0"/>
              <w:spacing w:line="576" w:lineRule="exact"/>
              <w:ind w:left="0" w:leftChars="0" w:firstLine="0" w:firstLineChars="0"/>
              <w:jc w:val="center"/>
              <w:rPr>
                <w:rFonts w:ascii="宋体" w:hAnsi="宋体" w:eastAsia="宋体" w:cs="宋体"/>
                <w:color w:val="auto"/>
                <w:sz w:val="24"/>
                <w:highlight w:val="none"/>
              </w:rPr>
            </w:pPr>
            <w:r>
              <w:rPr>
                <w:rFonts w:hint="eastAsia" w:ascii="宋体" w:hAnsi="宋体" w:eastAsia="宋体" w:cs="宋体"/>
                <w:color w:val="auto"/>
                <w:kern w:val="2"/>
                <w:sz w:val="24"/>
                <w:szCs w:val="24"/>
                <w:highlight w:val="none"/>
                <w:lang w:val="en-US" w:eastAsia="zh-CN" w:bidi="ar-SA"/>
              </w:rPr>
              <w:t>本科</w:t>
            </w:r>
          </w:p>
        </w:tc>
        <w:tc>
          <w:tcPr>
            <w:tcW w:w="759"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会计师</w:t>
            </w:r>
          </w:p>
        </w:tc>
        <w:tc>
          <w:tcPr>
            <w:tcW w:w="694"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主评人</w:t>
            </w:r>
          </w:p>
        </w:tc>
        <w:tc>
          <w:tcPr>
            <w:tcW w:w="2561" w:type="pct"/>
            <w:noWrap/>
            <w:vAlign w:val="center"/>
          </w:tcPr>
          <w:p>
            <w:pPr>
              <w:pageBreakBefore w:val="0"/>
              <w:shd w:val="clear" w:color="auto" w:fill="auto"/>
              <w:overflowPunct/>
              <w:topLinePunct w:val="0"/>
              <w:bidi w:val="0"/>
              <w:spacing w:line="576" w:lineRule="exact"/>
              <w:ind w:left="0" w:leftChars="0" w:firstLine="0" w:firstLineChars="0"/>
              <w:jc w:val="center"/>
              <w:rPr>
                <w:rFonts w:ascii="宋体" w:hAnsi="宋体" w:eastAsia="宋体" w:cs="宋体"/>
                <w:color w:val="auto"/>
                <w:sz w:val="24"/>
                <w:highlight w:val="none"/>
              </w:rPr>
            </w:pPr>
            <w:r>
              <w:rPr>
                <w:rFonts w:hint="eastAsia" w:ascii="宋体" w:hAnsi="宋体" w:eastAsia="宋体" w:cs="宋体"/>
                <w:color w:val="auto"/>
                <w:kern w:val="2"/>
                <w:sz w:val="24"/>
                <w:szCs w:val="24"/>
                <w:highlight w:val="none"/>
                <w:lang w:val="en-US" w:eastAsia="zh-CN" w:bidi="ar-SA"/>
              </w:rPr>
              <w:t>统筹绩效评价整体工作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545"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魏巧玲</w:t>
            </w:r>
          </w:p>
        </w:tc>
        <w:tc>
          <w:tcPr>
            <w:tcW w:w="439"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本科</w:t>
            </w:r>
          </w:p>
        </w:tc>
        <w:tc>
          <w:tcPr>
            <w:tcW w:w="759"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中级经济师</w:t>
            </w:r>
          </w:p>
        </w:tc>
        <w:tc>
          <w:tcPr>
            <w:tcW w:w="694"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项目经理</w:t>
            </w:r>
          </w:p>
        </w:tc>
        <w:tc>
          <w:tcPr>
            <w:tcW w:w="2561"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sz w:val="24"/>
                <w:highlight w:val="none"/>
              </w:rPr>
            </w:pPr>
            <w:r>
              <w:rPr>
                <w:rFonts w:hint="eastAsia" w:ascii="宋体" w:hAnsi="宋体" w:eastAsia="宋体" w:cs="宋体"/>
                <w:color w:val="auto"/>
                <w:kern w:val="2"/>
                <w:sz w:val="24"/>
                <w:szCs w:val="24"/>
                <w:highlight w:val="none"/>
                <w:lang w:val="en-US" w:eastAsia="zh-CN" w:bidi="ar-SA"/>
              </w:rPr>
              <w:t>负责项目资料查阅、实地调研、问卷调查、现场访谈、数据分析、撰写报告等工作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545"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狄淑娟</w:t>
            </w:r>
          </w:p>
        </w:tc>
        <w:tc>
          <w:tcPr>
            <w:tcW w:w="439"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本科</w:t>
            </w:r>
          </w:p>
        </w:tc>
        <w:tc>
          <w:tcPr>
            <w:tcW w:w="759"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初级会计师</w:t>
            </w:r>
          </w:p>
        </w:tc>
        <w:tc>
          <w:tcPr>
            <w:tcW w:w="694" w:type="pct"/>
            <w:noWrap/>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项目</w:t>
            </w:r>
            <w:r>
              <w:rPr>
                <w:rFonts w:hint="eastAsia" w:ascii="宋体" w:hAnsi="宋体" w:eastAsia="宋体" w:cs="宋体"/>
                <w:color w:val="auto"/>
                <w:sz w:val="24"/>
                <w:highlight w:val="none"/>
                <w:lang w:eastAsia="zh-CN"/>
              </w:rPr>
              <w:t>助</w:t>
            </w:r>
            <w:r>
              <w:rPr>
                <w:rFonts w:hint="eastAsia" w:ascii="宋体" w:hAnsi="宋体" w:eastAsia="宋体" w:cs="宋体"/>
                <w:color w:val="auto"/>
                <w:sz w:val="24"/>
                <w:highlight w:val="none"/>
              </w:rPr>
              <w:t>理</w:t>
            </w:r>
          </w:p>
        </w:tc>
        <w:tc>
          <w:tcPr>
            <w:tcW w:w="2561" w:type="pct"/>
            <w:noWrap/>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协助</w:t>
            </w:r>
            <w:r>
              <w:rPr>
                <w:rFonts w:hint="eastAsia" w:ascii="宋体" w:hAnsi="宋体" w:eastAsia="宋体" w:cs="宋体"/>
                <w:color w:val="auto"/>
                <w:sz w:val="24"/>
                <w:szCs w:val="24"/>
                <w:highlight w:val="none"/>
                <w:lang w:eastAsia="zh-CN"/>
              </w:rPr>
              <w:t>项目经理</w:t>
            </w:r>
            <w:r>
              <w:rPr>
                <w:rFonts w:hint="eastAsia" w:ascii="宋体" w:hAnsi="宋体" w:eastAsia="宋体" w:cs="宋体"/>
                <w:color w:val="auto"/>
                <w:sz w:val="24"/>
                <w:szCs w:val="24"/>
                <w:highlight w:val="none"/>
              </w:rPr>
              <w:t>查看项目资金下达文件、</w:t>
            </w:r>
            <w:r>
              <w:rPr>
                <w:rFonts w:hint="eastAsia" w:ascii="宋体" w:hAnsi="宋体" w:eastAsia="宋体" w:cs="宋体"/>
                <w:color w:val="auto"/>
                <w:sz w:val="24"/>
                <w:szCs w:val="24"/>
                <w:highlight w:val="none"/>
                <w:lang w:val="en-US" w:eastAsia="zh-CN"/>
              </w:rPr>
              <w:t>资金支出</w:t>
            </w:r>
            <w:r>
              <w:rPr>
                <w:rFonts w:hint="eastAsia" w:ascii="宋体" w:hAnsi="宋体" w:eastAsia="宋体" w:cs="宋体"/>
                <w:color w:val="auto"/>
                <w:sz w:val="24"/>
                <w:szCs w:val="24"/>
                <w:highlight w:val="none"/>
              </w:rPr>
              <w:t>明细账、</w:t>
            </w:r>
            <w:r>
              <w:rPr>
                <w:rFonts w:hint="eastAsia" w:ascii="宋体" w:hAnsi="宋体" w:eastAsia="宋体" w:cs="宋体"/>
                <w:color w:val="auto"/>
                <w:sz w:val="24"/>
                <w:szCs w:val="24"/>
                <w:highlight w:val="none"/>
                <w:lang w:val="en-US" w:eastAsia="zh-CN"/>
              </w:rPr>
              <w:t>会计记账凭证</w:t>
            </w:r>
            <w:r>
              <w:rPr>
                <w:rFonts w:hint="eastAsia" w:ascii="宋体" w:hAnsi="宋体" w:eastAsia="宋体" w:cs="宋体"/>
                <w:color w:val="auto"/>
                <w:sz w:val="24"/>
                <w:szCs w:val="24"/>
                <w:highlight w:val="none"/>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5"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吴雪洁</w:t>
            </w:r>
          </w:p>
        </w:tc>
        <w:tc>
          <w:tcPr>
            <w:tcW w:w="439"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本科</w:t>
            </w:r>
          </w:p>
        </w:tc>
        <w:tc>
          <w:tcPr>
            <w:tcW w:w="759"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初级会计师</w:t>
            </w:r>
          </w:p>
        </w:tc>
        <w:tc>
          <w:tcPr>
            <w:tcW w:w="694"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项目助理</w:t>
            </w:r>
          </w:p>
        </w:tc>
        <w:tc>
          <w:tcPr>
            <w:tcW w:w="2561"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辅助项目经理做好项目资料查阅收集工作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5" w:type="pct"/>
            <w:noWrap/>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张  璐</w:t>
            </w:r>
          </w:p>
        </w:tc>
        <w:tc>
          <w:tcPr>
            <w:tcW w:w="439"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本科</w:t>
            </w:r>
          </w:p>
        </w:tc>
        <w:tc>
          <w:tcPr>
            <w:tcW w:w="759" w:type="pct"/>
            <w:noWrap/>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p>
        </w:tc>
        <w:tc>
          <w:tcPr>
            <w:tcW w:w="694"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项目助理</w:t>
            </w:r>
          </w:p>
        </w:tc>
        <w:tc>
          <w:tcPr>
            <w:tcW w:w="2561" w:type="pct"/>
            <w:noWrap/>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对现场核查</w:t>
            </w:r>
            <w:r>
              <w:rPr>
                <w:rFonts w:hint="eastAsia" w:ascii="宋体" w:hAnsi="宋体" w:eastAsia="宋体" w:cs="宋体"/>
                <w:color w:val="auto"/>
                <w:sz w:val="24"/>
                <w:highlight w:val="none"/>
                <w:lang w:val="en-US" w:eastAsia="zh-CN"/>
              </w:rPr>
              <w:t>情况</w:t>
            </w:r>
            <w:r>
              <w:rPr>
                <w:rFonts w:hint="eastAsia" w:ascii="宋体" w:hAnsi="宋体" w:eastAsia="宋体" w:cs="宋体"/>
                <w:color w:val="auto"/>
                <w:sz w:val="24"/>
                <w:highlight w:val="none"/>
              </w:rPr>
              <w:t>进行拍照取证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5" w:type="pct"/>
            <w:noWrap/>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高  瑞</w:t>
            </w:r>
          </w:p>
        </w:tc>
        <w:tc>
          <w:tcPr>
            <w:tcW w:w="439"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本科</w:t>
            </w:r>
          </w:p>
        </w:tc>
        <w:tc>
          <w:tcPr>
            <w:tcW w:w="759" w:type="pct"/>
            <w:noWrap/>
            <w:vAlign w:val="center"/>
          </w:tcPr>
          <w:p>
            <w:pPr>
              <w:pageBreakBefore w:val="0"/>
              <w:shd w:val="clear" w:color="auto" w:fill="auto"/>
              <w:overflowPunct/>
              <w:topLinePunct w:val="0"/>
              <w:bidi w:val="0"/>
              <w:spacing w:line="576" w:lineRule="exact"/>
              <w:ind w:left="0" w:leftChars="0" w:firstLine="0" w:firstLineChars="0"/>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中级经济师</w:t>
            </w:r>
          </w:p>
        </w:tc>
        <w:tc>
          <w:tcPr>
            <w:tcW w:w="694" w:type="pct"/>
            <w:noWrap/>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质控总监</w:t>
            </w:r>
          </w:p>
        </w:tc>
        <w:tc>
          <w:tcPr>
            <w:tcW w:w="2561" w:type="pct"/>
            <w:noWrap/>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负责审核项目报告，控制报告质量</w:t>
            </w:r>
          </w:p>
        </w:tc>
      </w:tr>
    </w:tbl>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501" w:name="_Toc7109"/>
      <w:bookmarkStart w:id="502" w:name="_Toc20785"/>
      <w:bookmarkStart w:id="503" w:name="_Toc25140"/>
      <w:r>
        <w:rPr>
          <w:rFonts w:hint="eastAsia" w:ascii="楷体_GB2312" w:hAnsi="楷体_GB2312" w:eastAsia="楷体_GB2312" w:cs="楷体_GB2312"/>
          <w:b/>
          <w:color w:val="auto"/>
          <w:kern w:val="2"/>
          <w:sz w:val="32"/>
          <w:szCs w:val="24"/>
          <w:highlight w:val="none"/>
          <w:lang w:val="en-US" w:eastAsia="zh-CN" w:bidi="ar-SA"/>
        </w:rPr>
        <w:t>（八）绩效评价工作过程</w:t>
      </w:r>
      <w:bookmarkEnd w:id="500"/>
      <w:bookmarkEnd w:id="501"/>
      <w:bookmarkEnd w:id="502"/>
      <w:bookmarkEnd w:id="503"/>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eastAsia="仿宋_GB2312" w:cs="Times New Roman"/>
          <w:b/>
          <w:color w:val="auto"/>
          <w:highlight w:val="none"/>
          <w:lang w:val="en-US" w:eastAsia="zh-CN"/>
        </w:rPr>
      </w:pPr>
      <w:r>
        <w:rPr>
          <w:rFonts w:hint="eastAsia" w:cs="Times New Roman"/>
          <w:b/>
          <w:color w:val="auto"/>
          <w:highlight w:val="none"/>
        </w:rPr>
        <w:t>1</w:t>
      </w:r>
      <w:r>
        <w:rPr>
          <w:rFonts w:cs="Times New Roman"/>
          <w:b/>
          <w:color w:val="auto"/>
          <w:highlight w:val="none"/>
        </w:rPr>
        <w:t>.</w:t>
      </w:r>
      <w:r>
        <w:rPr>
          <w:rFonts w:hint="eastAsia" w:cs="Times New Roman"/>
          <w:b/>
          <w:color w:val="auto"/>
          <w:highlight w:val="none"/>
        </w:rPr>
        <w:t>项目</w:t>
      </w:r>
      <w:r>
        <w:rPr>
          <w:rFonts w:hint="eastAsia" w:cs="Times New Roman"/>
          <w:b/>
          <w:color w:val="auto"/>
          <w:highlight w:val="none"/>
          <w:lang w:val="en-US" w:eastAsia="zh-CN"/>
        </w:rPr>
        <w:t>前期准备</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cs="Times New Roman"/>
          <w:bCs/>
          <w:color w:val="auto"/>
          <w:sz w:val="32"/>
          <w:szCs w:val="32"/>
          <w:highlight w:val="none"/>
          <w:lang w:eastAsia="zh-CN"/>
        </w:rPr>
      </w:pPr>
      <w:r>
        <w:rPr>
          <w:rFonts w:hint="eastAsia" w:cs="仿宋_GB2312"/>
          <w:b w:val="0"/>
          <w:bCs w:val="0"/>
          <w:color w:val="auto"/>
          <w:sz w:val="32"/>
          <w:szCs w:val="32"/>
          <w:highlight w:val="none"/>
          <w:lang w:val="en-US" w:eastAsia="zh-CN"/>
        </w:rPr>
        <w:t>项目评价工作组于</w:t>
      </w:r>
      <w:r>
        <w:rPr>
          <w:rFonts w:hint="eastAsia" w:ascii="Times New Roman" w:hAnsi="Times New Roman" w:eastAsia="仿宋_GB2312" w:cs="Times New Roman"/>
          <w:b w:val="0"/>
          <w:bCs w:val="0"/>
          <w:color w:val="auto"/>
          <w:kern w:val="2"/>
          <w:sz w:val="32"/>
          <w:szCs w:val="32"/>
          <w:highlight w:val="none"/>
          <w:lang w:val="en-US" w:eastAsia="zh-CN" w:bidi="ar-SA"/>
        </w:rPr>
        <w:t>11月中</w:t>
      </w:r>
      <w:r>
        <w:rPr>
          <w:rFonts w:hint="eastAsia" w:cs="仿宋_GB2312"/>
          <w:b w:val="0"/>
          <w:bCs w:val="0"/>
          <w:color w:val="auto"/>
          <w:sz w:val="32"/>
          <w:szCs w:val="32"/>
          <w:highlight w:val="none"/>
          <w:lang w:val="en-US" w:eastAsia="zh-CN"/>
        </w:rPr>
        <w:t>上旬重点开展项目现场评价前期准备工作，</w:t>
      </w:r>
      <w:r>
        <w:rPr>
          <w:rFonts w:hint="eastAsia" w:ascii="仿宋_GB2312" w:eastAsia="仿宋_GB2312" w:cs="Times New Roman"/>
          <w:bCs/>
          <w:color w:val="auto"/>
          <w:sz w:val="32"/>
          <w:szCs w:val="32"/>
          <w:highlight w:val="none"/>
        </w:rPr>
        <w:t>在与委托方及项目主管单位充分沟通的基础</w:t>
      </w:r>
      <w:r>
        <w:rPr>
          <w:rFonts w:hint="eastAsia" w:cs="Times New Roman"/>
          <w:bCs/>
          <w:color w:val="auto"/>
          <w:sz w:val="32"/>
          <w:szCs w:val="32"/>
          <w:highlight w:val="none"/>
          <w:lang w:val="en-US" w:eastAsia="zh-CN"/>
        </w:rPr>
        <w:t>上</w:t>
      </w:r>
      <w:r>
        <w:rPr>
          <w:rFonts w:hint="eastAsia" w:ascii="仿宋_GB2312" w:eastAsia="仿宋_GB2312" w:cs="Times New Roman"/>
          <w:bCs/>
          <w:color w:val="auto"/>
          <w:sz w:val="32"/>
          <w:szCs w:val="32"/>
          <w:highlight w:val="none"/>
        </w:rPr>
        <w:t>，结合</w:t>
      </w:r>
      <w:r>
        <w:rPr>
          <w:rFonts w:hint="eastAsia" w:cs="Times New Roman"/>
          <w:bCs/>
          <w:color w:val="auto"/>
          <w:sz w:val="32"/>
          <w:szCs w:val="32"/>
          <w:highlight w:val="none"/>
          <w:lang w:eastAsia="zh-CN"/>
        </w:rPr>
        <w:t>收集的基础资料</w:t>
      </w:r>
      <w:r>
        <w:rPr>
          <w:rFonts w:hint="eastAsia" w:ascii="仿宋_GB2312" w:eastAsia="仿宋_GB2312" w:cs="Times New Roman"/>
          <w:bCs/>
          <w:color w:val="auto"/>
          <w:sz w:val="32"/>
          <w:szCs w:val="32"/>
          <w:highlight w:val="none"/>
        </w:rPr>
        <w:t>，</w:t>
      </w:r>
      <w:r>
        <w:rPr>
          <w:rFonts w:hint="eastAsia" w:cs="Times New Roman"/>
          <w:bCs/>
          <w:color w:val="auto"/>
          <w:sz w:val="32"/>
          <w:szCs w:val="32"/>
          <w:highlight w:val="none"/>
          <w:lang w:eastAsia="zh-CN"/>
        </w:rPr>
        <w:t>制定符合项目特性的</w:t>
      </w:r>
      <w:r>
        <w:rPr>
          <w:rFonts w:hint="eastAsia" w:ascii="仿宋_GB2312" w:eastAsia="仿宋_GB2312" w:cs="Times New Roman"/>
          <w:bCs/>
          <w:color w:val="auto"/>
          <w:sz w:val="32"/>
          <w:szCs w:val="32"/>
          <w:highlight w:val="none"/>
        </w:rPr>
        <w:t>绩效评价指标体系</w:t>
      </w:r>
      <w:r>
        <w:rPr>
          <w:rFonts w:hint="eastAsia" w:cs="Times New Roman"/>
          <w:bCs/>
          <w:color w:val="auto"/>
          <w:sz w:val="32"/>
          <w:szCs w:val="32"/>
          <w:highlight w:val="none"/>
          <w:lang w:eastAsia="zh-CN"/>
        </w:rPr>
        <w:t>、调查问卷、工作底稿以及绩效评价实施方案。</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ascii="仿宋_GB2312" w:hAnsi="仿宋_GB2312" w:eastAsia="仿宋_GB2312" w:cs="仿宋_GB2312"/>
          <w:b/>
          <w:color w:val="auto"/>
          <w:highlight w:val="none"/>
        </w:rPr>
      </w:pPr>
      <w:r>
        <w:rPr>
          <w:rFonts w:hint="eastAsia" w:ascii="仿宋_GB2312" w:hAnsi="仿宋_GB2312" w:eastAsia="仿宋_GB2312" w:cs="仿宋_GB2312"/>
          <w:b/>
          <w:color w:val="auto"/>
          <w:highlight w:val="none"/>
        </w:rPr>
        <w:t>2.项目实地调研</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项目评价组于</w:t>
      </w:r>
      <w:r>
        <w:rPr>
          <w:rFonts w:hint="eastAsia" w:ascii="Times New Roman" w:hAnsi="Times New Roman" w:eastAsia="仿宋_GB2312" w:cs="Times New Roman"/>
          <w:b w:val="0"/>
          <w:bCs w:val="0"/>
          <w:color w:val="auto"/>
          <w:kern w:val="2"/>
          <w:sz w:val="32"/>
          <w:szCs w:val="32"/>
          <w:highlight w:val="none"/>
          <w:lang w:val="en-US" w:eastAsia="zh-CN" w:bidi="ar-SA"/>
        </w:rPr>
        <w:t>11月</w:t>
      </w:r>
      <w:r>
        <w:rPr>
          <w:rFonts w:hint="eastAsia" w:ascii="仿宋_GB2312" w:hAnsi="仿宋_GB2312" w:eastAsia="仿宋_GB2312" w:cs="仿宋_GB2312"/>
          <w:color w:val="auto"/>
          <w:highlight w:val="none"/>
          <w:lang w:val="en-US" w:eastAsia="zh-CN"/>
        </w:rPr>
        <w:t>下旬在项目实施单位西宁市城中区民政局收集项目立项、组织实施、资金使用等资料，并对项目实际产出及效益发挥情况进行现场评价。实地调研查看福禄巷南社区老年日间照料中心室内装修情况，电脑设备、办公家具、厨具及康复仪器等设备购置情况，同时对该中心负责人、</w:t>
      </w:r>
      <w:r>
        <w:rPr>
          <w:rFonts w:hint="eastAsia" w:ascii="仿宋_GB2312" w:hAnsi="仿宋_GB2312" w:eastAsia="仿宋_GB2312" w:cs="仿宋_GB2312"/>
          <w:b w:val="0"/>
          <w:bCs w:val="0"/>
          <w:color w:val="auto"/>
          <w:sz w:val="32"/>
          <w:szCs w:val="32"/>
          <w:highlight w:val="none"/>
          <w:lang w:val="en-US" w:eastAsia="zh-CN"/>
        </w:rPr>
        <w:t>社区辖区居民群众和服务对象开展</w:t>
      </w:r>
      <w:r>
        <w:rPr>
          <w:rFonts w:hint="eastAsia" w:ascii="仿宋_GB2312" w:hAnsi="仿宋_GB2312" w:eastAsia="仿宋_GB2312" w:cs="仿宋_GB2312"/>
          <w:color w:val="auto"/>
          <w:highlight w:val="none"/>
          <w:lang w:val="en-US" w:eastAsia="zh-CN"/>
        </w:rPr>
        <w:t>满意度问卷调查。</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cs="Times New Roman"/>
          <w:b/>
          <w:color w:val="auto"/>
          <w:highlight w:val="none"/>
        </w:rPr>
      </w:pPr>
      <w:r>
        <w:rPr>
          <w:rFonts w:hint="eastAsia" w:cs="Times New Roman"/>
          <w:b/>
          <w:color w:val="auto"/>
          <w:highlight w:val="none"/>
        </w:rPr>
        <w:t>3</w:t>
      </w:r>
      <w:r>
        <w:rPr>
          <w:rFonts w:cs="Times New Roman"/>
          <w:b/>
          <w:color w:val="auto"/>
          <w:highlight w:val="none"/>
        </w:rPr>
        <w:t>.</w:t>
      </w:r>
      <w:r>
        <w:rPr>
          <w:rFonts w:hint="eastAsia" w:cs="Times New Roman"/>
          <w:b/>
          <w:color w:val="auto"/>
          <w:highlight w:val="none"/>
        </w:rPr>
        <w:t>项目绩效打分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cs="Times New Roman"/>
          <w:color w:val="auto"/>
          <w:szCs w:val="32"/>
          <w:highlight w:val="none"/>
        </w:rPr>
      </w:pPr>
      <w:r>
        <w:rPr>
          <w:rFonts w:hint="eastAsia" w:cs="Times New Roman"/>
          <w:color w:val="auto"/>
          <w:highlight w:val="none"/>
        </w:rPr>
        <w:t>项目评价组根据现场收集资料、</w:t>
      </w:r>
      <w:r>
        <w:rPr>
          <w:rFonts w:hint="eastAsia" w:ascii="仿宋_GB2312" w:hAnsi="仿宋_GB2312" w:cs="仿宋_GB2312"/>
          <w:color w:val="auto"/>
          <w:highlight w:val="none"/>
        </w:rPr>
        <w:t>实地</w:t>
      </w:r>
      <w:r>
        <w:rPr>
          <w:rFonts w:hint="eastAsia" w:cs="仿宋_GB2312"/>
          <w:color w:val="auto"/>
          <w:highlight w:val="none"/>
          <w:lang w:val="en-US" w:eastAsia="zh-CN"/>
        </w:rPr>
        <w:t>调研</w:t>
      </w:r>
      <w:r>
        <w:rPr>
          <w:rFonts w:hint="eastAsia" w:ascii="仿宋_GB2312" w:hAnsi="仿宋_GB2312" w:cs="仿宋_GB2312"/>
          <w:color w:val="auto"/>
          <w:highlight w:val="none"/>
        </w:rPr>
        <w:t>、</w:t>
      </w:r>
      <w:r>
        <w:rPr>
          <w:rFonts w:hint="eastAsia" w:cs="仿宋_GB2312"/>
          <w:color w:val="auto"/>
          <w:highlight w:val="none"/>
          <w:lang w:eastAsia="zh-CN"/>
        </w:rPr>
        <w:t>现场访谈、</w:t>
      </w:r>
      <w:r>
        <w:rPr>
          <w:rFonts w:hint="eastAsia" w:ascii="仿宋_GB2312" w:hAnsi="仿宋_GB2312" w:cs="仿宋_GB2312"/>
          <w:color w:val="auto"/>
          <w:highlight w:val="none"/>
        </w:rPr>
        <w:t>问卷调查</w:t>
      </w:r>
      <w:r>
        <w:rPr>
          <w:rFonts w:hint="eastAsia" w:cs="Times New Roman"/>
          <w:color w:val="auto"/>
          <w:highlight w:val="none"/>
        </w:rPr>
        <w:t>等方式了解到的项目实际情况，以及通过整理</w:t>
      </w:r>
      <w:r>
        <w:rPr>
          <w:rFonts w:hint="eastAsia" w:cs="Times New Roman"/>
          <w:color w:val="auto"/>
          <w:highlight w:val="none"/>
          <w:lang w:eastAsia="zh-CN"/>
        </w:rPr>
        <w:t>项目</w:t>
      </w:r>
      <w:r>
        <w:rPr>
          <w:rFonts w:hint="eastAsia" w:cs="Times New Roman"/>
          <w:color w:val="auto"/>
          <w:highlight w:val="none"/>
        </w:rPr>
        <w:t>实施单位关于项目</w:t>
      </w:r>
      <w:r>
        <w:rPr>
          <w:rFonts w:hint="eastAsia" w:cs="Times New Roman"/>
          <w:color w:val="auto"/>
          <w:highlight w:val="none"/>
          <w:lang w:eastAsia="zh-CN"/>
        </w:rPr>
        <w:t>组织</w:t>
      </w:r>
      <w:r>
        <w:rPr>
          <w:rFonts w:hint="eastAsia" w:cs="Times New Roman"/>
          <w:color w:val="auto"/>
          <w:highlight w:val="none"/>
        </w:rPr>
        <w:t>实施</w:t>
      </w:r>
      <w:r>
        <w:rPr>
          <w:rFonts w:hint="eastAsia" w:cs="Times New Roman"/>
          <w:color w:val="auto"/>
          <w:highlight w:val="none"/>
          <w:lang w:eastAsia="zh-CN"/>
        </w:rPr>
        <w:t>、项目</w:t>
      </w:r>
      <w:r>
        <w:rPr>
          <w:rFonts w:hint="eastAsia" w:cs="Times New Roman"/>
          <w:color w:val="auto"/>
          <w:highlight w:val="none"/>
        </w:rPr>
        <w:t>资金</w:t>
      </w:r>
      <w:r>
        <w:rPr>
          <w:rFonts w:hint="eastAsia" w:cs="Times New Roman"/>
          <w:color w:val="auto"/>
          <w:highlight w:val="none"/>
          <w:lang w:eastAsia="zh-CN"/>
        </w:rPr>
        <w:t>使用、项目产出效益等佐证材料，</w:t>
      </w:r>
      <w:r>
        <w:rPr>
          <w:rFonts w:hint="eastAsia" w:cs="Times New Roman"/>
          <w:color w:val="auto"/>
          <w:highlight w:val="none"/>
        </w:rPr>
        <w:t>对照绩效评价指标体系，逐项进行绩效打分</w:t>
      </w:r>
      <w:r>
        <w:rPr>
          <w:rFonts w:hint="eastAsia" w:cs="Times New Roman"/>
          <w:color w:val="auto"/>
          <w:highlight w:val="none"/>
          <w:lang w:eastAsia="zh-CN"/>
        </w:rPr>
        <w:t>，</w:t>
      </w:r>
      <w:r>
        <w:rPr>
          <w:rFonts w:hint="eastAsia" w:cs="Times New Roman"/>
          <w:color w:val="auto"/>
          <w:highlight w:val="none"/>
        </w:rPr>
        <w:t>形成最终评分结果。</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ascii="仿宋_GB2312" w:hAnsi="仿宋_GB2312" w:cs="仿宋_GB2312"/>
          <w:color w:val="auto"/>
          <w:highlight w:val="none"/>
        </w:rPr>
      </w:pPr>
      <w:r>
        <w:rPr>
          <w:rFonts w:hint="eastAsia" w:ascii="仿宋_GB2312" w:hAnsi="仿宋_GB2312" w:cs="仿宋_GB2312"/>
          <w:color w:val="auto"/>
          <w:highlight w:val="none"/>
        </w:rPr>
        <w:t>（1）绩效评分采用打分法，总分设置</w:t>
      </w:r>
      <w:r>
        <w:rPr>
          <w:rFonts w:hint="eastAsia" w:ascii="Times New Roman" w:hAnsi="Times New Roman" w:eastAsia="仿宋_GB2312" w:cs="Times New Roman"/>
          <w:b w:val="0"/>
          <w:bCs w:val="0"/>
          <w:color w:val="auto"/>
          <w:kern w:val="2"/>
          <w:sz w:val="32"/>
          <w:szCs w:val="32"/>
          <w:highlight w:val="none"/>
          <w:lang w:val="en-US" w:eastAsia="zh-CN" w:bidi="ar-SA"/>
        </w:rPr>
        <w:t>100</w:t>
      </w:r>
      <w:r>
        <w:rPr>
          <w:rFonts w:hint="eastAsia" w:ascii="仿宋_GB2312" w:hAnsi="仿宋_GB2312" w:cs="仿宋_GB2312"/>
          <w:color w:val="auto"/>
          <w:highlight w:val="none"/>
        </w:rPr>
        <w:t>分。根据不同评价准则、不同评价问题、各评价指标的重要性，相应赋予不同分值。</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ascii="仿宋_GB2312" w:hAnsi="仿宋_GB2312" w:cs="仿宋_GB2312"/>
          <w:color w:val="auto"/>
          <w:highlight w:val="none"/>
        </w:rPr>
      </w:pPr>
      <w:r>
        <w:rPr>
          <w:rFonts w:hint="eastAsia" w:ascii="仿宋_GB2312" w:hAnsi="仿宋_GB2312" w:cs="仿宋_GB2312"/>
          <w:color w:val="auto"/>
          <w:highlight w:val="none"/>
        </w:rPr>
        <w:t>（2）根据评分标准，达到要求的指标记标准分满分，不能达到标准的按照评分标准进行打分，得分最低为</w:t>
      </w:r>
      <w:r>
        <w:rPr>
          <w:rFonts w:hint="eastAsia" w:ascii="Times New Roman" w:hAnsi="Times New Roman" w:eastAsia="仿宋_GB2312" w:cs="Times New Roman"/>
          <w:b w:val="0"/>
          <w:bCs w:val="0"/>
          <w:color w:val="auto"/>
          <w:kern w:val="2"/>
          <w:sz w:val="32"/>
          <w:szCs w:val="32"/>
          <w:highlight w:val="none"/>
          <w:lang w:val="en-US" w:eastAsia="zh-CN" w:bidi="ar-SA"/>
        </w:rPr>
        <w:t>0分</w:t>
      </w:r>
      <w:r>
        <w:rPr>
          <w:rFonts w:hint="eastAsia" w:ascii="仿宋_GB2312" w:hAnsi="仿宋_GB2312" w:cs="仿宋_GB2312"/>
          <w:color w:val="auto"/>
          <w:highlight w:val="none"/>
        </w:rPr>
        <w:t>。</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仿宋_GB2312" w:hAnsi="仿宋_GB2312" w:cs="仿宋_GB2312"/>
          <w:color w:val="auto"/>
          <w:highlight w:val="none"/>
        </w:rPr>
        <w:t>（3）根据</w:t>
      </w:r>
      <w:r>
        <w:rPr>
          <w:rFonts w:hint="eastAsia" w:cs="仿宋_GB2312"/>
          <w:color w:val="auto"/>
          <w:highlight w:val="none"/>
          <w:lang w:eastAsia="zh-CN"/>
        </w:rPr>
        <w:t>《</w:t>
      </w:r>
      <w:r>
        <w:rPr>
          <w:rFonts w:hint="eastAsia" w:cs="Times New Roman"/>
          <w:bCs/>
          <w:color w:val="auto"/>
          <w:szCs w:val="32"/>
          <w:highlight w:val="none"/>
        </w:rPr>
        <w:t>财政部关于印发</w:t>
      </w:r>
      <w:r>
        <w:rPr>
          <w:rFonts w:hint="eastAsia" w:cs="仿宋_GB2312"/>
          <w:color w:val="auto"/>
          <w:szCs w:val="32"/>
          <w:highlight w:val="none"/>
        </w:rPr>
        <w:t>&lt;</w:t>
      </w:r>
      <w:r>
        <w:rPr>
          <w:rFonts w:hint="eastAsia" w:cs="Times New Roman"/>
          <w:bCs/>
          <w:color w:val="auto"/>
          <w:szCs w:val="32"/>
          <w:highlight w:val="none"/>
        </w:rPr>
        <w:t>项目支出绩效评价管理办法&gt;的通知》（财预</w:t>
      </w:r>
      <w:r>
        <w:rPr>
          <w:rFonts w:hint="eastAsia" w:ascii="Times New Roman" w:hAnsi="Times New Roman" w:eastAsia="仿宋_GB2312" w:cs="Times New Roman"/>
          <w:b w:val="0"/>
          <w:bCs w:val="0"/>
          <w:color w:val="auto"/>
          <w:kern w:val="2"/>
          <w:sz w:val="32"/>
          <w:szCs w:val="32"/>
          <w:highlight w:val="none"/>
          <w:lang w:val="en-US" w:eastAsia="zh-CN" w:bidi="ar-SA"/>
        </w:rPr>
        <w:t>〔2020〕10号）文件，绩效评价结果采用评分和评级相结合的方式，总分设置为100分，等级划分为以下四档：</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优：90分（含）-100分；</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良：80分（含）-90分；</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中：60分（含）-80分；</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 w:val="0"/>
          <w:bCs w:val="0"/>
          <w:color w:val="auto"/>
          <w:kern w:val="2"/>
          <w:sz w:val="32"/>
          <w:szCs w:val="32"/>
          <w:highlight w:val="none"/>
          <w:lang w:val="en-US" w:eastAsia="zh-CN" w:bidi="ar-SA"/>
        </w:rPr>
      </w:pPr>
      <w:r>
        <w:rPr>
          <w:rFonts w:hint="eastAsia" w:ascii="Times New Roman" w:hAnsi="Times New Roman" w:eastAsia="仿宋_GB2312" w:cs="Times New Roman"/>
          <w:b w:val="0"/>
          <w:bCs w:val="0"/>
          <w:color w:val="auto"/>
          <w:kern w:val="2"/>
          <w:sz w:val="32"/>
          <w:szCs w:val="32"/>
          <w:highlight w:val="none"/>
          <w:lang w:val="en-US" w:eastAsia="zh-CN" w:bidi="ar-SA"/>
        </w:rPr>
        <w:t>差：60分以下为差。</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640" w:firstLineChars="200"/>
        <w:textAlignment w:val="auto"/>
        <w:rPr>
          <w:rFonts w:ascii="Times New Roman" w:hAnsi="Times New Roman" w:cs="Times New Roman"/>
          <w:color w:val="auto"/>
          <w:highlight w:val="none"/>
        </w:rPr>
      </w:pPr>
      <w:r>
        <w:rPr>
          <w:rFonts w:hint="eastAsia" w:ascii="仿宋_GB2312" w:hAnsi="仿宋_GB2312" w:cs="仿宋_GB2312"/>
          <w:color w:val="auto"/>
          <w:highlight w:val="none"/>
        </w:rPr>
        <w:t>根据</w:t>
      </w:r>
      <w:r>
        <w:rPr>
          <w:rFonts w:hint="eastAsia" w:cs="仿宋_GB2312"/>
          <w:color w:val="auto"/>
          <w:highlight w:val="none"/>
          <w:lang w:eastAsia="zh-CN"/>
        </w:rPr>
        <w:t>各评价指标得分</w:t>
      </w:r>
      <w:r>
        <w:rPr>
          <w:rFonts w:hint="eastAsia" w:ascii="仿宋_GB2312" w:hAnsi="仿宋_GB2312" w:cs="仿宋_GB2312"/>
          <w:color w:val="auto"/>
          <w:highlight w:val="none"/>
        </w:rPr>
        <w:t>分值</w:t>
      </w:r>
      <w:r>
        <w:rPr>
          <w:rFonts w:hint="eastAsia" w:cs="仿宋_GB2312"/>
          <w:color w:val="auto"/>
          <w:highlight w:val="none"/>
          <w:lang w:eastAsia="zh-CN"/>
        </w:rPr>
        <w:t>的总和</w:t>
      </w:r>
      <w:r>
        <w:rPr>
          <w:rFonts w:hint="eastAsia" w:ascii="仿宋_GB2312" w:hAnsi="仿宋_GB2312" w:cs="仿宋_GB2312"/>
          <w:color w:val="auto"/>
          <w:highlight w:val="none"/>
        </w:rPr>
        <w:t>，确定评价对象最后达到的</w:t>
      </w:r>
      <w:r>
        <w:rPr>
          <w:rFonts w:hint="eastAsia" w:cs="仿宋_GB2312"/>
          <w:color w:val="auto"/>
          <w:highlight w:val="none"/>
          <w:lang w:eastAsia="zh-CN"/>
        </w:rPr>
        <w:t>评价等级</w:t>
      </w:r>
      <w:r>
        <w:rPr>
          <w:rFonts w:hint="eastAsia" w:ascii="仿宋_GB2312" w:hAnsi="仿宋_GB2312" w:cs="仿宋_GB2312"/>
          <w:color w:val="auto"/>
          <w:highlight w:val="none"/>
        </w:rPr>
        <w:t>。</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643"/>
        <w:textAlignment w:val="auto"/>
        <w:rPr>
          <w:rFonts w:cs="Times New Roman"/>
          <w:b/>
          <w:color w:val="auto"/>
          <w:highlight w:val="none"/>
        </w:rPr>
      </w:pPr>
      <w:r>
        <w:rPr>
          <w:rFonts w:hint="eastAsia" w:cs="Times New Roman"/>
          <w:b/>
          <w:color w:val="auto"/>
          <w:highlight w:val="none"/>
        </w:rPr>
        <w:t>4</w:t>
      </w:r>
      <w:r>
        <w:rPr>
          <w:rFonts w:cs="Times New Roman"/>
          <w:b/>
          <w:color w:val="auto"/>
          <w:highlight w:val="none"/>
        </w:rPr>
        <w:t>.</w:t>
      </w:r>
      <w:r>
        <w:rPr>
          <w:rFonts w:hint="eastAsia" w:cs="Times New Roman"/>
          <w:b/>
          <w:color w:val="auto"/>
          <w:highlight w:val="none"/>
        </w:rPr>
        <w:t>撰写评价报告</w:t>
      </w:r>
    </w:p>
    <w:p>
      <w:pPr>
        <w:pageBreakBefore w:val="0"/>
        <w:widowControl w:val="0"/>
        <w:shd w:val="clear" w:color="auto" w:fill="auto"/>
        <w:kinsoku/>
        <w:wordWrap/>
        <w:overflowPunct/>
        <w:topLinePunct w:val="0"/>
        <w:autoSpaceDE/>
        <w:autoSpaceDN/>
        <w:bidi w:val="0"/>
        <w:adjustRightInd w:val="0"/>
        <w:snapToGrid w:val="0"/>
        <w:spacing w:line="576" w:lineRule="exact"/>
        <w:ind w:left="0" w:leftChars="0" w:firstLine="643" w:firstLineChars="200"/>
        <w:jc w:val="both"/>
        <w:textAlignment w:val="auto"/>
        <w:rPr>
          <w:rFonts w:ascii="仿宋_GB2312" w:hAnsi="仿宋_GB2312" w:eastAsia="仿宋_GB2312" w:cs="Times New Roman"/>
          <w:bCs/>
          <w:color w:val="auto"/>
          <w:kern w:val="2"/>
          <w:sz w:val="32"/>
          <w:szCs w:val="32"/>
          <w:highlight w:val="none"/>
          <w:lang w:val="en-US" w:eastAsia="zh-CN" w:bidi="ar-SA"/>
        </w:rPr>
      </w:pPr>
      <w:r>
        <w:rPr>
          <w:rFonts w:hint="eastAsia" w:ascii="仿宋_GB2312" w:hAnsi="仿宋_GB2312" w:eastAsia="仿宋_GB2312" w:cs="Times New Roman"/>
          <w:b/>
          <w:bCs w:val="0"/>
          <w:color w:val="auto"/>
          <w:kern w:val="2"/>
          <w:sz w:val="32"/>
          <w:szCs w:val="32"/>
          <w:highlight w:val="none"/>
          <w:lang w:val="en-US" w:eastAsia="zh-CN" w:bidi="ar-SA"/>
        </w:rPr>
        <w:t>（1）撰写报告初稿。</w:t>
      </w:r>
      <w:r>
        <w:rPr>
          <w:rFonts w:hint="eastAsia" w:ascii="仿宋_GB2312" w:hAnsi="仿宋_GB2312" w:eastAsia="仿宋_GB2312" w:cs="Times New Roman"/>
          <w:bCs/>
          <w:color w:val="auto"/>
          <w:kern w:val="2"/>
          <w:sz w:val="32"/>
          <w:szCs w:val="32"/>
          <w:highlight w:val="none"/>
          <w:lang w:val="en-US" w:eastAsia="zh-CN" w:bidi="ar-SA"/>
        </w:rPr>
        <w:t>根据数据收集、现场调研整理出有参考价值的信息，提炼项目实施亮点，找出存在的问题，并对相关原因进行分析，提出相应的改进意见或建议，按照绩效评价要求和规定的文本格式撰写评价报告初稿。</w:t>
      </w:r>
    </w:p>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643" w:firstLineChars="200"/>
        <w:jc w:val="left"/>
        <w:textAlignment w:val="auto"/>
        <w:rPr>
          <w:rFonts w:hint="eastAsia" w:ascii="仿宋_GB2312" w:hAnsi="仿宋_GB2312" w:eastAsia="仿宋_GB2312" w:cs="Times New Roman"/>
          <w:bCs/>
          <w:color w:val="auto"/>
          <w:kern w:val="2"/>
          <w:sz w:val="32"/>
          <w:szCs w:val="32"/>
          <w:highlight w:val="none"/>
          <w:lang w:val="en-US" w:eastAsia="zh-CN" w:bidi="ar-SA"/>
        </w:rPr>
      </w:pPr>
      <w:r>
        <w:rPr>
          <w:rFonts w:hint="eastAsia" w:ascii="仿宋_GB2312" w:hAnsi="仿宋_GB2312" w:eastAsia="仿宋_GB2312" w:cs="Times New Roman"/>
          <w:b/>
          <w:bCs w:val="0"/>
          <w:color w:val="auto"/>
          <w:kern w:val="2"/>
          <w:sz w:val="32"/>
          <w:szCs w:val="32"/>
          <w:highlight w:val="none"/>
          <w:lang w:val="en-US" w:eastAsia="zh-CN" w:bidi="ar-SA"/>
        </w:rPr>
        <w:t>（2）报告内部质控。</w:t>
      </w:r>
      <w:r>
        <w:rPr>
          <w:rFonts w:hint="eastAsia" w:ascii="仿宋_GB2312" w:hAnsi="仿宋_GB2312" w:eastAsia="仿宋_GB2312" w:cs="Times New Roman"/>
          <w:bCs/>
          <w:color w:val="auto"/>
          <w:kern w:val="2"/>
          <w:sz w:val="32"/>
          <w:szCs w:val="32"/>
          <w:highlight w:val="none"/>
          <w:lang w:val="en-US" w:eastAsia="zh-CN" w:bidi="ar-SA"/>
        </w:rPr>
        <w:t>评价报告初稿撰写完毕后，质控部就评价报告的完整性、合理性、充分性、逻辑性等进行公司内部的报告质控审核，修改完善报告初稿。</w:t>
      </w:r>
    </w:p>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643" w:firstLineChars="200"/>
        <w:jc w:val="left"/>
        <w:textAlignment w:val="auto"/>
        <w:rPr>
          <w:rFonts w:hint="default" w:ascii="仿宋_GB2312" w:hAnsi="仿宋_GB2312" w:eastAsia="仿宋_GB2312" w:cs="Times New Roman"/>
          <w:b w:val="0"/>
          <w:bCs/>
          <w:color w:val="auto"/>
          <w:kern w:val="2"/>
          <w:sz w:val="32"/>
          <w:szCs w:val="32"/>
          <w:highlight w:val="none"/>
          <w:lang w:val="en-US" w:eastAsia="zh-CN" w:bidi="ar-SA"/>
        </w:rPr>
      </w:pPr>
      <w:r>
        <w:rPr>
          <w:rFonts w:hint="eastAsia" w:ascii="仿宋_GB2312" w:hAnsi="仿宋_GB2312" w:eastAsia="仿宋_GB2312" w:cs="Times New Roman"/>
          <w:b/>
          <w:bCs w:val="0"/>
          <w:color w:val="auto"/>
          <w:kern w:val="2"/>
          <w:sz w:val="32"/>
          <w:szCs w:val="32"/>
          <w:highlight w:val="none"/>
          <w:lang w:val="en-US" w:eastAsia="zh-CN" w:bidi="ar-SA"/>
        </w:rPr>
        <w:t>（3）征求单位意见。</w:t>
      </w:r>
      <w:r>
        <w:rPr>
          <w:rFonts w:hint="eastAsia" w:ascii="仿宋_GB2312" w:hAnsi="仿宋_GB2312" w:eastAsia="仿宋_GB2312" w:cs="Times New Roman"/>
          <w:b w:val="0"/>
          <w:bCs/>
          <w:color w:val="auto"/>
          <w:kern w:val="2"/>
          <w:sz w:val="32"/>
          <w:szCs w:val="32"/>
          <w:highlight w:val="none"/>
          <w:lang w:val="en-US" w:eastAsia="zh-CN" w:bidi="ar-SA"/>
        </w:rPr>
        <w:t>将质控审核的报告提交财政部门和项目主管单位，征求其关于报告内容的反馈意见。</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left"/>
        <w:textAlignment w:val="auto"/>
        <w:rPr>
          <w:rFonts w:ascii="仿宋_GB2312" w:hAnsi="仿宋_GB2312" w:eastAsia="仿宋_GB2312" w:cs="Times New Roman"/>
          <w:color w:val="auto"/>
          <w:kern w:val="2"/>
          <w:sz w:val="32"/>
          <w:szCs w:val="32"/>
          <w:highlight w:val="none"/>
          <w:lang w:val="en-US" w:eastAsia="zh-CN" w:bidi="ar-SA"/>
        </w:rPr>
      </w:pPr>
      <w:r>
        <w:rPr>
          <w:rFonts w:hint="eastAsia" w:ascii="仿宋_GB2312" w:hAnsi="仿宋_GB2312" w:eastAsia="仿宋_GB2312" w:cs="Times New Roman"/>
          <w:b/>
          <w:bCs w:val="0"/>
          <w:color w:val="auto"/>
          <w:kern w:val="2"/>
          <w:sz w:val="32"/>
          <w:szCs w:val="32"/>
          <w:highlight w:val="none"/>
          <w:lang w:val="en-US" w:eastAsia="zh-CN" w:bidi="ar-SA"/>
        </w:rPr>
        <w:t>（4）提交报告终稿。</w:t>
      </w:r>
      <w:r>
        <w:rPr>
          <w:rFonts w:hint="eastAsia" w:ascii="仿宋_GB2312" w:hAnsi="仿宋_GB2312" w:eastAsia="仿宋_GB2312" w:cs="Times New Roman"/>
          <w:bCs/>
          <w:color w:val="auto"/>
          <w:kern w:val="2"/>
          <w:sz w:val="32"/>
          <w:szCs w:val="32"/>
          <w:highlight w:val="none"/>
          <w:lang w:val="en-US" w:eastAsia="zh-CN" w:bidi="ar-SA"/>
        </w:rPr>
        <w:t>第三方机构对项目主管单位及财政部门提出的反馈意见逐一核实，并对评价报告中相关内容进行修改和完善，在规定时间内将评价报告终稿提交委托方。</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firstLine="643" w:firstLineChars="200"/>
        <w:jc w:val="both"/>
        <w:textAlignment w:val="auto"/>
        <w:outlineLvl w:val="1"/>
        <w:rPr>
          <w:rFonts w:hint="default" w:ascii="黑体" w:hAnsi="黑体" w:eastAsia="黑体" w:cs="黑体"/>
          <w:b/>
          <w:bCs/>
          <w:color w:val="auto"/>
          <w:kern w:val="44"/>
          <w:sz w:val="32"/>
          <w:szCs w:val="32"/>
          <w:highlight w:val="none"/>
          <w:lang w:val="en-US" w:eastAsia="zh-CN" w:bidi="ar-SA"/>
        </w:rPr>
      </w:pPr>
      <w:bookmarkStart w:id="504" w:name="_Toc13806"/>
      <w:bookmarkStart w:id="505" w:name="_Toc10468"/>
      <w:bookmarkStart w:id="506" w:name="_Toc28299"/>
      <w:bookmarkStart w:id="507" w:name="_Toc16527"/>
      <w:r>
        <w:rPr>
          <w:rFonts w:hint="eastAsia" w:ascii="黑体" w:hAnsi="黑体" w:eastAsia="黑体" w:cs="黑体"/>
          <w:b/>
          <w:bCs/>
          <w:color w:val="auto"/>
          <w:kern w:val="44"/>
          <w:sz w:val="32"/>
          <w:szCs w:val="32"/>
          <w:highlight w:val="none"/>
          <w:lang w:val="en-US" w:eastAsia="zh-CN" w:bidi="ar-SA"/>
        </w:rPr>
        <w:t>四、评价结论及分析</w:t>
      </w:r>
      <w:bookmarkEnd w:id="504"/>
      <w:bookmarkEnd w:id="505"/>
      <w:bookmarkEnd w:id="506"/>
      <w:bookmarkEnd w:id="507"/>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宋体" w:hAnsi="宋体" w:eastAsia="宋体" w:cs="宋体"/>
          <w:b/>
          <w:bCs/>
          <w:color w:val="auto"/>
          <w:sz w:val="28"/>
          <w:szCs w:val="28"/>
          <w:highlight w:val="none"/>
        </w:rPr>
      </w:pPr>
      <w:bookmarkStart w:id="508" w:name="_Toc27297"/>
      <w:bookmarkStart w:id="509" w:name="_Toc31095"/>
      <w:bookmarkStart w:id="510" w:name="_Toc22518"/>
      <w:bookmarkStart w:id="511" w:name="_Toc13318"/>
      <w:r>
        <w:rPr>
          <w:rFonts w:hint="eastAsia" w:ascii="楷体_GB2312" w:hAnsi="楷体_GB2312" w:eastAsia="楷体_GB2312" w:cs="楷体_GB2312"/>
          <w:b/>
          <w:color w:val="auto"/>
          <w:kern w:val="2"/>
          <w:sz w:val="32"/>
          <w:szCs w:val="24"/>
          <w:highlight w:val="none"/>
          <w:lang w:val="en-US" w:eastAsia="zh-CN" w:bidi="ar-SA"/>
        </w:rPr>
        <w:t>（一）评价评分</w:t>
      </w:r>
      <w:bookmarkEnd w:id="508"/>
      <w:bookmarkEnd w:id="509"/>
      <w:bookmarkEnd w:id="510"/>
      <w:bookmarkEnd w:id="511"/>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6</w:t>
      </w:r>
      <w:r>
        <w:rPr>
          <w:rFonts w:hint="eastAsia" w:ascii="宋体" w:hAnsi="宋体" w:eastAsia="宋体" w:cs="宋体"/>
          <w:b/>
          <w:bCs/>
          <w:color w:val="auto"/>
          <w:sz w:val="28"/>
          <w:szCs w:val="28"/>
          <w:highlight w:val="none"/>
        </w:rPr>
        <w:t xml:space="preserve">  </w:t>
      </w:r>
      <w:r>
        <w:rPr>
          <w:rFonts w:hint="eastAsia" w:ascii="宋体" w:hAnsi="宋体" w:eastAsia="宋体" w:cs="宋体"/>
          <w:b/>
          <w:bCs/>
          <w:color w:val="auto"/>
          <w:sz w:val="28"/>
          <w:szCs w:val="28"/>
          <w:highlight w:val="none"/>
          <w:lang w:val="en-US" w:eastAsia="zh-CN"/>
        </w:rPr>
        <w:t>西宁市城中区福禄巷南社区老年日间照料中心装修及设备</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购置项目</w:t>
      </w:r>
      <w:r>
        <w:rPr>
          <w:rFonts w:hint="eastAsia" w:ascii="宋体" w:hAnsi="宋体" w:eastAsia="宋体" w:cs="宋体"/>
          <w:b/>
          <w:bCs/>
          <w:color w:val="auto"/>
          <w:sz w:val="28"/>
          <w:szCs w:val="28"/>
          <w:highlight w:val="none"/>
        </w:rPr>
        <w:t>绩效评价综合评分表</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03"/>
        <w:gridCol w:w="761"/>
        <w:gridCol w:w="1526"/>
        <w:gridCol w:w="820"/>
        <w:gridCol w:w="3086"/>
        <w:gridCol w:w="904"/>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3" w:hRule="exact"/>
          <w:tblHeader/>
          <w:jc w:val="center"/>
        </w:trPr>
        <w:tc>
          <w:tcPr>
            <w:tcW w:w="842"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rPr>
            </w:pPr>
            <w:bookmarkStart w:id="512" w:name="_Toc15763"/>
            <w:r>
              <w:rPr>
                <w:rFonts w:hint="eastAsia" w:ascii="宋体" w:hAnsi="宋体" w:eastAsia="宋体" w:cs="宋体"/>
                <w:b/>
                <w:color w:val="auto"/>
                <w:kern w:val="0"/>
                <w:sz w:val="24"/>
                <w:szCs w:val="24"/>
                <w:highlight w:val="none"/>
              </w:rPr>
              <w:t>一级</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指标</w:t>
            </w:r>
          </w:p>
        </w:tc>
        <w:tc>
          <w:tcPr>
            <w:tcW w:w="710"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分值</w:t>
            </w:r>
          </w:p>
        </w:tc>
        <w:tc>
          <w:tcPr>
            <w:tcW w:w="142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二级指标</w:t>
            </w:r>
          </w:p>
        </w:tc>
        <w:tc>
          <w:tcPr>
            <w:tcW w:w="765"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分值</w:t>
            </w: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三级指标</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分值</w:t>
            </w:r>
          </w:p>
        </w:tc>
        <w:tc>
          <w:tcPr>
            <w:tcW w:w="807"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决策</w:t>
            </w:r>
          </w:p>
        </w:tc>
        <w:tc>
          <w:tcPr>
            <w:tcW w:w="710"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1423"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项目决策</w:t>
            </w:r>
          </w:p>
        </w:tc>
        <w:tc>
          <w:tcPr>
            <w:tcW w:w="765"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立项依据充分性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color w:val="auto"/>
                <w:sz w:val="24"/>
                <w:szCs w:val="24"/>
                <w:highlight w:val="none"/>
                <w:lang w:val="en-US" w:eastAsia="zh-CN"/>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项目申报</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绩效目标</w:t>
            </w: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项目立项规范性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color w:val="auto"/>
                <w:sz w:val="24"/>
                <w:szCs w:val="24"/>
                <w:highlight w:val="none"/>
                <w:lang w:val="en-US" w:eastAsia="zh-CN"/>
              </w:rPr>
            </w:pPr>
          </w:p>
        </w:tc>
        <w:tc>
          <w:tcPr>
            <w:tcW w:w="1423"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绩效目标</w:t>
            </w:r>
          </w:p>
        </w:tc>
        <w:tc>
          <w:tcPr>
            <w:tcW w:w="765"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绩效目标合理性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color w:val="auto"/>
                <w:sz w:val="24"/>
                <w:szCs w:val="24"/>
                <w:highlight w:val="none"/>
                <w:lang w:val="en-US" w:eastAsia="zh-CN"/>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绩效指标明确性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1423"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资金投入</w:t>
            </w:r>
          </w:p>
        </w:tc>
        <w:tc>
          <w:tcPr>
            <w:tcW w:w="765"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预算编制科学性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资金到位率</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过程</w:t>
            </w:r>
          </w:p>
        </w:tc>
        <w:tc>
          <w:tcPr>
            <w:tcW w:w="710"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p>
        </w:tc>
        <w:tc>
          <w:tcPr>
            <w:tcW w:w="1423"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项目管理</w:t>
            </w:r>
          </w:p>
        </w:tc>
        <w:tc>
          <w:tcPr>
            <w:tcW w:w="765"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w:t>
            </w: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管理制度健全性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采购招投标合规性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合同管理规范性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施工管理规范性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监理管理规范性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项目验收规范性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档案管理完整性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资金管理</w:t>
            </w:r>
          </w:p>
        </w:tc>
        <w:tc>
          <w:tcPr>
            <w:tcW w:w="765"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资金支出进度</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资金使用合规性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财务管理</w:t>
            </w:r>
            <w:r>
              <w:rPr>
                <w:rFonts w:hint="eastAsia" w:ascii="宋体" w:hAnsi="宋体" w:eastAsia="宋体" w:cs="宋体"/>
                <w:color w:val="auto"/>
                <w:kern w:val="0"/>
                <w:sz w:val="24"/>
                <w:szCs w:val="24"/>
                <w:highlight w:val="none"/>
                <w:lang w:val="en-US" w:eastAsia="zh-CN"/>
              </w:rPr>
              <w:t>规范性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产出</w:t>
            </w:r>
          </w:p>
        </w:tc>
        <w:tc>
          <w:tcPr>
            <w:tcW w:w="710"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w:t>
            </w:r>
          </w:p>
        </w:tc>
        <w:tc>
          <w:tcPr>
            <w:tcW w:w="1423"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产出数量</w:t>
            </w:r>
          </w:p>
        </w:tc>
        <w:tc>
          <w:tcPr>
            <w:tcW w:w="765"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室内装修工程完工率</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设备购置完成率</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产出质量</w:t>
            </w:r>
          </w:p>
        </w:tc>
        <w:tc>
          <w:tcPr>
            <w:tcW w:w="765"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装修工程验收合格率</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采购设备质量合格率</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产出时效</w:t>
            </w:r>
          </w:p>
        </w:tc>
        <w:tc>
          <w:tcPr>
            <w:tcW w:w="765"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装修工程完工及时性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设备采购及时性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验收、竣工决算及时性</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产出成本</w:t>
            </w:r>
          </w:p>
        </w:tc>
        <w:tc>
          <w:tcPr>
            <w:tcW w:w="765"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rPr>
              <w:t>成本节约率</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07" w:type="dxa"/>
            <w:noWrap w:val="0"/>
            <w:tcMar>
              <w:top w:w="15" w:type="dxa"/>
              <w:left w:w="15" w:type="dxa"/>
              <w:right w:w="15" w:type="dxa"/>
            </w:tcMar>
            <w:vAlign w:val="center"/>
          </w:tcPr>
          <w:p>
            <w:pPr>
              <w:pageBreakBefore w:val="0"/>
              <w:shd w:val="clear" w:color="auto" w:fill="auto"/>
              <w:overflowPunct/>
              <w:topLinePunct w:val="0"/>
              <w:bidi w:val="0"/>
              <w:spacing w:line="576" w:lineRule="exact"/>
              <w:ind w:left="0" w:leftChars="0" w:firstLine="0" w:firstLine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0" w:hRule="exact"/>
          <w:tblHeader/>
          <w:jc w:val="center"/>
        </w:trPr>
        <w:tc>
          <w:tcPr>
            <w:tcW w:w="842"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效益</w:t>
            </w:r>
          </w:p>
        </w:tc>
        <w:tc>
          <w:tcPr>
            <w:tcW w:w="710"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w:t>
            </w:r>
          </w:p>
        </w:tc>
        <w:tc>
          <w:tcPr>
            <w:tcW w:w="1423"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社会效益</w:t>
            </w:r>
          </w:p>
        </w:tc>
        <w:tc>
          <w:tcPr>
            <w:tcW w:w="765"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default" w:ascii="宋体" w:hAnsi="宋体" w:eastAsia="宋体" w:cs="宋体"/>
                <w:color w:val="auto"/>
                <w:kern w:val="0"/>
                <w:sz w:val="24"/>
                <w:szCs w:val="24"/>
                <w:highlight w:val="none"/>
                <w:lang w:val="en-US" w:eastAsia="zh-CN" w:bidi="ar-SA"/>
              </w:rPr>
              <w:t>加快社区养老服务基础</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0"/>
                <w:sz w:val="24"/>
                <w:szCs w:val="24"/>
                <w:highlight w:val="none"/>
                <w:lang w:val="en-US" w:eastAsia="zh-CN" w:bidi="ar-SA"/>
              </w:rPr>
              <w:t>设施建设</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w:t>
            </w:r>
          </w:p>
        </w:tc>
        <w:tc>
          <w:tcPr>
            <w:tcW w:w="807" w:type="dxa"/>
            <w:noWrap w:val="0"/>
            <w:tcMar>
              <w:top w:w="15" w:type="dxa"/>
              <w:left w:w="15" w:type="dxa"/>
              <w:right w:w="15" w:type="dxa"/>
            </w:tcMar>
            <w:vAlign w:val="center"/>
          </w:tcPr>
          <w:p>
            <w:pPr>
              <w:pageBreakBefore w:val="0"/>
              <w:widowControl/>
              <w:shd w:val="clear" w:color="auto" w:fill="auto"/>
              <w:overflowPunct/>
              <w:topLinePunct w:val="0"/>
              <w:bidi w:val="0"/>
              <w:spacing w:line="576" w:lineRule="exact"/>
              <w:ind w:left="0" w:leftChars="0" w:firstLine="0" w:firstLineChars="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6"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改善社区养老服务条件与环境</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5</w:t>
            </w:r>
          </w:p>
        </w:tc>
        <w:tc>
          <w:tcPr>
            <w:tcW w:w="807" w:type="dxa"/>
            <w:noWrap w:val="0"/>
            <w:tcMar>
              <w:top w:w="15" w:type="dxa"/>
              <w:left w:w="15" w:type="dxa"/>
              <w:right w:w="15" w:type="dxa"/>
            </w:tcMar>
            <w:vAlign w:val="center"/>
          </w:tcPr>
          <w:p>
            <w:pPr>
              <w:pageBreakBefore w:val="0"/>
              <w:widowControl/>
              <w:shd w:val="clear" w:color="auto" w:fill="auto"/>
              <w:overflowPunct/>
              <w:topLinePunct w:val="0"/>
              <w:bidi w:val="0"/>
              <w:spacing w:line="576" w:lineRule="exact"/>
              <w:ind w:left="0" w:leftChars="0" w:firstLine="0" w:firstLineChars="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增强社区为民服务能力</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4</w:t>
            </w:r>
          </w:p>
        </w:tc>
        <w:tc>
          <w:tcPr>
            <w:tcW w:w="807" w:type="dxa"/>
            <w:noWrap w:val="0"/>
            <w:tcMar>
              <w:top w:w="15" w:type="dxa"/>
              <w:left w:w="15" w:type="dxa"/>
              <w:right w:w="15" w:type="dxa"/>
            </w:tcMar>
            <w:vAlign w:val="center"/>
          </w:tcPr>
          <w:p>
            <w:pPr>
              <w:pageBreakBefore w:val="0"/>
              <w:widowControl/>
              <w:shd w:val="clear" w:color="auto" w:fill="auto"/>
              <w:overflowPunct/>
              <w:topLinePunct w:val="0"/>
              <w:bidi w:val="0"/>
              <w:spacing w:line="576" w:lineRule="exact"/>
              <w:ind w:left="0" w:leftChars="0" w:firstLine="0" w:firstLineChars="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可持续影响</w:t>
            </w:r>
          </w:p>
        </w:tc>
        <w:tc>
          <w:tcPr>
            <w:tcW w:w="765"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完善养老服务体系</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4</w:t>
            </w:r>
          </w:p>
        </w:tc>
        <w:tc>
          <w:tcPr>
            <w:tcW w:w="807" w:type="dxa"/>
            <w:noWrap w:val="0"/>
            <w:tcMar>
              <w:top w:w="15" w:type="dxa"/>
              <w:left w:w="15" w:type="dxa"/>
              <w:right w:w="15" w:type="dxa"/>
            </w:tcMar>
            <w:vAlign w:val="center"/>
          </w:tcPr>
          <w:p>
            <w:pPr>
              <w:pageBreakBefore w:val="0"/>
              <w:widowControl/>
              <w:shd w:val="clear" w:color="auto" w:fill="auto"/>
              <w:overflowPunct/>
              <w:topLinePunct w:val="0"/>
              <w:bidi w:val="0"/>
              <w:spacing w:line="576" w:lineRule="exact"/>
              <w:ind w:left="0" w:leftChars="0" w:firstLine="0" w:firstLineChars="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推动养老事业发展</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4</w:t>
            </w:r>
          </w:p>
        </w:tc>
        <w:tc>
          <w:tcPr>
            <w:tcW w:w="807" w:type="dxa"/>
            <w:noWrap w:val="0"/>
            <w:tcMar>
              <w:top w:w="15" w:type="dxa"/>
              <w:left w:w="15" w:type="dxa"/>
              <w:right w:w="15" w:type="dxa"/>
            </w:tcMar>
            <w:vAlign w:val="center"/>
          </w:tcPr>
          <w:p>
            <w:pPr>
              <w:pageBreakBefore w:val="0"/>
              <w:widowControl/>
              <w:shd w:val="clear" w:color="auto" w:fill="auto"/>
              <w:overflowPunct/>
              <w:topLinePunct w:val="0"/>
              <w:bidi w:val="0"/>
              <w:spacing w:line="576" w:lineRule="exact"/>
              <w:ind w:left="0" w:leftChars="0" w:firstLine="0" w:firstLineChars="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满意度</w:t>
            </w:r>
          </w:p>
        </w:tc>
        <w:tc>
          <w:tcPr>
            <w:tcW w:w="765" w:type="dxa"/>
            <w:vMerge w:val="restart"/>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社区群众满意度</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07" w:type="dxa"/>
            <w:noWrap w:val="0"/>
            <w:tcMar>
              <w:top w:w="15" w:type="dxa"/>
              <w:left w:w="15" w:type="dxa"/>
              <w:right w:w="15" w:type="dxa"/>
            </w:tcMar>
            <w:vAlign w:val="center"/>
          </w:tcPr>
          <w:p>
            <w:pPr>
              <w:pageBreakBefore w:val="0"/>
              <w:widowControl/>
              <w:shd w:val="clear" w:color="auto" w:fill="auto"/>
              <w:overflowPunct/>
              <w:topLinePunct w:val="0"/>
              <w:bidi w:val="0"/>
              <w:spacing w:line="576" w:lineRule="exact"/>
              <w:ind w:left="0" w:leftChars="0" w:firstLine="0" w:firstLineChars="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842"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710"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0"/>
              <w:jc w:val="center"/>
              <w:rPr>
                <w:rFonts w:hint="eastAsia" w:ascii="宋体" w:hAnsi="宋体" w:eastAsia="宋体" w:cs="宋体"/>
                <w:color w:val="auto"/>
                <w:sz w:val="24"/>
                <w:szCs w:val="24"/>
                <w:highlight w:val="none"/>
              </w:rPr>
            </w:pPr>
          </w:p>
        </w:tc>
        <w:tc>
          <w:tcPr>
            <w:tcW w:w="1423"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p>
        </w:tc>
        <w:tc>
          <w:tcPr>
            <w:tcW w:w="765" w:type="dxa"/>
            <w:vMerge w:val="continue"/>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p>
        </w:tc>
        <w:tc>
          <w:tcPr>
            <w:tcW w:w="2878" w:type="dxa"/>
            <w:noWrap w:val="0"/>
            <w:tcMar>
              <w:top w:w="15" w:type="dxa"/>
              <w:left w:w="15" w:type="dxa"/>
              <w:right w:w="15" w:type="dxa"/>
            </w:tcMar>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工作人员满意度</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7" w:type="dxa"/>
            <w:noWrap w:val="0"/>
            <w:tcMar>
              <w:top w:w="15" w:type="dxa"/>
              <w:left w:w="15" w:type="dxa"/>
              <w:right w:w="15" w:type="dxa"/>
            </w:tcMar>
            <w:vAlign w:val="center"/>
          </w:tcPr>
          <w:p>
            <w:pPr>
              <w:pageBreakBefore w:val="0"/>
              <w:widowControl/>
              <w:shd w:val="clear" w:color="auto" w:fill="auto"/>
              <w:overflowPunct/>
              <w:topLinePunct w:val="0"/>
              <w:bidi w:val="0"/>
              <w:spacing w:line="576" w:lineRule="exact"/>
              <w:ind w:left="0" w:leftChars="0" w:firstLine="0" w:firstLineChars="0"/>
              <w:jc w:val="center"/>
              <w:textAlignment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9" w:hRule="exact"/>
          <w:tblHeader/>
          <w:jc w:val="center"/>
        </w:trPr>
        <w:tc>
          <w:tcPr>
            <w:tcW w:w="6618" w:type="dxa"/>
            <w:gridSpan w:val="5"/>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482"/>
              <w:jc w:val="center"/>
              <w:textAlignment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合计</w:t>
            </w:r>
          </w:p>
        </w:tc>
        <w:tc>
          <w:tcPr>
            <w:tcW w:w="843"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100</w:t>
            </w:r>
          </w:p>
        </w:tc>
        <w:tc>
          <w:tcPr>
            <w:tcW w:w="807" w:type="dxa"/>
            <w:noWrap w:val="0"/>
            <w:tcMar>
              <w:top w:w="15" w:type="dxa"/>
              <w:left w:w="15" w:type="dxa"/>
              <w:right w:w="15" w:type="dxa"/>
            </w:tcMar>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94.33</w:t>
            </w:r>
          </w:p>
        </w:tc>
      </w:tr>
    </w:tbl>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513" w:name="_Toc6929"/>
      <w:bookmarkStart w:id="514" w:name="_Toc9324"/>
      <w:bookmarkStart w:id="515" w:name="_Toc20959"/>
      <w:r>
        <w:rPr>
          <w:rFonts w:hint="eastAsia" w:ascii="楷体_GB2312" w:hAnsi="楷体_GB2312" w:eastAsia="楷体_GB2312" w:cs="楷体_GB2312"/>
          <w:b/>
          <w:color w:val="auto"/>
          <w:kern w:val="2"/>
          <w:sz w:val="32"/>
          <w:szCs w:val="24"/>
          <w:highlight w:val="none"/>
          <w:lang w:val="en-US" w:eastAsia="zh-CN" w:bidi="ar-SA"/>
        </w:rPr>
        <w:t>（二）综合评价情况及评价结论</w:t>
      </w:r>
      <w:bookmarkEnd w:id="512"/>
      <w:bookmarkEnd w:id="513"/>
      <w:bookmarkEnd w:id="514"/>
      <w:bookmarkEnd w:id="515"/>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cs="Times New Roman"/>
          <w:color w:val="auto"/>
          <w:highlight w:val="none"/>
        </w:rPr>
      </w:pPr>
      <w:r>
        <w:rPr>
          <w:rFonts w:hint="eastAsia" w:cs="Times New Roman"/>
          <w:color w:val="auto"/>
          <w:highlight w:val="none"/>
        </w:rPr>
        <w:t>本次项目绩效评价的可靠性是基于</w:t>
      </w:r>
      <w:r>
        <w:rPr>
          <w:rFonts w:hint="eastAsia" w:cs="Times New Roman"/>
          <w:color w:val="auto"/>
          <w:highlight w:val="none"/>
          <w:lang w:val="en-US" w:eastAsia="zh-CN"/>
        </w:rPr>
        <w:t>西宁市城中区</w:t>
      </w:r>
      <w:r>
        <w:rPr>
          <w:rFonts w:hint="eastAsia" w:cs="Times New Roman"/>
          <w:color w:val="auto"/>
          <w:highlight w:val="none"/>
        </w:rPr>
        <w:t>提供佐证材料的全面性和准确性，评价组结合实地调研和问卷调查数据，严格按照绩效评价指标体系，结合实际了解到的项目情况，计算出评价得分</w:t>
      </w:r>
      <w:r>
        <w:rPr>
          <w:rFonts w:hint="eastAsia" w:ascii="Times New Roman" w:hAnsi="Times New Roman" w:eastAsia="仿宋_GB2312" w:cs="Times New Roman"/>
          <w:b w:val="0"/>
          <w:bCs w:val="0"/>
          <w:color w:val="auto"/>
          <w:kern w:val="2"/>
          <w:sz w:val="32"/>
          <w:szCs w:val="32"/>
          <w:highlight w:val="none"/>
          <w:lang w:val="en-US" w:eastAsia="zh-CN" w:bidi="ar-SA"/>
        </w:rPr>
        <w:t>为：94.33分。</w:t>
      </w:r>
      <w:r>
        <w:rPr>
          <w:rFonts w:hint="eastAsia" w:cs="Times New Roman"/>
          <w:color w:val="auto"/>
          <w:highlight w:val="none"/>
        </w:rPr>
        <w:t>根据《财政部关于印发&lt;项目支出绩效评价管理办法&gt;的通知》（财预</w:t>
      </w:r>
      <w:r>
        <w:rPr>
          <w:rFonts w:hint="eastAsia" w:ascii="Times New Roman" w:hAnsi="Times New Roman" w:eastAsia="仿宋_GB2312" w:cs="Times New Roman"/>
          <w:b w:val="0"/>
          <w:bCs w:val="0"/>
          <w:color w:val="auto"/>
          <w:kern w:val="2"/>
          <w:sz w:val="32"/>
          <w:szCs w:val="32"/>
          <w:highlight w:val="none"/>
          <w:lang w:val="en-US" w:eastAsia="zh-CN" w:bidi="ar-SA"/>
        </w:rPr>
        <w:t>〔2020〕10号）文</w:t>
      </w:r>
      <w:r>
        <w:rPr>
          <w:rFonts w:hint="eastAsia" w:cs="Times New Roman"/>
          <w:color w:val="auto"/>
          <w:highlight w:val="none"/>
        </w:rPr>
        <w:t>件，本次项目绩效评价结果等级为：</w:t>
      </w:r>
      <w:r>
        <w:rPr>
          <w:rFonts w:hint="eastAsia" w:cs="Times New Roman"/>
          <w:b/>
          <w:bCs/>
          <w:color w:val="auto"/>
          <w:highlight w:val="none"/>
          <w:lang w:val="en-US" w:eastAsia="zh-CN"/>
        </w:rPr>
        <w:t>优</w:t>
      </w:r>
      <w:r>
        <w:rPr>
          <w:rFonts w:hint="eastAsia" w:cs="Times New Roman"/>
          <w:b/>
          <w:bCs/>
          <w:color w:val="auto"/>
          <w:highlight w:val="none"/>
        </w:rPr>
        <w:t>。</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ascii="宋体" w:hAnsi="宋体" w:eastAsia="宋体" w:cs="宋体"/>
          <w:b/>
          <w:bCs/>
          <w:color w:val="auto"/>
          <w:sz w:val="28"/>
          <w:szCs w:val="28"/>
          <w:highlight w:val="none"/>
        </w:rPr>
      </w:pPr>
      <w:r>
        <w:rPr>
          <w:rFonts w:hint="eastAsia" w:ascii="仿宋_GB2312" w:hAnsi="仿宋_GB2312" w:eastAsia="仿宋_GB2312" w:cs="仿宋_GB2312"/>
          <w:color w:val="auto"/>
          <w:highlight w:val="none"/>
          <w:lang w:val="en-US" w:eastAsia="zh-CN"/>
        </w:rPr>
        <w:t>总体认为，</w:t>
      </w:r>
      <w:r>
        <w:rPr>
          <w:rFonts w:hint="eastAsia" w:cs="仿宋_GB2312"/>
          <w:color w:val="auto"/>
          <w:highlight w:val="none"/>
          <w:lang w:val="en-US" w:eastAsia="zh-CN"/>
        </w:rPr>
        <w:t>西宁市城中区福禄巷南社区老年日间照料中心装修及设备购置项目立项依据充分，立项程序规范，绩效目标合理；项目预算编制科学，预算执行率为100%，资金使用基本合规，不存在截留、挤占、挪用、虚列支出等情况；项目和财务管理制度健全，施工管理、合同管理、项目验收规范，政府采购申请、审批程序合规；项目基本按计划实施内容完成改造，工程完工质量与设备采购质量合格，项目成本节约率高；项目的实施在完善社区养老服务基础设施建设，改善社区养老服务条件与环境，提高社区养老服务能力等方面产生的社会效益显著，对完善养老服务体系、推动养老事业发展产生的可持续影响作用持久，社区群众和工作人员满意度较高。但同时存在绩效目标中绩效指标设定不够准确合理、不够细化量化，室内装修工程完工不及时，部分设备采购验收不及时等问题。</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firstLine="643" w:firstLineChars="200"/>
        <w:jc w:val="both"/>
        <w:textAlignment w:val="auto"/>
        <w:outlineLvl w:val="1"/>
        <w:rPr>
          <w:rFonts w:hint="eastAsia" w:ascii="黑体" w:hAnsi="黑体" w:eastAsia="黑体" w:cs="黑体"/>
          <w:b/>
          <w:bCs/>
          <w:color w:val="auto"/>
          <w:kern w:val="44"/>
          <w:sz w:val="32"/>
          <w:szCs w:val="32"/>
          <w:highlight w:val="none"/>
          <w:lang w:val="en-US" w:eastAsia="zh-CN" w:bidi="ar-SA"/>
        </w:rPr>
      </w:pPr>
      <w:bookmarkStart w:id="516" w:name="_Toc22235"/>
      <w:bookmarkStart w:id="517" w:name="_Toc28534"/>
      <w:bookmarkStart w:id="518" w:name="_Toc16115"/>
      <w:bookmarkStart w:id="519" w:name="_Toc17298"/>
      <w:r>
        <w:rPr>
          <w:rFonts w:hint="eastAsia" w:ascii="黑体" w:hAnsi="黑体" w:eastAsia="黑体" w:cs="黑体"/>
          <w:b/>
          <w:bCs/>
          <w:color w:val="auto"/>
          <w:kern w:val="44"/>
          <w:sz w:val="32"/>
          <w:szCs w:val="32"/>
          <w:highlight w:val="none"/>
          <w:lang w:val="en-US" w:eastAsia="zh-CN" w:bidi="ar-SA"/>
        </w:rPr>
        <w:t>五、绩效评价指标分析</w:t>
      </w:r>
      <w:bookmarkEnd w:id="516"/>
      <w:bookmarkEnd w:id="517"/>
      <w:bookmarkEnd w:id="518"/>
      <w:bookmarkEnd w:id="519"/>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cs="仿宋_GB2312"/>
          <w:color w:val="auto"/>
          <w:szCs w:val="32"/>
          <w:highlight w:val="none"/>
        </w:rPr>
      </w:pPr>
      <w:r>
        <w:rPr>
          <w:rFonts w:hint="eastAsia" w:ascii="仿宋_GB2312" w:hAnsi="仿宋_GB2312" w:eastAsia="仿宋_GB2312" w:cs="仿宋_GB2312"/>
          <w:color w:val="auto"/>
          <w:highlight w:val="none"/>
          <w:lang w:val="en-US" w:eastAsia="zh-CN"/>
        </w:rPr>
        <w:t>依据制定的绩效评价指标体系，本次绩效评价分别从</w:t>
      </w:r>
      <w:r>
        <w:rPr>
          <w:rFonts w:hint="eastAsia" w:cs="仿宋_GB2312"/>
          <w:color w:val="auto"/>
          <w:highlight w:val="none"/>
          <w:lang w:val="en-US" w:eastAsia="zh-CN"/>
        </w:rPr>
        <w:t>决策</w:t>
      </w:r>
      <w:r>
        <w:rPr>
          <w:rFonts w:hint="eastAsia" w:ascii="仿宋_GB2312" w:hAnsi="仿宋_GB2312" w:eastAsia="仿宋_GB2312" w:cs="仿宋_GB2312"/>
          <w:color w:val="auto"/>
          <w:highlight w:val="none"/>
          <w:lang w:val="en-US" w:eastAsia="zh-CN"/>
        </w:rPr>
        <w:t>、过程、产出、效益</w:t>
      </w:r>
      <w:r>
        <w:rPr>
          <w:rFonts w:hint="eastAsia" w:cs="仿宋_GB2312"/>
          <w:color w:val="auto"/>
          <w:highlight w:val="none"/>
          <w:lang w:val="en-US" w:eastAsia="zh-CN"/>
        </w:rPr>
        <w:t>四</w:t>
      </w:r>
      <w:r>
        <w:rPr>
          <w:rFonts w:hint="eastAsia" w:ascii="仿宋_GB2312" w:hAnsi="仿宋_GB2312" w:eastAsia="仿宋_GB2312" w:cs="仿宋_GB2312"/>
          <w:color w:val="auto"/>
          <w:highlight w:val="none"/>
          <w:lang w:val="en-US" w:eastAsia="zh-CN"/>
        </w:rPr>
        <w:t>个方面对</w:t>
      </w:r>
      <w:r>
        <w:rPr>
          <w:rFonts w:hint="eastAsia" w:cs="仿宋_GB2312"/>
          <w:color w:val="auto"/>
          <w:highlight w:val="none"/>
          <w:lang w:val="en-US" w:eastAsia="zh-CN"/>
        </w:rPr>
        <w:t>西宁市城中区福禄巷南社区老年日间照料中心装修及设备购置项目</w:t>
      </w:r>
      <w:r>
        <w:rPr>
          <w:rFonts w:hint="eastAsia" w:ascii="仿宋_GB2312" w:hAnsi="仿宋_GB2312" w:eastAsia="仿宋_GB2312" w:cs="仿宋_GB2312"/>
          <w:color w:val="auto"/>
          <w:highlight w:val="none"/>
          <w:lang w:val="en-US" w:eastAsia="zh-CN"/>
        </w:rPr>
        <w:t>绩效管理情况进行分析评价</w:t>
      </w:r>
      <w:bookmarkStart w:id="520" w:name="_Toc23910"/>
      <w:r>
        <w:rPr>
          <w:rFonts w:hint="eastAsia" w:cs="仿宋_GB2312"/>
          <w:color w:val="auto"/>
          <w:highlight w:val="none"/>
          <w:lang w:val="en-US" w:eastAsia="zh-CN"/>
        </w:rPr>
        <w:t>，</w:t>
      </w:r>
      <w:r>
        <w:rPr>
          <w:rFonts w:hint="eastAsia" w:cs="仿宋_GB2312"/>
          <w:color w:val="auto"/>
          <w:szCs w:val="32"/>
          <w:highlight w:val="none"/>
        </w:rPr>
        <w:t>评价总体得分情况如下</w:t>
      </w:r>
      <w:r>
        <w:rPr>
          <w:rFonts w:hint="eastAsia" w:cs="仿宋_GB2312"/>
          <w:color w:val="auto"/>
          <w:szCs w:val="32"/>
          <w:highlight w:val="none"/>
          <w:lang w:eastAsia="zh-CN"/>
        </w:rPr>
        <w:t>表</w:t>
      </w:r>
      <w:r>
        <w:rPr>
          <w:rFonts w:hint="eastAsia" w:cs="仿宋_GB2312"/>
          <w:color w:val="auto"/>
          <w:szCs w:val="32"/>
          <w:highlight w:val="none"/>
        </w:rPr>
        <w:t>所示：</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7  西宁市城中区福禄巷南社区老年日间照料中心装修及</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val="en-US" w:eastAsia="zh-CN"/>
        </w:rPr>
        <w:t>设备购置项目</w:t>
      </w:r>
      <w:r>
        <w:rPr>
          <w:rFonts w:hint="eastAsia" w:ascii="宋体" w:hAnsi="宋体" w:eastAsia="宋体" w:cs="宋体"/>
          <w:b/>
          <w:bCs/>
          <w:color w:val="auto"/>
          <w:sz w:val="28"/>
          <w:szCs w:val="28"/>
          <w:highlight w:val="none"/>
        </w:rPr>
        <w:t>绩效评价</w:t>
      </w:r>
      <w:r>
        <w:rPr>
          <w:rFonts w:hint="eastAsia" w:ascii="宋体" w:hAnsi="宋体" w:eastAsia="宋体" w:cs="宋体"/>
          <w:b/>
          <w:bCs/>
          <w:color w:val="auto"/>
          <w:sz w:val="28"/>
          <w:szCs w:val="28"/>
          <w:highlight w:val="none"/>
          <w:lang w:eastAsia="zh-CN"/>
        </w:rPr>
        <w:t>总体</w:t>
      </w:r>
      <w:r>
        <w:rPr>
          <w:rFonts w:hint="eastAsia" w:ascii="宋体" w:hAnsi="宋体" w:eastAsia="宋体" w:cs="宋体"/>
          <w:b/>
          <w:bCs/>
          <w:color w:val="auto"/>
          <w:sz w:val="28"/>
          <w:szCs w:val="28"/>
          <w:highlight w:val="none"/>
        </w:rPr>
        <w:t>得分表</w:t>
      </w:r>
    </w:p>
    <w:tbl>
      <w:tblPr>
        <w:tblStyle w:val="13"/>
        <w:tblW w:w="4997"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60"/>
        <w:gridCol w:w="1452"/>
        <w:gridCol w:w="1600"/>
        <w:gridCol w:w="1767"/>
        <w:gridCol w:w="1165"/>
        <w:gridCol w:w="1412"/>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916"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指标</w:t>
            </w:r>
          </w:p>
        </w:tc>
        <w:tc>
          <w:tcPr>
            <w:tcW w:w="801"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决策</w:t>
            </w:r>
          </w:p>
        </w:tc>
        <w:tc>
          <w:tcPr>
            <w:tcW w:w="883"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过程</w:t>
            </w:r>
          </w:p>
        </w:tc>
        <w:tc>
          <w:tcPr>
            <w:tcW w:w="975"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产出</w:t>
            </w:r>
          </w:p>
        </w:tc>
        <w:tc>
          <w:tcPr>
            <w:tcW w:w="643"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效益</w:t>
            </w:r>
          </w:p>
        </w:tc>
        <w:tc>
          <w:tcPr>
            <w:tcW w:w="779"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合计</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16"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bCs w:val="0"/>
                <w:color w:val="auto"/>
                <w:sz w:val="24"/>
                <w:szCs w:val="22"/>
                <w:highlight w:val="none"/>
                <w:lang w:eastAsia="zh-CN"/>
              </w:rPr>
            </w:pPr>
            <w:r>
              <w:rPr>
                <w:rFonts w:hint="eastAsia" w:ascii="宋体" w:hAnsi="宋体" w:eastAsia="宋体" w:cs="宋体"/>
                <w:b/>
                <w:bCs w:val="0"/>
                <w:color w:val="auto"/>
                <w:sz w:val="24"/>
                <w:szCs w:val="22"/>
                <w:highlight w:val="none"/>
                <w:lang w:eastAsia="zh-CN"/>
              </w:rPr>
              <w:t>分值</w:t>
            </w:r>
          </w:p>
        </w:tc>
        <w:tc>
          <w:tcPr>
            <w:tcW w:w="801"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bCs w:val="0"/>
                <w:color w:val="auto"/>
                <w:sz w:val="24"/>
                <w:szCs w:val="22"/>
                <w:highlight w:val="none"/>
                <w:lang w:val="en-US" w:eastAsia="zh-CN"/>
              </w:rPr>
            </w:pPr>
            <w:r>
              <w:rPr>
                <w:rFonts w:hint="eastAsia" w:ascii="宋体" w:hAnsi="宋体" w:eastAsia="宋体" w:cs="宋体"/>
                <w:b/>
                <w:bCs w:val="0"/>
                <w:color w:val="auto"/>
                <w:sz w:val="24"/>
                <w:szCs w:val="22"/>
                <w:highlight w:val="none"/>
                <w:lang w:val="en-US" w:eastAsia="zh-CN"/>
              </w:rPr>
              <w:t>12</w:t>
            </w:r>
          </w:p>
        </w:tc>
        <w:tc>
          <w:tcPr>
            <w:tcW w:w="883"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bCs w:val="0"/>
                <w:color w:val="auto"/>
                <w:sz w:val="24"/>
                <w:szCs w:val="22"/>
                <w:highlight w:val="none"/>
                <w:lang w:val="en-US" w:eastAsia="zh-CN"/>
              </w:rPr>
            </w:pPr>
            <w:r>
              <w:rPr>
                <w:rFonts w:hint="eastAsia" w:ascii="宋体" w:hAnsi="宋体" w:eastAsia="宋体" w:cs="宋体"/>
                <w:b/>
                <w:bCs w:val="0"/>
                <w:color w:val="auto"/>
                <w:sz w:val="24"/>
                <w:szCs w:val="22"/>
                <w:highlight w:val="none"/>
                <w:lang w:val="en-US" w:eastAsia="zh-CN"/>
              </w:rPr>
              <w:t>22</w:t>
            </w:r>
          </w:p>
        </w:tc>
        <w:tc>
          <w:tcPr>
            <w:tcW w:w="975"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bCs w:val="0"/>
                <w:color w:val="auto"/>
                <w:sz w:val="24"/>
                <w:szCs w:val="22"/>
                <w:highlight w:val="none"/>
                <w:lang w:val="en-US" w:eastAsia="zh-CN"/>
              </w:rPr>
            </w:pPr>
            <w:r>
              <w:rPr>
                <w:rFonts w:hint="eastAsia" w:ascii="宋体" w:hAnsi="宋体" w:eastAsia="宋体" w:cs="宋体"/>
                <w:b/>
                <w:bCs w:val="0"/>
                <w:color w:val="auto"/>
                <w:sz w:val="24"/>
                <w:szCs w:val="22"/>
                <w:highlight w:val="none"/>
                <w:lang w:val="en-US" w:eastAsia="zh-CN"/>
              </w:rPr>
              <w:t>34</w:t>
            </w:r>
          </w:p>
        </w:tc>
        <w:tc>
          <w:tcPr>
            <w:tcW w:w="643"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bCs w:val="0"/>
                <w:color w:val="auto"/>
                <w:sz w:val="24"/>
                <w:szCs w:val="22"/>
                <w:highlight w:val="none"/>
                <w:lang w:val="en-US" w:eastAsia="zh-CN"/>
              </w:rPr>
            </w:pPr>
            <w:r>
              <w:rPr>
                <w:rFonts w:hint="eastAsia" w:ascii="宋体" w:hAnsi="宋体" w:eastAsia="宋体" w:cs="宋体"/>
                <w:b/>
                <w:bCs w:val="0"/>
                <w:color w:val="auto"/>
                <w:sz w:val="24"/>
                <w:szCs w:val="22"/>
                <w:highlight w:val="none"/>
                <w:lang w:val="en-US" w:eastAsia="zh-CN"/>
              </w:rPr>
              <w:t>32</w:t>
            </w:r>
          </w:p>
        </w:tc>
        <w:tc>
          <w:tcPr>
            <w:tcW w:w="779"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spacing w:line="576" w:lineRule="exact"/>
              <w:ind w:left="0" w:leftChars="0" w:firstLine="0" w:firstLineChars="0"/>
              <w:jc w:val="center"/>
              <w:rPr>
                <w:rFonts w:hint="default" w:ascii="宋体" w:hAnsi="宋体" w:eastAsia="宋体" w:cs="宋体"/>
                <w:b/>
                <w:bCs w:val="0"/>
                <w:color w:val="auto"/>
                <w:sz w:val="24"/>
                <w:szCs w:val="22"/>
                <w:highlight w:val="none"/>
                <w:lang w:val="en-US" w:eastAsia="zh-CN"/>
              </w:rPr>
            </w:pPr>
            <w:r>
              <w:rPr>
                <w:rFonts w:hint="eastAsia" w:ascii="宋体" w:hAnsi="宋体" w:eastAsia="宋体" w:cs="宋体"/>
                <w:b/>
                <w:bCs w:val="0"/>
                <w:color w:val="auto"/>
                <w:sz w:val="24"/>
                <w:szCs w:val="22"/>
                <w:highlight w:val="none"/>
                <w:lang w:val="en-US" w:eastAsia="zh-CN"/>
              </w:rPr>
              <w:t>100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16"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bCs w:val="0"/>
                <w:color w:val="auto"/>
                <w:sz w:val="24"/>
                <w:szCs w:val="22"/>
                <w:highlight w:val="none"/>
                <w:lang w:eastAsia="zh-CN"/>
              </w:rPr>
            </w:pPr>
            <w:r>
              <w:rPr>
                <w:rFonts w:hint="eastAsia" w:ascii="宋体" w:hAnsi="宋体" w:eastAsia="宋体" w:cs="宋体"/>
                <w:b/>
                <w:bCs w:val="0"/>
                <w:color w:val="auto"/>
                <w:sz w:val="24"/>
                <w:szCs w:val="22"/>
                <w:highlight w:val="none"/>
                <w:lang w:eastAsia="zh-CN"/>
              </w:rPr>
              <w:t>得分</w:t>
            </w:r>
          </w:p>
        </w:tc>
        <w:tc>
          <w:tcPr>
            <w:tcW w:w="801"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bCs w:val="0"/>
                <w:color w:val="auto"/>
                <w:sz w:val="24"/>
                <w:szCs w:val="22"/>
                <w:highlight w:val="none"/>
                <w:lang w:val="en-US" w:eastAsia="zh-CN"/>
              </w:rPr>
            </w:pPr>
            <w:r>
              <w:rPr>
                <w:rFonts w:hint="eastAsia" w:ascii="宋体" w:hAnsi="宋体" w:eastAsia="宋体" w:cs="宋体"/>
                <w:b/>
                <w:bCs w:val="0"/>
                <w:color w:val="auto"/>
                <w:sz w:val="24"/>
                <w:szCs w:val="22"/>
                <w:highlight w:val="none"/>
                <w:lang w:val="en-US" w:eastAsia="zh-CN"/>
              </w:rPr>
              <w:t>10.03</w:t>
            </w:r>
          </w:p>
        </w:tc>
        <w:tc>
          <w:tcPr>
            <w:tcW w:w="883"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bCs w:val="0"/>
                <w:color w:val="auto"/>
                <w:sz w:val="24"/>
                <w:szCs w:val="22"/>
                <w:highlight w:val="none"/>
                <w:lang w:val="en-US" w:eastAsia="zh-CN"/>
              </w:rPr>
            </w:pPr>
            <w:r>
              <w:rPr>
                <w:rFonts w:hint="eastAsia" w:ascii="宋体" w:hAnsi="宋体" w:eastAsia="宋体" w:cs="宋体"/>
                <w:b/>
                <w:bCs w:val="0"/>
                <w:color w:val="auto"/>
                <w:sz w:val="24"/>
                <w:szCs w:val="22"/>
                <w:highlight w:val="none"/>
                <w:lang w:val="en-US" w:eastAsia="zh-CN"/>
              </w:rPr>
              <w:t>22</w:t>
            </w:r>
          </w:p>
        </w:tc>
        <w:tc>
          <w:tcPr>
            <w:tcW w:w="975"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bCs w:val="0"/>
                <w:color w:val="auto"/>
                <w:sz w:val="24"/>
                <w:szCs w:val="22"/>
                <w:highlight w:val="none"/>
                <w:lang w:val="en-US" w:eastAsia="zh-CN"/>
              </w:rPr>
            </w:pPr>
            <w:r>
              <w:rPr>
                <w:rFonts w:hint="eastAsia" w:ascii="宋体" w:hAnsi="宋体" w:eastAsia="宋体" w:cs="宋体"/>
                <w:b/>
                <w:bCs w:val="0"/>
                <w:color w:val="auto"/>
                <w:sz w:val="24"/>
                <w:szCs w:val="22"/>
                <w:highlight w:val="none"/>
                <w:lang w:val="en-US" w:eastAsia="zh-CN"/>
              </w:rPr>
              <w:t>31.5</w:t>
            </w:r>
          </w:p>
        </w:tc>
        <w:tc>
          <w:tcPr>
            <w:tcW w:w="643" w:type="pct"/>
            <w:tcBorders>
              <w:tl2br w:val="nil"/>
              <w:tr2bl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bCs w:val="0"/>
                <w:color w:val="auto"/>
                <w:sz w:val="24"/>
                <w:szCs w:val="22"/>
                <w:highlight w:val="none"/>
                <w:lang w:val="en-US" w:eastAsia="zh-CN"/>
              </w:rPr>
            </w:pPr>
            <w:r>
              <w:rPr>
                <w:rFonts w:hint="eastAsia" w:ascii="宋体" w:hAnsi="宋体" w:eastAsia="宋体" w:cs="宋体"/>
                <w:b/>
                <w:bCs w:val="0"/>
                <w:color w:val="auto"/>
                <w:sz w:val="24"/>
                <w:szCs w:val="22"/>
                <w:highlight w:val="none"/>
                <w:lang w:val="en-US" w:eastAsia="zh-CN"/>
              </w:rPr>
              <w:t>30.8</w:t>
            </w:r>
          </w:p>
        </w:tc>
        <w:tc>
          <w:tcPr>
            <w:tcW w:w="779"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spacing w:line="576" w:lineRule="exact"/>
              <w:ind w:left="0" w:leftChars="0" w:firstLine="0" w:firstLineChars="0"/>
              <w:jc w:val="center"/>
              <w:rPr>
                <w:rFonts w:hint="default" w:ascii="宋体" w:hAnsi="宋体" w:eastAsia="宋体" w:cs="宋体"/>
                <w:b/>
                <w:bCs w:val="0"/>
                <w:color w:val="auto"/>
                <w:sz w:val="24"/>
                <w:szCs w:val="22"/>
                <w:highlight w:val="none"/>
                <w:lang w:val="en-US" w:eastAsia="zh-CN"/>
              </w:rPr>
            </w:pPr>
            <w:r>
              <w:rPr>
                <w:rFonts w:hint="eastAsia" w:ascii="宋体" w:hAnsi="宋体" w:eastAsia="宋体" w:cs="宋体"/>
                <w:b/>
                <w:bCs w:val="0"/>
                <w:color w:val="auto"/>
                <w:sz w:val="24"/>
                <w:szCs w:val="22"/>
                <w:highlight w:val="none"/>
                <w:lang w:val="en-US" w:eastAsia="zh-CN"/>
              </w:rPr>
              <w:t>94.33</w:t>
            </w:r>
          </w:p>
        </w:tc>
      </w:tr>
    </w:tbl>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 w:hAnsi="楷体" w:eastAsia="楷体" w:cs="楷体"/>
          <w:b/>
          <w:color w:val="auto"/>
          <w:kern w:val="2"/>
          <w:sz w:val="32"/>
          <w:szCs w:val="24"/>
          <w:highlight w:val="none"/>
          <w:lang w:val="en-US" w:eastAsia="zh-CN" w:bidi="ar-SA"/>
        </w:rPr>
      </w:pPr>
      <w:bookmarkStart w:id="521" w:name="_Toc20907"/>
      <w:bookmarkStart w:id="522" w:name="_Toc2265"/>
      <w:bookmarkStart w:id="523" w:name="_Toc27729"/>
      <w:r>
        <w:rPr>
          <w:rFonts w:hint="eastAsia" w:ascii="楷体_GB2312" w:hAnsi="楷体_GB2312" w:eastAsia="楷体_GB2312" w:cs="楷体_GB2312"/>
          <w:b/>
          <w:color w:val="auto"/>
          <w:kern w:val="2"/>
          <w:sz w:val="32"/>
          <w:szCs w:val="24"/>
          <w:highlight w:val="none"/>
          <w:lang w:val="en-US" w:eastAsia="zh-CN" w:bidi="ar-SA"/>
        </w:rPr>
        <w:fldChar w:fldCharType="begin"/>
      </w:r>
      <w:r>
        <w:rPr>
          <w:rFonts w:hint="eastAsia" w:ascii="楷体_GB2312" w:hAnsi="楷体_GB2312" w:eastAsia="楷体_GB2312" w:cs="楷体_GB2312"/>
          <w:b/>
          <w:color w:val="auto"/>
          <w:kern w:val="2"/>
          <w:sz w:val="32"/>
          <w:szCs w:val="24"/>
          <w:highlight w:val="none"/>
          <w:lang w:val="en-US" w:eastAsia="zh-CN" w:bidi="ar-SA"/>
        </w:rPr>
        <w:instrText xml:space="preserve"> HYPERLINK \l _Toc24702 </w:instrText>
      </w:r>
      <w:r>
        <w:rPr>
          <w:rFonts w:hint="eastAsia" w:ascii="楷体_GB2312" w:hAnsi="楷体_GB2312" w:eastAsia="楷体_GB2312" w:cs="楷体_GB2312"/>
          <w:b/>
          <w:color w:val="auto"/>
          <w:kern w:val="2"/>
          <w:sz w:val="32"/>
          <w:szCs w:val="24"/>
          <w:highlight w:val="none"/>
          <w:lang w:val="en-US" w:eastAsia="zh-CN" w:bidi="ar-SA"/>
        </w:rPr>
        <w:fldChar w:fldCharType="separate"/>
      </w:r>
      <w:r>
        <w:rPr>
          <w:rFonts w:hint="eastAsia" w:ascii="楷体_GB2312" w:hAnsi="楷体_GB2312" w:eastAsia="楷体_GB2312" w:cs="楷体_GB2312"/>
          <w:b/>
          <w:color w:val="auto"/>
          <w:kern w:val="2"/>
          <w:sz w:val="32"/>
          <w:szCs w:val="24"/>
          <w:highlight w:val="none"/>
          <w:lang w:val="en-US" w:eastAsia="zh-CN" w:bidi="ar-SA"/>
        </w:rPr>
        <w:t>（一）</w:t>
      </w:r>
      <w:r>
        <w:rPr>
          <w:rFonts w:hint="eastAsia" w:ascii="楷体_GB2312" w:hAnsi="楷体_GB2312" w:eastAsia="楷体_GB2312" w:cs="楷体_GB2312"/>
          <w:b/>
          <w:color w:val="auto"/>
          <w:kern w:val="2"/>
          <w:sz w:val="32"/>
          <w:szCs w:val="24"/>
          <w:highlight w:val="none"/>
          <w:lang w:val="en-US" w:eastAsia="zh-CN" w:bidi="ar-SA"/>
        </w:rPr>
        <w:fldChar w:fldCharType="end"/>
      </w:r>
      <w:r>
        <w:rPr>
          <w:rFonts w:hint="eastAsia" w:ascii="楷体_GB2312" w:hAnsi="楷体_GB2312" w:eastAsia="楷体_GB2312" w:cs="楷体_GB2312"/>
          <w:b/>
          <w:color w:val="auto"/>
          <w:kern w:val="2"/>
          <w:sz w:val="32"/>
          <w:szCs w:val="24"/>
          <w:highlight w:val="none"/>
          <w:lang w:val="en-US" w:eastAsia="zh-CN" w:bidi="ar-SA"/>
        </w:rPr>
        <w:t>项目</w:t>
      </w:r>
      <w:r>
        <w:rPr>
          <w:rFonts w:hint="eastAsia" w:ascii="楷体_GB2312" w:hAnsi="楷体_GB2312" w:eastAsia="楷体_GB2312" w:cs="楷体_GB2312"/>
          <w:b/>
          <w:color w:val="auto"/>
          <w:kern w:val="2"/>
          <w:sz w:val="32"/>
          <w:szCs w:val="24"/>
          <w:highlight w:val="none"/>
          <w:lang w:val="en-US" w:eastAsia="zh-CN" w:bidi="ar-SA"/>
        </w:rPr>
        <w:fldChar w:fldCharType="begin"/>
      </w:r>
      <w:r>
        <w:rPr>
          <w:rFonts w:hint="eastAsia" w:ascii="楷体_GB2312" w:hAnsi="楷体_GB2312" w:eastAsia="楷体_GB2312" w:cs="楷体_GB2312"/>
          <w:b/>
          <w:color w:val="auto"/>
          <w:kern w:val="2"/>
          <w:sz w:val="32"/>
          <w:szCs w:val="24"/>
          <w:highlight w:val="none"/>
          <w:lang w:val="en-US" w:eastAsia="zh-CN" w:bidi="ar-SA"/>
        </w:rPr>
        <w:instrText xml:space="preserve"> HYPERLINK \l "_Toc19358" </w:instrText>
      </w:r>
      <w:r>
        <w:rPr>
          <w:rFonts w:hint="eastAsia" w:ascii="楷体_GB2312" w:hAnsi="楷体_GB2312" w:eastAsia="楷体_GB2312" w:cs="楷体_GB2312"/>
          <w:b/>
          <w:color w:val="auto"/>
          <w:kern w:val="2"/>
          <w:sz w:val="32"/>
          <w:szCs w:val="24"/>
          <w:highlight w:val="none"/>
          <w:lang w:val="en-US" w:eastAsia="zh-CN" w:bidi="ar-SA"/>
        </w:rPr>
        <w:fldChar w:fldCharType="separate"/>
      </w:r>
      <w:r>
        <w:rPr>
          <w:rFonts w:hint="eastAsia" w:ascii="楷体_GB2312" w:hAnsi="楷体_GB2312" w:eastAsia="楷体_GB2312" w:cs="楷体_GB2312"/>
          <w:b/>
          <w:color w:val="auto"/>
          <w:kern w:val="2"/>
          <w:sz w:val="32"/>
          <w:szCs w:val="24"/>
          <w:highlight w:val="none"/>
          <w:lang w:val="en-US" w:eastAsia="zh-CN" w:bidi="ar-SA"/>
        </w:rPr>
        <w:t>决策</w:t>
      </w:r>
      <w:r>
        <w:rPr>
          <w:rFonts w:hint="eastAsia" w:ascii="楷体_GB2312" w:hAnsi="楷体_GB2312" w:eastAsia="楷体_GB2312" w:cs="楷体_GB2312"/>
          <w:b/>
          <w:color w:val="auto"/>
          <w:kern w:val="2"/>
          <w:sz w:val="32"/>
          <w:szCs w:val="24"/>
          <w:highlight w:val="none"/>
          <w:lang w:val="en-US" w:eastAsia="zh-CN" w:bidi="ar-SA"/>
        </w:rPr>
        <w:fldChar w:fldCharType="end"/>
      </w:r>
      <w:r>
        <w:rPr>
          <w:rFonts w:hint="eastAsia" w:ascii="楷体_GB2312" w:hAnsi="楷体_GB2312" w:eastAsia="楷体_GB2312" w:cs="楷体_GB2312"/>
          <w:b/>
          <w:color w:val="auto"/>
          <w:kern w:val="2"/>
          <w:sz w:val="32"/>
          <w:szCs w:val="24"/>
          <w:highlight w:val="none"/>
          <w:lang w:val="en-US" w:eastAsia="zh-CN" w:bidi="ar-SA"/>
        </w:rPr>
        <w:t>情况</w:t>
      </w:r>
      <w:bookmarkEnd w:id="520"/>
      <w:bookmarkEnd w:id="521"/>
      <w:bookmarkEnd w:id="522"/>
      <w:bookmarkEnd w:id="523"/>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ascii="仿宋_GB2312" w:hAnsi="仿宋_GB2312" w:eastAsia="仿宋_GB2312" w:cs="仿宋_GB2312"/>
          <w:color w:val="auto"/>
          <w:highlight w:val="none"/>
          <w:lang w:val="en-US" w:eastAsia="zh-CN"/>
        </w:rPr>
      </w:pPr>
      <w:r>
        <w:rPr>
          <w:rFonts w:hint="eastAsia" w:cs="仿宋_GB2312"/>
          <w:color w:val="auto"/>
          <w:highlight w:val="none"/>
          <w:lang w:val="en-US" w:eastAsia="zh-CN"/>
        </w:rPr>
        <w:t>西宁市城中区福禄巷南社区老年日间照料中心装修及设备购置项目</w:t>
      </w:r>
      <w:r>
        <w:rPr>
          <w:rFonts w:hint="eastAsia" w:ascii="仿宋_GB2312" w:hAnsi="仿宋_GB2312" w:eastAsia="仿宋_GB2312" w:cs="仿宋_GB2312"/>
          <w:color w:val="auto"/>
          <w:highlight w:val="none"/>
          <w:lang w:val="en-US" w:eastAsia="zh-CN"/>
        </w:rPr>
        <w:t>绩效评价</w:t>
      </w:r>
      <w:r>
        <w:rPr>
          <w:rFonts w:hint="eastAsia" w:cs="仿宋_GB2312"/>
          <w:color w:val="auto"/>
          <w:highlight w:val="none"/>
          <w:lang w:val="en-US" w:eastAsia="zh-CN"/>
        </w:rPr>
        <w:t>决策</w:t>
      </w:r>
      <w:r>
        <w:rPr>
          <w:rFonts w:hint="eastAsia" w:ascii="仿宋_GB2312" w:hAnsi="仿宋_GB2312" w:eastAsia="仿宋_GB2312" w:cs="仿宋_GB2312"/>
          <w:color w:val="auto"/>
          <w:highlight w:val="none"/>
          <w:lang w:val="en-US" w:eastAsia="zh-CN"/>
        </w:rPr>
        <w:t>类指标分别</w:t>
      </w:r>
      <w:r>
        <w:rPr>
          <w:rFonts w:hint="eastAsia" w:cs="仿宋_GB2312"/>
          <w:color w:val="auto"/>
          <w:highlight w:val="none"/>
          <w:lang w:val="en-US" w:eastAsia="zh-CN"/>
        </w:rPr>
        <w:t>从项目决策、绩效目标和资金投入三个方面进行综合分析。各项</w:t>
      </w:r>
      <w:r>
        <w:rPr>
          <w:rFonts w:hint="eastAsia" w:ascii="仿宋_GB2312" w:hAnsi="仿宋_GB2312" w:eastAsia="仿宋_GB2312" w:cs="仿宋_GB2312"/>
          <w:color w:val="auto"/>
          <w:highlight w:val="none"/>
          <w:lang w:val="en-US" w:eastAsia="zh-CN"/>
        </w:rPr>
        <w:t>指标具体得分情况如下表所示：</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2336"/>
        <w:gridCol w:w="3447"/>
        <w:gridCol w:w="5"/>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nil"/>
              <w:left w:val="nil"/>
              <w:bottom w:val="double" w:color="000000" w:sz="4" w:space="0"/>
              <w:righ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8</w:t>
            </w:r>
            <w:r>
              <w:rPr>
                <w:rFonts w:hint="eastAsia" w:ascii="宋体" w:hAnsi="宋体" w:eastAsia="宋体" w:cs="宋体"/>
                <w:b/>
                <w:bCs/>
                <w:color w:val="auto"/>
                <w:sz w:val="28"/>
                <w:szCs w:val="28"/>
                <w:highlight w:val="none"/>
              </w:rPr>
              <w:t xml:space="preserve"> </w:t>
            </w:r>
            <w:r>
              <w:rPr>
                <w:rFonts w:hint="eastAsia" w:ascii="宋体" w:hAnsi="宋体" w:eastAsia="宋体" w:cs="宋体"/>
                <w:b/>
                <w:bCs/>
                <w:color w:val="auto"/>
                <w:sz w:val="28"/>
                <w:szCs w:val="28"/>
                <w:highlight w:val="none"/>
                <w:lang w:val="en-US" w:eastAsia="zh-CN"/>
              </w:rPr>
              <w:t xml:space="preserve"> 决策</w:t>
            </w:r>
            <w:r>
              <w:rPr>
                <w:rFonts w:hint="eastAsia" w:ascii="宋体" w:hAnsi="宋体" w:eastAsia="宋体" w:cs="宋体"/>
                <w:b/>
                <w:bCs/>
                <w:color w:val="auto"/>
                <w:sz w:val="28"/>
                <w:szCs w:val="28"/>
                <w:highlight w:val="none"/>
              </w:rPr>
              <w:t>类各项指标绩效评价</w:t>
            </w:r>
            <w:r>
              <w:rPr>
                <w:rFonts w:hint="eastAsia" w:ascii="宋体" w:hAnsi="宋体" w:eastAsia="宋体" w:cs="宋体"/>
                <w:b/>
                <w:color w:val="auto"/>
                <w:sz w:val="28"/>
                <w:szCs w:val="28"/>
                <w:highlight w:val="none"/>
              </w:rPr>
              <w:t>得分表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59" w:type="pct"/>
            <w:tcBorders>
              <w:top w:val="double" w:color="000000" w:sz="4" w:space="0"/>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1289" w:type="pct"/>
            <w:tcBorders>
              <w:top w:val="double" w:color="000000" w:sz="4" w:space="0"/>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1902" w:type="pct"/>
            <w:tcBorders>
              <w:top w:val="double" w:color="000000" w:sz="4" w:space="0"/>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648" w:type="pct"/>
            <w:gridSpan w:val="2"/>
            <w:tcBorders>
              <w:top w:val="double" w:color="000000" w:sz="4" w:space="0"/>
              <w:righ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59" w:type="pct"/>
            <w:vMerge w:val="restart"/>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eastAsia="zh-CN"/>
              </w:rPr>
            </w:pPr>
            <w:r>
              <w:rPr>
                <w:rFonts w:hint="eastAsia" w:ascii="宋体" w:hAnsi="宋体" w:eastAsia="宋体" w:cs="宋体"/>
                <w:b/>
                <w:color w:val="auto"/>
                <w:sz w:val="24"/>
                <w:szCs w:val="22"/>
                <w:highlight w:val="none"/>
                <w:u w:val="single"/>
                <w:lang w:val="en-US" w:eastAsia="zh-CN"/>
              </w:rPr>
              <w:t>决策</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83.58</w:t>
            </w:r>
            <w:r>
              <w:rPr>
                <w:rFonts w:hint="eastAsia" w:ascii="宋体" w:hAnsi="宋体" w:eastAsia="宋体" w:cs="宋体"/>
                <w:bCs/>
                <w:color w:val="auto"/>
                <w:sz w:val="24"/>
                <w:szCs w:val="22"/>
                <w:highlight w:val="none"/>
              </w:rPr>
              <w:t>%</w:t>
            </w:r>
          </w:p>
        </w:tc>
        <w:tc>
          <w:tcPr>
            <w:tcW w:w="1289" w:type="pct"/>
            <w:vMerge w:val="restar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项目决策</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1902" w:type="pc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Cs/>
                <w:i w:val="0"/>
                <w:iCs w:val="0"/>
                <w:color w:val="auto"/>
                <w:sz w:val="24"/>
                <w:szCs w:val="22"/>
                <w:highlight w:val="none"/>
              </w:rPr>
            </w:pPr>
            <w:r>
              <w:rPr>
                <w:rFonts w:hint="eastAsia" w:ascii="宋体" w:hAnsi="宋体" w:eastAsia="宋体" w:cs="宋体"/>
                <w:color w:val="auto"/>
                <w:sz w:val="24"/>
                <w:szCs w:val="24"/>
                <w:highlight w:val="none"/>
                <w:lang w:val="en-US" w:eastAsia="zh-CN"/>
              </w:rPr>
              <w:t>立项依据充分性</w:t>
            </w:r>
          </w:p>
        </w:tc>
        <w:tc>
          <w:tcPr>
            <w:tcW w:w="648" w:type="pct"/>
            <w:gridSpan w:val="2"/>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59" w:type="pct"/>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289" w:type="pct"/>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02" w:type="pc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Cs/>
                <w:i w:val="0"/>
                <w:iCs w:val="0"/>
                <w:color w:val="auto"/>
                <w:kern w:val="2"/>
                <w:sz w:val="24"/>
                <w:szCs w:val="22"/>
                <w:highlight w:val="none"/>
                <w:lang w:val="en-US" w:eastAsia="zh-CN" w:bidi="ar-SA"/>
              </w:rPr>
            </w:pPr>
            <w:r>
              <w:rPr>
                <w:rFonts w:hint="eastAsia" w:ascii="宋体" w:hAnsi="宋体" w:eastAsia="宋体" w:cs="宋体"/>
                <w:color w:val="auto"/>
                <w:sz w:val="24"/>
                <w:szCs w:val="24"/>
                <w:highlight w:val="none"/>
                <w:lang w:val="en-US" w:eastAsia="zh-CN"/>
              </w:rPr>
              <w:t>项目立项规范性</w:t>
            </w:r>
          </w:p>
        </w:tc>
        <w:tc>
          <w:tcPr>
            <w:tcW w:w="648" w:type="pct"/>
            <w:gridSpan w:val="2"/>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kern w:val="2"/>
                <w:sz w:val="24"/>
                <w:szCs w:val="22"/>
                <w:highlight w:val="none"/>
                <w:lang w:val="en-US" w:eastAsia="zh-CN" w:bidi="ar-SA"/>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59" w:type="pct"/>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restar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绩效目标</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75</w:t>
            </w:r>
            <w:r>
              <w:rPr>
                <w:rFonts w:hint="eastAsia" w:ascii="宋体" w:hAnsi="宋体" w:eastAsia="宋体" w:cs="宋体"/>
                <w:bCs/>
                <w:color w:val="auto"/>
                <w:sz w:val="24"/>
                <w:szCs w:val="22"/>
                <w:highlight w:val="none"/>
              </w:rPr>
              <w:t>%</w:t>
            </w:r>
          </w:p>
        </w:tc>
        <w:tc>
          <w:tcPr>
            <w:tcW w:w="1902"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Cs/>
                <w:i w:val="0"/>
                <w:iCs w:val="0"/>
                <w:color w:val="auto"/>
                <w:sz w:val="24"/>
                <w:szCs w:val="22"/>
                <w:highlight w:val="none"/>
              </w:rPr>
            </w:pPr>
            <w:r>
              <w:rPr>
                <w:rFonts w:hint="eastAsia" w:ascii="宋体" w:hAnsi="宋体" w:eastAsia="宋体" w:cs="宋体"/>
                <w:color w:val="auto"/>
                <w:kern w:val="0"/>
                <w:sz w:val="24"/>
                <w:szCs w:val="24"/>
                <w:highlight w:val="none"/>
              </w:rPr>
              <w:t>绩效目标合理性</w:t>
            </w:r>
          </w:p>
        </w:tc>
        <w:tc>
          <w:tcPr>
            <w:tcW w:w="648" w:type="pct"/>
            <w:gridSpan w:val="2"/>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59" w:type="pct"/>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2"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Cs/>
                <w:i w:val="0"/>
                <w:iCs w:val="0"/>
                <w:color w:val="auto"/>
                <w:sz w:val="24"/>
                <w:szCs w:val="22"/>
                <w:highlight w:val="none"/>
              </w:rPr>
            </w:pPr>
            <w:r>
              <w:rPr>
                <w:rFonts w:hint="eastAsia" w:ascii="宋体" w:hAnsi="宋体" w:eastAsia="宋体" w:cs="宋体"/>
                <w:color w:val="auto"/>
                <w:kern w:val="0"/>
                <w:sz w:val="24"/>
                <w:szCs w:val="24"/>
                <w:highlight w:val="none"/>
              </w:rPr>
              <w:t>绩效指标明确性</w:t>
            </w:r>
          </w:p>
        </w:tc>
        <w:tc>
          <w:tcPr>
            <w:tcW w:w="648" w:type="pct"/>
            <w:gridSpan w:val="2"/>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rPr>
            </w:pPr>
            <w:r>
              <w:rPr>
                <w:rFonts w:hint="eastAsia" w:ascii="宋体" w:hAnsi="宋体" w:eastAsia="宋体" w:cs="宋体"/>
                <w:i w:val="0"/>
                <w:iCs w:val="0"/>
                <w:color w:val="auto"/>
                <w:sz w:val="24"/>
                <w:szCs w:val="22"/>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9" w:type="pct"/>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restar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资金投入</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75.75</w:t>
            </w:r>
            <w:r>
              <w:rPr>
                <w:rFonts w:hint="eastAsia" w:ascii="宋体" w:hAnsi="宋体" w:eastAsia="宋体" w:cs="宋体"/>
                <w:bCs/>
                <w:color w:val="auto"/>
                <w:sz w:val="24"/>
                <w:szCs w:val="22"/>
                <w:highlight w:val="none"/>
              </w:rPr>
              <w:t>%</w:t>
            </w:r>
          </w:p>
        </w:tc>
        <w:tc>
          <w:tcPr>
            <w:tcW w:w="1903" w:type="pct"/>
            <w:gridSpan w:val="2"/>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rPr>
            </w:pPr>
            <w:r>
              <w:rPr>
                <w:rFonts w:hint="eastAsia" w:ascii="宋体" w:hAnsi="宋体" w:eastAsia="宋体" w:cs="宋体"/>
                <w:color w:val="auto"/>
                <w:sz w:val="24"/>
                <w:szCs w:val="24"/>
                <w:highlight w:val="none"/>
                <w:lang w:val="en-US" w:eastAsia="zh-CN"/>
              </w:rPr>
              <w:t>预算编制科学性</w:t>
            </w:r>
          </w:p>
        </w:tc>
        <w:tc>
          <w:tcPr>
            <w:tcW w:w="646" w:type="pct"/>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9" w:type="pct"/>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3" w:type="pct"/>
            <w:gridSpan w:val="2"/>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rPr>
            </w:pPr>
            <w:r>
              <w:rPr>
                <w:rFonts w:hint="eastAsia" w:ascii="宋体" w:hAnsi="宋体" w:eastAsia="宋体" w:cs="宋体"/>
                <w:color w:val="auto"/>
                <w:sz w:val="24"/>
                <w:szCs w:val="24"/>
                <w:highlight w:val="none"/>
                <w:lang w:val="en-US" w:eastAsia="zh-CN"/>
              </w:rPr>
              <w:t>资金到位率</w:t>
            </w:r>
          </w:p>
        </w:tc>
        <w:tc>
          <w:tcPr>
            <w:tcW w:w="646" w:type="pct"/>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53" w:type="pct"/>
            <w:gridSpan w:val="4"/>
            <w:tcBorders>
              <w:left w:val="nil"/>
              <w:bottom w:val="double" w:color="auto" w:sz="4" w:space="0"/>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val="en-US" w:eastAsia="zh-CN"/>
              </w:rPr>
              <w:t>决策</w:t>
            </w:r>
            <w:r>
              <w:rPr>
                <w:rFonts w:hint="eastAsia" w:ascii="宋体" w:hAnsi="宋体" w:eastAsia="宋体" w:cs="宋体"/>
                <w:b/>
                <w:color w:val="auto"/>
                <w:sz w:val="24"/>
                <w:szCs w:val="22"/>
                <w:highlight w:val="none"/>
              </w:rPr>
              <w:t>”情况评级</w:t>
            </w:r>
          </w:p>
        </w:tc>
        <w:tc>
          <w:tcPr>
            <w:tcW w:w="646" w:type="pct"/>
            <w:tcBorders>
              <w:bottom w:val="double" w:color="auto" w:sz="4" w:space="0"/>
              <w:right w:val="nil"/>
            </w:tcBorders>
            <w:noWrap w:val="0"/>
            <w:vAlign w:val="center"/>
          </w:tcPr>
          <w:p>
            <w:pPr>
              <w:keepNext w:val="0"/>
              <w:keepLines w:val="0"/>
              <w:pageBreakBefore w:val="0"/>
              <w:widowControl w:val="0"/>
              <w:shd w:val="clear" w:color="auto" w:fill="auto"/>
              <w:kinsoku/>
              <w:wordWrap/>
              <w:overflowPunct/>
              <w:topLinePunct w:val="0"/>
              <w:autoSpaceDE/>
              <w:autoSpaceDN/>
              <w:bidi w:val="0"/>
              <w:spacing w:line="576" w:lineRule="exact"/>
              <w:ind w:left="0" w:leftChars="0" w:firstLine="0" w:firstLineChars="0"/>
              <w:jc w:val="center"/>
              <w:rPr>
                <w:rFonts w:hint="default" w:ascii="宋体" w:hAnsi="宋体" w:eastAsia="宋体" w:cs="宋体"/>
                <w:b/>
                <w:i w:val="0"/>
                <w:iCs w:val="0"/>
                <w:color w:val="auto"/>
                <w:sz w:val="24"/>
                <w:szCs w:val="22"/>
                <w:highlight w:val="none"/>
                <w:lang w:val="en-US" w:eastAsia="zh-CN"/>
              </w:rPr>
            </w:pPr>
            <w:r>
              <w:rPr>
                <w:rFonts w:hint="eastAsia" w:ascii="宋体" w:hAnsi="宋体" w:eastAsia="宋体" w:cs="宋体"/>
                <w:b/>
                <w:i w:val="0"/>
                <w:iCs w:val="0"/>
                <w:color w:val="auto"/>
                <w:sz w:val="24"/>
                <w:szCs w:val="22"/>
                <w:highlight w:val="none"/>
                <w:lang w:val="en-US" w:eastAsia="zh-CN"/>
              </w:rPr>
              <w:t>良</w:t>
            </w:r>
          </w:p>
        </w:tc>
      </w:tr>
    </w:tbl>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1.项目决策（指标分值</w:t>
      </w:r>
      <w:r>
        <w:rPr>
          <w:rFonts w:hint="eastAsia" w:cs="仿宋_GB2312"/>
          <w:b/>
          <w:bCs/>
          <w:color w:val="auto"/>
          <w:highlight w:val="none"/>
          <w:lang w:val="en-US" w:eastAsia="zh-CN"/>
        </w:rPr>
        <w:t>4</w:t>
      </w:r>
      <w:r>
        <w:rPr>
          <w:rFonts w:hint="eastAsia" w:ascii="仿宋_GB2312" w:hAnsi="仿宋_GB2312" w:eastAsia="仿宋_GB2312" w:cs="仿宋_GB2312"/>
          <w:b/>
          <w:bCs/>
          <w:color w:val="auto"/>
          <w:highlight w:val="none"/>
          <w:lang w:val="en-US" w:eastAsia="zh-CN"/>
        </w:rPr>
        <w:t>分）（得分</w:t>
      </w:r>
      <w:r>
        <w:rPr>
          <w:rFonts w:hint="eastAsia" w:cs="仿宋_GB2312"/>
          <w:b/>
          <w:bCs/>
          <w:color w:val="auto"/>
          <w:highlight w:val="none"/>
          <w:lang w:val="en-US" w:eastAsia="zh-CN"/>
        </w:rPr>
        <w:t>4</w:t>
      </w:r>
      <w:r>
        <w:rPr>
          <w:rFonts w:hint="eastAsia" w:ascii="仿宋_GB2312" w:hAnsi="仿宋_GB2312" w:eastAsia="仿宋_GB2312" w:cs="仿宋_GB2312"/>
          <w:b/>
          <w:bCs/>
          <w:color w:val="auto"/>
          <w:highlight w:val="none"/>
          <w:lang w:val="en-US" w:eastAsia="zh-CN"/>
        </w:rPr>
        <w:t>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（1）立项依据充分性（指标分值2分）（得分2分）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w:t>
      </w:r>
      <w:r>
        <w:rPr>
          <w:rFonts w:hint="eastAsia" w:ascii="仿宋_GB2312" w:hAnsi="仿宋_GB2312" w:eastAsia="仿宋_GB2312" w:cs="仿宋_GB2312"/>
          <w:b w:val="0"/>
          <w:color w:val="auto"/>
          <w:kern w:val="2"/>
          <w:sz w:val="32"/>
          <w:szCs w:val="32"/>
          <w:highlight w:val="none"/>
          <w:lang w:val="en-US" w:eastAsia="zh-CN" w:bidi="ar-SA"/>
        </w:rPr>
        <w:t>《中共中央 国务院关于加强老龄工作的决定》</w:t>
      </w:r>
      <w:r>
        <w:rPr>
          <w:rFonts w:hint="eastAsia" w:ascii="仿宋_GB2312" w:hAnsi="仿宋_GB2312" w:eastAsia="仿宋_GB2312" w:cs="仿宋_GB2312"/>
          <w:b w:val="0"/>
          <w:bCs w:val="0"/>
          <w:color w:val="auto"/>
          <w:sz w:val="32"/>
          <w:szCs w:val="32"/>
          <w:highlight w:val="none"/>
          <w:lang w:val="en-US" w:eastAsia="zh-CN"/>
        </w:rPr>
        <w:t>、</w:t>
      </w:r>
      <w:r>
        <w:rPr>
          <w:rFonts w:hint="eastAsia" w:ascii="仿宋_GB2312" w:hAnsi="仿宋_GB2312" w:eastAsia="仿宋_GB2312" w:cs="仿宋_GB2312"/>
          <w:b w:val="0"/>
          <w:color w:val="auto"/>
          <w:kern w:val="2"/>
          <w:sz w:val="32"/>
          <w:szCs w:val="32"/>
          <w:highlight w:val="none"/>
          <w:lang w:val="en-US" w:eastAsia="zh-CN" w:bidi="ar-SA"/>
        </w:rPr>
        <w:t>全国老龄委办公室、发展改革委、民政部等十部委联合发布的《关于加快发展养老服务业的意见》和《关于全面推进居家养老服务工作的意见》及《青海省民政厅关于下达社区老年日间照料中心项目建设任务的通知》</w:t>
      </w:r>
      <w:r>
        <w:rPr>
          <w:rFonts w:hint="eastAsia" w:ascii="仿宋_GB2312" w:hAnsi="仿宋_GB2312" w:eastAsia="仿宋_GB2312" w:cs="仿宋_GB2312"/>
          <w:color w:val="auto"/>
          <w:highlight w:val="none"/>
          <w:lang w:val="en-US" w:eastAsia="zh-CN"/>
        </w:rPr>
        <w:t>（青民财</w:t>
      </w:r>
      <w:r>
        <w:rPr>
          <w:rFonts w:hint="eastAsia" w:ascii="Times New Roman" w:hAnsi="Times New Roman" w:eastAsia="仿宋_GB2312" w:cs="Times New Roman"/>
          <w:b w:val="0"/>
          <w:bCs w:val="0"/>
          <w:color w:val="auto"/>
          <w:kern w:val="2"/>
          <w:sz w:val="32"/>
          <w:szCs w:val="32"/>
          <w:highlight w:val="none"/>
          <w:lang w:val="en-US" w:eastAsia="zh-CN" w:bidi="ar-SA"/>
        </w:rPr>
        <w:t>〔2017〕29号</w:t>
      </w:r>
      <w:r>
        <w:rPr>
          <w:rFonts w:hint="eastAsia" w:ascii="仿宋_GB2312" w:hAnsi="仿宋_GB2312" w:eastAsia="仿宋_GB2312" w:cs="仿宋_GB2312"/>
          <w:color w:val="auto"/>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等文件要求，</w:t>
      </w:r>
      <w:r>
        <w:rPr>
          <w:rFonts w:hint="eastAsia" w:ascii="仿宋_GB2312" w:hAnsi="仿宋_GB2312" w:eastAsia="仿宋_GB2312" w:cs="仿宋_GB2312"/>
          <w:color w:val="auto"/>
          <w:highlight w:val="none"/>
          <w:lang w:val="en-US" w:eastAsia="zh-CN"/>
        </w:rPr>
        <w:t>西宁市民政局向城中区民政局下达了社区老年日间照料中心项目建设任务的通知，由</w:t>
      </w:r>
      <w:r>
        <w:rPr>
          <w:rFonts w:hint="eastAsia" w:ascii="仿宋_GB2312" w:hAnsi="仿宋_GB2312" w:eastAsia="仿宋_GB2312" w:cs="仿宋_GB2312"/>
          <w:b w:val="0"/>
          <w:bCs w:val="0"/>
          <w:color w:val="auto"/>
          <w:sz w:val="32"/>
          <w:szCs w:val="32"/>
          <w:highlight w:val="none"/>
          <w:lang w:val="en-US" w:eastAsia="zh-CN"/>
        </w:rPr>
        <w:t>城中区民政局组织实施福禄巷南社区老年日间照料中心装修及设备购置项目。项目立项符合国家法律法规、国民经济发展规划和相关政策，且与城中区民政局部门职能、发展规划和工作计划密切相关。</w:t>
      </w:r>
    </w:p>
    <w:p>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shd w:val="clear" w:color="auto" w:fill="auto"/>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仿宋_GB2312"/>
          <w:color w:val="auto"/>
          <w:highlight w:val="none"/>
        </w:rPr>
      </w:pPr>
      <w:r>
        <w:rPr>
          <w:rFonts w:hint="eastAsia" w:ascii="仿宋_GB2312" w:hAnsi="仿宋_GB2312" w:eastAsia="仿宋_GB2312" w:cs="仿宋_GB2312"/>
          <w:b w:val="0"/>
          <w:bCs w:val="0"/>
          <w:color w:val="auto"/>
          <w:sz w:val="32"/>
          <w:szCs w:val="32"/>
          <w:highlight w:val="none"/>
          <w:lang w:val="en-US" w:eastAsia="zh-CN"/>
        </w:rPr>
        <w:t>根据指标体系评分标准，</w:t>
      </w:r>
      <w:r>
        <w:rPr>
          <w:rFonts w:hint="eastAsia" w:ascii="仿宋_GB2312" w:hAnsi="仿宋_GB2312" w:eastAsia="仿宋_GB2312" w:cs="仿宋_GB2312"/>
          <w:color w:val="auto"/>
          <w:szCs w:val="32"/>
          <w:highlight w:val="none"/>
        </w:rPr>
        <w:t>项目</w:t>
      </w:r>
      <w:r>
        <w:rPr>
          <w:rFonts w:hint="eastAsia" w:ascii="仿宋_GB2312" w:hAnsi="仿宋_GB2312" w:eastAsia="仿宋_GB2312" w:cs="仿宋_GB2312"/>
          <w:color w:val="auto"/>
          <w:highlight w:val="none"/>
        </w:rPr>
        <w:t>立项符合国家法律法规、国民经济发展规划和相关政策</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lang w:val="en-US" w:eastAsia="zh-CN"/>
        </w:rPr>
        <w:t>得</w:t>
      </w:r>
      <w:r>
        <w:rPr>
          <w:rFonts w:hint="eastAsia" w:ascii="Times New Roman" w:hAnsi="Times New Roman" w:eastAsia="仿宋_GB2312" w:cs="Times New Roman"/>
          <w:b w:val="0"/>
          <w:bCs w:val="0"/>
          <w:color w:val="auto"/>
          <w:kern w:val="2"/>
          <w:sz w:val="32"/>
          <w:szCs w:val="32"/>
          <w:highlight w:val="none"/>
          <w:lang w:val="en-US" w:eastAsia="zh-CN" w:bidi="ar-SA"/>
        </w:rPr>
        <w:t>0.5分</w:t>
      </w:r>
      <w:r>
        <w:rPr>
          <w:rFonts w:hint="eastAsia" w:ascii="仿宋_GB2312" w:hAnsi="仿宋_GB2312" w:eastAsia="仿宋_GB2312" w:cs="仿宋_GB2312"/>
          <w:color w:val="auto"/>
          <w:highlight w:val="none"/>
        </w:rPr>
        <w:t>；符合行业发展规划和政策要求</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lang w:val="en-US" w:eastAsia="zh-CN"/>
        </w:rPr>
        <w:t>得</w:t>
      </w:r>
      <w:r>
        <w:rPr>
          <w:rFonts w:hint="eastAsia" w:ascii="Times New Roman" w:hAnsi="Times New Roman" w:eastAsia="仿宋_GB2312" w:cs="Times New Roman"/>
          <w:b w:val="0"/>
          <w:bCs w:val="0"/>
          <w:color w:val="auto"/>
          <w:kern w:val="2"/>
          <w:sz w:val="32"/>
          <w:szCs w:val="32"/>
          <w:highlight w:val="none"/>
          <w:lang w:val="en-US" w:eastAsia="zh-CN" w:bidi="ar-SA"/>
        </w:rPr>
        <w:t>0.5分；与区民政局部门职责范围相符，属于部门履职所需，得0.5分；项目与相关部门同类项目或部门内部相关项目无重复，得0.5分。指标共计得分2分</w:t>
      </w:r>
      <w:r>
        <w:rPr>
          <w:rFonts w:hint="eastAsia" w:ascii="仿宋_GB2312" w:hAnsi="仿宋_GB2312" w:eastAsia="仿宋_GB2312" w:cs="仿宋_GB2312"/>
          <w:color w:val="auto"/>
          <w:highlight w:val="none"/>
        </w:rPr>
        <w:t>。</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color w:val="auto"/>
          <w:szCs w:val="32"/>
          <w:highlight w:val="none"/>
        </w:rPr>
      </w:pPr>
      <w:r>
        <w:rPr>
          <w:rFonts w:hint="eastAsia" w:ascii="仿宋_GB2312" w:hAnsi="仿宋_GB2312" w:eastAsia="仿宋_GB2312" w:cs="仿宋_GB2312"/>
          <w:b/>
          <w:color w:val="auto"/>
          <w:szCs w:val="32"/>
          <w:highlight w:val="none"/>
          <w:lang w:eastAsia="zh-CN"/>
        </w:rPr>
        <w:t>（</w:t>
      </w:r>
      <w:r>
        <w:rPr>
          <w:rFonts w:hint="eastAsia" w:ascii="仿宋_GB2312" w:hAnsi="仿宋_GB2312" w:eastAsia="仿宋_GB2312"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eastAsia="zh-CN"/>
        </w:rPr>
        <w:t>）项目立项规范性</w:t>
      </w:r>
      <w:r>
        <w:rPr>
          <w:rFonts w:hint="eastAsia" w:ascii="仿宋_GB2312" w:hAnsi="仿宋_GB2312" w:eastAsia="仿宋_GB2312" w:cs="仿宋_GB2312"/>
          <w:b/>
          <w:color w:val="auto"/>
          <w:szCs w:val="32"/>
          <w:highlight w:val="none"/>
        </w:rPr>
        <w:t>（</w:t>
      </w:r>
      <w:r>
        <w:rPr>
          <w:rFonts w:hint="eastAsia" w:ascii="仿宋_GB2312" w:hAnsi="仿宋_GB2312" w:eastAsia="仿宋_GB2312" w:cs="仿宋_GB2312"/>
          <w:b/>
          <w:color w:val="auto"/>
          <w:szCs w:val="32"/>
          <w:highlight w:val="none"/>
          <w:lang w:eastAsia="zh-CN"/>
        </w:rPr>
        <w:t>指标分值</w:t>
      </w:r>
      <w:r>
        <w:rPr>
          <w:rFonts w:hint="eastAsia" w:ascii="仿宋_GB2312" w:hAnsi="仿宋_GB2312" w:eastAsia="仿宋_GB2312"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w:t>
      </w:r>
      <w:r>
        <w:rPr>
          <w:rFonts w:hint="eastAsia" w:ascii="仿宋_GB2312" w:hAnsi="仿宋_GB2312" w:eastAsia="仿宋_GB2312" w:cs="仿宋_GB2312"/>
          <w:b/>
          <w:color w:val="auto"/>
          <w:szCs w:val="32"/>
          <w:highlight w:val="none"/>
          <w:lang w:eastAsia="zh-CN"/>
        </w:rPr>
        <w:t>（得分</w:t>
      </w:r>
      <w:r>
        <w:rPr>
          <w:rFonts w:hint="eastAsia" w:ascii="仿宋_GB2312" w:hAnsi="仿宋_GB2312" w:eastAsia="仿宋_GB2312" w:cs="仿宋_GB2312"/>
          <w:b/>
          <w:color w:val="auto"/>
          <w:szCs w:val="32"/>
          <w:highlight w:val="none"/>
          <w:lang w:val="en-US" w:eastAsia="zh-CN"/>
        </w:rPr>
        <w:t>2分</w:t>
      </w:r>
      <w:r>
        <w:rPr>
          <w:rFonts w:hint="eastAsia" w:ascii="仿宋_GB2312" w:hAnsi="仿宋_GB2312" w:eastAsia="仿宋_GB2312" w:cs="仿宋_GB2312"/>
          <w:b/>
          <w:color w:val="auto"/>
          <w:szCs w:val="32"/>
          <w:highlight w:val="none"/>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val="0"/>
          <w:bCs/>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城中区民政局按照西宁市民政局下达的关于</w:t>
      </w:r>
      <w:r>
        <w:rPr>
          <w:rFonts w:hint="eastAsia" w:ascii="仿宋_GB2312" w:hAnsi="仿宋_GB2312" w:eastAsia="仿宋_GB2312" w:cs="仿宋_GB2312"/>
          <w:color w:val="auto"/>
          <w:highlight w:val="none"/>
          <w:lang w:val="en-US" w:eastAsia="zh-CN"/>
        </w:rPr>
        <w:t>社区老年日间照料中心项目建设任务要求，确定项目选址，购置日间照料中心所需业务用房。</w:t>
      </w:r>
      <w:r>
        <w:rPr>
          <w:rFonts w:hint="eastAsia" w:ascii="仿宋_GB2312" w:hAnsi="仿宋_GB2312" w:eastAsia="仿宋_GB2312" w:cs="仿宋_GB2312"/>
          <w:b w:val="0"/>
          <w:bCs w:val="0"/>
          <w:color w:val="auto"/>
          <w:sz w:val="32"/>
          <w:szCs w:val="32"/>
          <w:highlight w:val="none"/>
          <w:lang w:val="en-US" w:eastAsia="zh-CN"/>
        </w:rPr>
        <w:t>委托专业机构编制《西宁市城中区福禄巷南社区老年日间照料中心室内装修项目工程改造实施方案》及项目概算，经过集体决策后向区发展改革和工业信息化局申请项目立项并上报项目实施方案，区发展改革和工业信息化局会议研究后下达项目批复。项目按照规定的程序申请立项，审批文件符合相关要求</w:t>
      </w:r>
      <w:r>
        <w:rPr>
          <w:rFonts w:hint="eastAsia" w:ascii="仿宋_GB2312" w:hAnsi="仿宋_GB2312" w:eastAsia="仿宋_GB2312" w:cs="仿宋_GB2312"/>
          <w:b w:val="0"/>
          <w:bCs/>
          <w:color w:val="auto"/>
          <w:sz w:val="32"/>
          <w:szCs w:val="32"/>
          <w:highlight w:val="none"/>
          <w:lang w:val="en-US"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default" w:ascii="Times New Roman" w:hAnsi="Times New Roman" w:eastAsia="仿宋_GB2312" w:cs="Times New Roman"/>
          <w:b w:val="0"/>
          <w:bCs/>
          <w:color w:val="auto"/>
          <w:sz w:val="32"/>
          <w:szCs w:val="32"/>
          <w:highlight w:val="none"/>
          <w:lang w:val="en-US" w:eastAsia="zh-CN"/>
        </w:rPr>
      </w:pPr>
      <w:r>
        <w:rPr>
          <w:rFonts w:hint="default" w:ascii="Times New Roman" w:hAnsi="Times New Roman" w:eastAsia="仿宋_GB2312" w:cs="Times New Roman"/>
          <w:b w:val="0"/>
          <w:bCs/>
          <w:color w:val="auto"/>
          <w:sz w:val="32"/>
          <w:szCs w:val="32"/>
          <w:highlight w:val="none"/>
          <w:lang w:val="en-US" w:eastAsia="zh-CN"/>
        </w:rPr>
        <w:t>根据指标体系评分标准，项目按照规定的程序申请立项，</w:t>
      </w:r>
      <w:r>
        <w:rPr>
          <w:rFonts w:hint="default" w:ascii="Times New Roman" w:hAnsi="Times New Roman" w:eastAsia="仿宋_GB2312" w:cs="Times New Roman"/>
          <w:color w:val="auto"/>
          <w:highlight w:val="none"/>
          <w:lang w:val="en-US" w:eastAsia="zh-CN"/>
        </w:rPr>
        <w:t>得0.5分；审批文件、材料符合相关要求，得0.5分；</w:t>
      </w:r>
      <w:r>
        <w:rPr>
          <w:rFonts w:hint="default" w:ascii="Times New Roman" w:hAnsi="Times New Roman" w:eastAsia="仿宋_GB2312" w:cs="Times New Roman"/>
          <w:b w:val="0"/>
          <w:bCs/>
          <w:color w:val="auto"/>
          <w:sz w:val="32"/>
          <w:szCs w:val="32"/>
          <w:highlight w:val="none"/>
          <w:lang w:val="en-US" w:eastAsia="zh-CN"/>
        </w:rPr>
        <w:t>事前经过必要的项目评估和集体决策，</w:t>
      </w:r>
      <w:r>
        <w:rPr>
          <w:rFonts w:hint="default" w:ascii="Times New Roman" w:hAnsi="Times New Roman" w:eastAsia="仿宋_GB2312" w:cs="Times New Roman"/>
          <w:color w:val="auto"/>
          <w:highlight w:val="none"/>
          <w:lang w:val="en-US" w:eastAsia="zh-CN"/>
        </w:rPr>
        <w:t>得1分</w:t>
      </w:r>
      <w:r>
        <w:rPr>
          <w:rFonts w:hint="default" w:ascii="Times New Roman" w:hAnsi="Times New Roman" w:eastAsia="仿宋_GB2312" w:cs="Times New Roman"/>
          <w:b w:val="0"/>
          <w:bCs/>
          <w:color w:val="auto"/>
          <w:sz w:val="32"/>
          <w:szCs w:val="32"/>
          <w:highlight w:val="none"/>
          <w:lang w:val="en-US" w:eastAsia="zh-CN"/>
        </w:rPr>
        <w:t>。指标共计得分2分。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bCs/>
          <w:color w:val="auto"/>
          <w:highlight w:val="none"/>
          <w:lang w:val="en-US" w:eastAsia="zh-CN"/>
        </w:rPr>
      </w:pPr>
      <w:r>
        <w:rPr>
          <w:rFonts w:hint="eastAsia" w:ascii="仿宋_GB2312" w:hAnsi="仿宋_GB2312" w:eastAsia="仿宋_GB2312" w:cs="仿宋_GB2312"/>
          <w:b/>
          <w:bCs/>
          <w:color w:val="auto"/>
          <w:highlight w:val="none"/>
          <w:lang w:val="en-US" w:eastAsia="zh-CN"/>
        </w:rPr>
        <w:t>2.绩效目标</w:t>
      </w:r>
      <w:r>
        <w:rPr>
          <w:rFonts w:hint="eastAsia" w:ascii="仿宋_GB2312" w:hAnsi="仿宋_GB2312" w:eastAsia="仿宋_GB2312" w:cs="仿宋_GB2312"/>
          <w:b/>
          <w:color w:val="auto"/>
          <w:szCs w:val="32"/>
          <w:highlight w:val="none"/>
        </w:rPr>
        <w:t>（指标分值</w:t>
      </w:r>
      <w:r>
        <w:rPr>
          <w:rFonts w:hint="eastAsia" w:ascii="仿宋_GB2312" w:hAnsi="仿宋_GB2312" w:eastAsia="仿宋_GB2312" w:cs="仿宋_GB2312"/>
          <w:b/>
          <w:color w:val="auto"/>
          <w:szCs w:val="32"/>
          <w:highlight w:val="none"/>
          <w:lang w:val="en-US" w:eastAsia="zh-CN"/>
        </w:rPr>
        <w:t>4</w:t>
      </w:r>
      <w:r>
        <w:rPr>
          <w:rFonts w:hint="eastAsia" w:ascii="仿宋_GB2312" w:hAnsi="仿宋_GB2312" w:eastAsia="仿宋_GB2312" w:cs="仿宋_GB2312"/>
          <w:b/>
          <w:color w:val="auto"/>
          <w:szCs w:val="32"/>
          <w:highlight w:val="none"/>
        </w:rPr>
        <w:t>分）（得分</w:t>
      </w:r>
      <w:r>
        <w:rPr>
          <w:rFonts w:hint="eastAsia" w:ascii="仿宋_GB2312" w:hAnsi="仿宋_GB2312" w:eastAsia="仿宋_GB2312" w:cs="仿宋_GB2312"/>
          <w:b/>
          <w:color w:val="auto"/>
          <w:szCs w:val="32"/>
          <w:highlight w:val="none"/>
          <w:lang w:val="en-US" w:eastAsia="zh-CN"/>
        </w:rPr>
        <w:t>3</w:t>
      </w:r>
      <w:r>
        <w:rPr>
          <w:rFonts w:hint="eastAsia" w:ascii="仿宋_GB2312" w:hAnsi="仿宋_GB2312" w:eastAsia="仿宋_GB2312" w:cs="仿宋_GB2312"/>
          <w:b/>
          <w:color w:val="auto"/>
          <w:szCs w:val="32"/>
          <w:highlight w:val="none"/>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color w:val="auto"/>
          <w:szCs w:val="32"/>
          <w:highlight w:val="none"/>
          <w:lang w:eastAsia="zh-CN"/>
        </w:rPr>
      </w:pPr>
      <w:r>
        <w:rPr>
          <w:rFonts w:hint="eastAsia" w:ascii="仿宋_GB2312" w:hAnsi="仿宋_GB2312" w:eastAsia="仿宋_GB2312" w:cs="仿宋_GB2312"/>
          <w:b/>
          <w:color w:val="auto"/>
          <w:szCs w:val="32"/>
          <w:highlight w:val="none"/>
          <w:lang w:eastAsia="zh-CN"/>
        </w:rPr>
        <w:t>（</w:t>
      </w:r>
      <w:r>
        <w:rPr>
          <w:rFonts w:hint="eastAsia" w:ascii="仿宋_GB2312" w:hAnsi="仿宋_GB2312" w:eastAsia="仿宋_GB2312" w:cs="仿宋_GB2312"/>
          <w:b/>
          <w:color w:val="auto"/>
          <w:szCs w:val="32"/>
          <w:highlight w:val="none"/>
          <w:lang w:val="en-US" w:eastAsia="zh-CN"/>
        </w:rPr>
        <w:t>1</w:t>
      </w:r>
      <w:r>
        <w:rPr>
          <w:rFonts w:hint="eastAsia" w:ascii="仿宋_GB2312" w:hAnsi="仿宋_GB2312" w:eastAsia="仿宋_GB2312" w:cs="仿宋_GB2312"/>
          <w:b/>
          <w:color w:val="auto"/>
          <w:szCs w:val="32"/>
          <w:highlight w:val="none"/>
          <w:lang w:eastAsia="zh-CN"/>
        </w:rPr>
        <w:t>）</w:t>
      </w:r>
      <w:r>
        <w:rPr>
          <w:rFonts w:hint="eastAsia" w:ascii="仿宋_GB2312" w:hAnsi="仿宋_GB2312" w:eastAsia="仿宋_GB2312" w:cs="仿宋_GB2312"/>
          <w:b/>
          <w:color w:val="auto"/>
          <w:szCs w:val="32"/>
          <w:highlight w:val="none"/>
        </w:rPr>
        <w:t>绩效目标合理性（指标分值2分）（得分</w:t>
      </w:r>
      <w:r>
        <w:rPr>
          <w:rFonts w:hint="eastAsia" w:ascii="仿宋_GB2312" w:hAnsi="仿宋_GB2312" w:eastAsia="仿宋_GB2312"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color w:val="auto"/>
          <w:highlight w:val="none"/>
          <w:lang w:val="en-US" w:eastAsia="zh-CN"/>
        </w:rPr>
        <w:t>西宁市城中区福禄巷南社区老年日间照料中心装修及设备购置项目于</w:t>
      </w:r>
      <w:r>
        <w:rPr>
          <w:rFonts w:hint="eastAsia" w:ascii="Times New Roman" w:hAnsi="Times New Roman" w:eastAsia="仿宋_GB2312" w:cs="Times New Roman"/>
          <w:b w:val="0"/>
          <w:bCs/>
          <w:color w:val="auto"/>
          <w:sz w:val="32"/>
          <w:szCs w:val="32"/>
          <w:highlight w:val="none"/>
          <w:lang w:val="en-US" w:eastAsia="zh-CN"/>
        </w:rPr>
        <w:t>2021年度申请项目预算时填报了《县级项目支出绩效目标申报表》。项目预期目标及效益为加强福禄巷南社区日照基础建设，增强社区为民服务能力，营造和谐社会；项目预算申请财政资金363.6万</w:t>
      </w:r>
      <w:r>
        <w:rPr>
          <w:rFonts w:hint="eastAsia" w:ascii="仿宋_GB2312" w:hAnsi="仿宋_GB2312" w:eastAsia="仿宋_GB2312" w:cs="仿宋_GB2312"/>
          <w:color w:val="auto"/>
          <w:kern w:val="0"/>
          <w:szCs w:val="21"/>
          <w:highlight w:val="none"/>
          <w:lang w:val="en-US" w:eastAsia="zh-CN"/>
        </w:rPr>
        <w:t>元。</w:t>
      </w:r>
      <w:r>
        <w:rPr>
          <w:rFonts w:hint="eastAsia" w:ascii="仿宋_GB2312" w:hAnsi="仿宋_GB2312" w:eastAsia="仿宋_GB2312" w:cs="仿宋_GB2312"/>
          <w:b w:val="0"/>
          <w:bCs w:val="0"/>
          <w:color w:val="auto"/>
          <w:sz w:val="32"/>
          <w:szCs w:val="32"/>
          <w:highlight w:val="none"/>
          <w:lang w:val="en-US" w:eastAsia="zh-CN"/>
        </w:rPr>
        <w:t>项目绩效目标与实际工作内容具有相关性，项目预期产出效益和效果符合正常的业绩水平，与项目预算确定的项目投资额或资金量相匹配。</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根据指标体系评分标准，西宁市城中区福禄巷南社区老年日间照料中心装修及设备购置项目设定了绩效目标，得</w:t>
      </w:r>
      <w:r>
        <w:rPr>
          <w:rFonts w:hint="eastAsia" w:ascii="Times New Roman" w:hAnsi="Times New Roman" w:eastAsia="仿宋_GB2312" w:cs="Times New Roman"/>
          <w:b w:val="0"/>
          <w:bCs/>
          <w:color w:val="auto"/>
          <w:sz w:val="32"/>
          <w:szCs w:val="32"/>
          <w:highlight w:val="none"/>
          <w:lang w:val="en-US" w:eastAsia="zh-CN"/>
        </w:rPr>
        <w:t>0.5分；项目绩效目标与实际工作内容具有相关性，得0.5分；项目预期产出效益和效果符合正常的业绩水平，得0.5分；与预算确定的项目投资额或资金量相匹配，得0.5分。指标共计得分2分。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Autospacing="0" w:afterAutospacing="0" w:line="576" w:lineRule="exact"/>
        <w:ind w:left="0" w:leftChars="0" w:firstLine="643" w:firstLineChars="200"/>
        <w:jc w:val="both"/>
        <w:textAlignment w:val="auto"/>
        <w:rPr>
          <w:rFonts w:hint="eastAsia" w:ascii="仿宋_GB2312" w:hAnsi="仿宋_GB2312" w:eastAsia="仿宋_GB2312" w:cs="仿宋_GB2312"/>
          <w:b/>
          <w:color w:val="auto"/>
          <w:kern w:val="0"/>
          <w:sz w:val="32"/>
          <w:szCs w:val="32"/>
          <w:highlight w:val="none"/>
          <w:lang w:val="en-US" w:eastAsia="zh-CN" w:bidi="ar-SA"/>
        </w:rPr>
      </w:pPr>
      <w:r>
        <w:rPr>
          <w:rFonts w:hint="eastAsia" w:ascii="仿宋_GB2312" w:hAnsi="仿宋_GB2312" w:eastAsia="仿宋_GB2312" w:cs="仿宋_GB2312"/>
          <w:b/>
          <w:color w:val="auto"/>
          <w:kern w:val="0"/>
          <w:sz w:val="32"/>
          <w:szCs w:val="32"/>
          <w:highlight w:val="none"/>
          <w:lang w:val="en-US" w:eastAsia="zh-CN" w:bidi="ar-SA"/>
        </w:rPr>
        <w:t>（2）绩效指标明确性（指标分值2分）（得分1分）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Autospacing="0" w:afterAutospacing="0" w:line="576" w:lineRule="exact"/>
        <w:ind w:left="0" w:leftChars="0" w:firstLine="640" w:firstLineChars="200"/>
        <w:jc w:val="both"/>
        <w:textAlignment w:val="auto"/>
        <w:rPr>
          <w:rFonts w:hint="eastAsia" w:ascii="仿宋_GB2312" w:hAnsi="仿宋_GB2312" w:eastAsia="仿宋_GB2312" w:cs="仿宋_GB2312"/>
          <w:color w:val="auto"/>
          <w:kern w:val="2"/>
          <w:sz w:val="32"/>
          <w:szCs w:val="24"/>
          <w:highlight w:val="none"/>
          <w:lang w:val="en-US" w:eastAsia="zh-CN" w:bidi="ar-SA"/>
        </w:rPr>
      </w:pPr>
      <w:r>
        <w:rPr>
          <w:rFonts w:hint="eastAsia" w:ascii="仿宋_GB2312" w:hAnsi="仿宋_GB2312" w:eastAsia="仿宋_GB2312" w:cs="仿宋_GB2312"/>
          <w:b w:val="0"/>
          <w:bCs w:val="0"/>
          <w:color w:val="auto"/>
          <w:kern w:val="0"/>
          <w:sz w:val="32"/>
          <w:szCs w:val="32"/>
          <w:highlight w:val="none"/>
          <w:lang w:val="en-US" w:eastAsia="zh-CN" w:bidi="ar-SA"/>
        </w:rPr>
        <w:t>根据查阅该项目填报的《县级项目支出绩效目标申报表》，表中将项目绩效目标分解为</w:t>
      </w:r>
      <w:r>
        <w:rPr>
          <w:rFonts w:hint="eastAsia" w:ascii="Times New Roman" w:hAnsi="Times New Roman" w:eastAsia="仿宋_GB2312" w:cs="Times New Roman"/>
          <w:b w:val="0"/>
          <w:bCs/>
          <w:color w:val="auto"/>
          <w:sz w:val="32"/>
          <w:szCs w:val="32"/>
          <w:highlight w:val="none"/>
          <w:lang w:val="en-US" w:eastAsia="zh-CN"/>
        </w:rPr>
        <w:t>3个一级绩效指标，8个</w:t>
      </w:r>
      <w:r>
        <w:rPr>
          <w:rFonts w:hint="eastAsia" w:ascii="仿宋_GB2312" w:hAnsi="仿宋_GB2312" w:eastAsia="仿宋_GB2312" w:cs="仿宋_GB2312"/>
          <w:b w:val="0"/>
          <w:bCs w:val="0"/>
          <w:color w:val="auto"/>
          <w:kern w:val="0"/>
          <w:sz w:val="32"/>
          <w:szCs w:val="32"/>
          <w:highlight w:val="none"/>
          <w:lang w:val="en-US" w:eastAsia="zh-CN" w:bidi="ar-SA"/>
        </w:rPr>
        <w:t>二级绩效指标。但一级指标“服务对象满意度指标”未细化设定对应的二级指标；二级指标“成本指标”、“经济效益指标”未填写指标内容；“质量指标”和“时效指标”指标</w:t>
      </w:r>
      <w:r>
        <w:rPr>
          <w:rFonts w:hint="eastAsia" w:ascii="仿宋_GB2312" w:hAnsi="仿宋_GB2312" w:eastAsia="仿宋_GB2312" w:cs="仿宋_GB2312"/>
          <w:color w:val="auto"/>
          <w:kern w:val="2"/>
          <w:sz w:val="32"/>
          <w:szCs w:val="24"/>
          <w:highlight w:val="none"/>
          <w:lang w:val="en-US" w:eastAsia="zh-CN" w:bidi="ar-SA"/>
        </w:rPr>
        <w:t>内容填写不准确，如将“质量指标”的指标内容填写为“项目按计划开工率”，“时效指标”的指标内容填写为“项目完成率”，而“项目按计划开工率”、“项目完成率”应属于“数量指标”的指标内容。</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Autospacing="0" w:afterAutospacing="0" w:line="576" w:lineRule="exact"/>
        <w:ind w:left="0" w:leftChars="0" w:firstLine="640" w:firstLineChars="200"/>
        <w:jc w:val="both"/>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ascii="仿宋_GB2312" w:hAnsi="仿宋_GB2312" w:eastAsia="仿宋_GB2312" w:cs="仿宋_GB2312"/>
          <w:color w:val="auto"/>
          <w:kern w:val="2"/>
          <w:sz w:val="32"/>
          <w:szCs w:val="24"/>
          <w:highlight w:val="none"/>
          <w:lang w:val="en-US" w:eastAsia="zh-CN" w:bidi="ar-SA"/>
        </w:rPr>
        <w:t>根据指标体系评分标准，将项目绩效目标细化分解为具体的绩效指标，得</w:t>
      </w:r>
      <w:r>
        <w:rPr>
          <w:rFonts w:hint="eastAsia" w:ascii="Times New Roman" w:hAnsi="Times New Roman" w:eastAsia="仿宋_GB2312" w:cs="Times New Roman"/>
          <w:b w:val="0"/>
          <w:bCs/>
          <w:color w:val="auto"/>
          <w:sz w:val="32"/>
          <w:szCs w:val="32"/>
          <w:highlight w:val="none"/>
          <w:lang w:val="en-US" w:eastAsia="zh-CN"/>
        </w:rPr>
        <w:t>0.5分；与项目目标任务数或计划数相对应，得0.5分；绩效指标设置不够细化量化、指标值设定不够清晰、可衡量，部分指标内容填写不准确，扣1分。指标扣1分，得分为1分。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val="0"/>
          <w:bCs w:val="0"/>
          <w:color w:val="auto"/>
          <w:kern w:val="0"/>
          <w:sz w:val="32"/>
          <w:szCs w:val="32"/>
          <w:highlight w:val="none"/>
          <w:lang w:val="en-US" w:eastAsia="zh-CN" w:bidi="ar-SA"/>
        </w:rPr>
      </w:pPr>
      <w:r>
        <w:rPr>
          <w:rFonts w:hint="eastAsia" w:ascii="仿宋_GB2312" w:hAnsi="仿宋_GB2312" w:eastAsia="仿宋_GB2312" w:cs="仿宋_GB2312"/>
          <w:b/>
          <w:color w:val="auto"/>
          <w:szCs w:val="32"/>
          <w:highlight w:val="none"/>
          <w:lang w:val="en-US" w:eastAsia="zh-CN"/>
        </w:rPr>
        <w:t>3.资金投入（指标分值4分）（得分</w:t>
      </w:r>
      <w:r>
        <w:rPr>
          <w:rFonts w:hint="eastAsia" w:cs="仿宋_GB2312"/>
          <w:b/>
          <w:color w:val="auto"/>
          <w:szCs w:val="32"/>
          <w:highlight w:val="none"/>
          <w:lang w:val="en-US" w:eastAsia="zh-CN"/>
        </w:rPr>
        <w:t>3.0</w:t>
      </w:r>
      <w:r>
        <w:rPr>
          <w:rFonts w:hint="eastAsia" w:ascii="仿宋_GB2312" w:hAnsi="仿宋_GB2312" w:eastAsia="仿宋_GB2312" w:cs="仿宋_GB2312"/>
          <w:b/>
          <w:color w:val="auto"/>
          <w:szCs w:val="32"/>
          <w:highlight w:val="none"/>
          <w:lang w:val="en-US" w:eastAsia="zh-CN"/>
        </w:rPr>
        <w:t>3分）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jc w:val="both"/>
        <w:textAlignment w:val="auto"/>
        <w:rPr>
          <w:rFonts w:hint="eastAsia" w:ascii="仿宋_GB2312" w:hAnsi="仿宋_GB2312" w:eastAsia="仿宋_GB2312" w:cs="仿宋_GB2312"/>
          <w:b/>
          <w:color w:val="auto"/>
          <w:szCs w:val="32"/>
          <w:highlight w:val="none"/>
          <w:lang w:val="en-US" w:eastAsia="zh-CN"/>
        </w:rPr>
      </w:pPr>
      <w:r>
        <w:rPr>
          <w:rFonts w:hint="eastAsia" w:ascii="仿宋_GB2312" w:hAnsi="仿宋_GB2312" w:eastAsia="仿宋_GB2312" w:cs="仿宋_GB2312"/>
          <w:b/>
          <w:color w:val="auto"/>
          <w:szCs w:val="32"/>
          <w:highlight w:val="none"/>
          <w:lang w:val="en-US" w:eastAsia="zh-CN"/>
        </w:rPr>
        <w:t>（1）预算编制科学性（指标分值2分）（得分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val="0"/>
          <w:bCs w:val="0"/>
          <w:color w:val="auto"/>
          <w:kern w:val="0"/>
          <w:sz w:val="32"/>
          <w:szCs w:val="32"/>
          <w:highlight w:val="none"/>
          <w:lang w:val="en-US" w:eastAsia="zh-CN" w:bidi="ar-SA"/>
        </w:rPr>
      </w:pPr>
      <w:r>
        <w:rPr>
          <w:rFonts w:hint="eastAsia" w:ascii="仿宋_GB2312" w:hAnsi="仿宋_GB2312" w:eastAsia="仿宋_GB2312" w:cs="仿宋_GB2312"/>
          <w:b w:val="0"/>
          <w:bCs w:val="0"/>
          <w:color w:val="auto"/>
          <w:sz w:val="32"/>
          <w:szCs w:val="32"/>
          <w:highlight w:val="none"/>
          <w:lang w:val="en-US" w:eastAsia="zh-CN"/>
        </w:rPr>
        <w:t>根据该项目填报的《县级项目支出绩效目标申报表》，西宁市城中区福禄巷南社区老年日间照料中心装修及设备购置项目申请预算资金</w:t>
      </w:r>
      <w:r>
        <w:rPr>
          <w:rFonts w:hint="eastAsia" w:ascii="Times New Roman" w:hAnsi="Times New Roman" w:eastAsia="仿宋_GB2312" w:cs="Times New Roman"/>
          <w:b w:val="0"/>
          <w:bCs/>
          <w:color w:val="auto"/>
          <w:sz w:val="32"/>
          <w:szCs w:val="32"/>
          <w:highlight w:val="none"/>
          <w:lang w:val="en-US" w:eastAsia="zh-CN"/>
        </w:rPr>
        <w:t>363.6万元，其中装修款148.62万元，办公设备款211.38万元，装修监理费3.6万元，主要用于福禄巷南社区老年日间照料中心室内装修及采购</w:t>
      </w:r>
      <w:r>
        <w:rPr>
          <w:rFonts w:hint="eastAsia" w:ascii="仿宋_GB2312" w:hAnsi="仿宋_GB2312" w:eastAsia="仿宋_GB2312" w:cs="仿宋_GB2312"/>
          <w:b w:val="0"/>
          <w:bCs w:val="0"/>
          <w:color w:val="auto"/>
          <w:kern w:val="0"/>
          <w:sz w:val="32"/>
          <w:szCs w:val="32"/>
          <w:highlight w:val="none"/>
          <w:lang w:val="en-US" w:eastAsia="zh-CN" w:bidi="ar-SA"/>
        </w:rPr>
        <w:t>电子、办公家具、厨具、康复仪器等设备。预算额度测算依据充分，项目预算内容与项目实际建设内容相匹配，预算确定的项目投资额或资金量与工作任务相匹配。</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ascii="仿宋_GB2312" w:hAnsi="仿宋_GB2312" w:eastAsia="仿宋_GB2312" w:cs="仿宋_GB2312"/>
          <w:b w:val="0"/>
          <w:bCs w:val="0"/>
          <w:color w:val="auto"/>
          <w:kern w:val="0"/>
          <w:sz w:val="32"/>
          <w:szCs w:val="32"/>
          <w:highlight w:val="none"/>
          <w:lang w:val="en-US" w:eastAsia="zh-CN" w:bidi="ar-SA"/>
        </w:rPr>
        <w:t>根据指标体系评分标准，项目预算编制经过论证</w:t>
      </w:r>
      <w:r>
        <w:rPr>
          <w:rFonts w:hint="eastAsia" w:ascii="Times New Roman" w:hAnsi="Times New Roman" w:eastAsia="仿宋_GB2312" w:cs="Times New Roman"/>
          <w:b w:val="0"/>
          <w:bCs/>
          <w:color w:val="auto"/>
          <w:sz w:val="32"/>
          <w:szCs w:val="32"/>
          <w:highlight w:val="none"/>
          <w:lang w:val="en-US" w:eastAsia="zh-CN"/>
        </w:rPr>
        <w:t>，得0.5分；项目预算内容与项目实际建设内容相匹配，得0.5分；预算额度测算依据充分，得0.5分；预算确定的项目投资额或资金量与工作任务相匹配，得0.5分。指标共计得分2分。</w:t>
      </w:r>
    </w:p>
    <w:p>
      <w:pPr>
        <w:keepNext w:val="0"/>
        <w:keepLines w:val="0"/>
        <w:pageBreakBefore w:val="0"/>
        <w:widowControl w:val="0"/>
        <w:shd w:val="clear" w:color="auto" w:fill="auto"/>
        <w:kinsoku/>
        <w:overflowPunct/>
        <w:topLinePunct w:val="0"/>
        <w:autoSpaceDE/>
        <w:autoSpaceDN/>
        <w:bidi w:val="0"/>
        <w:spacing w:line="576" w:lineRule="exact"/>
        <w:ind w:left="0" w:leftChars="0" w:firstLine="643" w:firstLineChars="200"/>
        <w:rPr>
          <w:rFonts w:hint="eastAsia" w:ascii="仿宋_GB2312" w:hAnsi="仿宋_GB2312" w:eastAsia="仿宋_GB2312" w:cs="仿宋_GB2312"/>
          <w:b/>
          <w:bCs/>
          <w:color w:val="auto"/>
          <w:szCs w:val="32"/>
          <w:highlight w:val="none"/>
        </w:rPr>
      </w:pP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lang w:val="en-US" w:eastAsia="zh-CN"/>
        </w:rPr>
        <w:t>2</w:t>
      </w:r>
      <w:r>
        <w:rPr>
          <w:rFonts w:hint="eastAsia" w:ascii="仿宋_GB2312" w:hAnsi="仿宋_GB2312" w:eastAsia="仿宋_GB2312" w:cs="仿宋_GB2312"/>
          <w:b/>
          <w:bCs/>
          <w:color w:val="auto"/>
          <w:highlight w:val="none"/>
          <w:lang w:eastAsia="zh-CN"/>
        </w:rPr>
        <w:t>）</w:t>
      </w:r>
      <w:r>
        <w:rPr>
          <w:rFonts w:hint="eastAsia" w:ascii="仿宋_GB2312" w:hAnsi="仿宋_GB2312" w:eastAsia="仿宋_GB2312" w:cs="仿宋_GB2312"/>
          <w:b/>
          <w:bCs/>
          <w:color w:val="auto"/>
          <w:highlight w:val="none"/>
        </w:rPr>
        <w:t>资金到位率</w:t>
      </w:r>
      <w:r>
        <w:rPr>
          <w:rFonts w:hint="eastAsia" w:ascii="仿宋_GB2312" w:hAnsi="仿宋_GB2312" w:eastAsia="仿宋_GB2312" w:cs="仿宋_GB2312"/>
          <w:b/>
          <w:bCs/>
          <w:color w:val="auto"/>
          <w:szCs w:val="32"/>
          <w:highlight w:val="none"/>
        </w:rPr>
        <w:t>（指标分值2分）（得分</w:t>
      </w:r>
      <w:r>
        <w:rPr>
          <w:rFonts w:hint="eastAsia" w:ascii="仿宋_GB2312" w:hAnsi="仿宋_GB2312" w:eastAsia="仿宋_GB2312" w:cs="仿宋_GB2312"/>
          <w:b/>
          <w:bCs/>
          <w:color w:val="auto"/>
          <w:szCs w:val="32"/>
          <w:highlight w:val="none"/>
          <w:lang w:val="en-US" w:eastAsia="zh-CN"/>
        </w:rPr>
        <w:t>1.03</w:t>
      </w:r>
      <w:r>
        <w:rPr>
          <w:rFonts w:hint="eastAsia" w:ascii="仿宋_GB2312" w:hAnsi="仿宋_GB2312" w:eastAsia="仿宋_GB2312" w:cs="仿宋_GB2312"/>
          <w:b/>
          <w:bCs/>
          <w:color w:val="auto"/>
          <w:szCs w:val="32"/>
          <w:highlight w:val="none"/>
        </w:rPr>
        <w:t>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jc w:val="both"/>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西宁市城中区福禄巷南社区老年日间照料中心装修及设备购置项目</w:t>
      </w:r>
      <w:r>
        <w:rPr>
          <w:rFonts w:hint="eastAsia" w:ascii="Times New Roman" w:hAnsi="Times New Roman" w:eastAsia="仿宋_GB2312" w:cs="Times New Roman"/>
          <w:b w:val="0"/>
          <w:bCs/>
          <w:color w:val="auto"/>
          <w:sz w:val="32"/>
          <w:szCs w:val="32"/>
          <w:highlight w:val="none"/>
          <w:lang w:val="en-US" w:eastAsia="zh-CN"/>
        </w:rPr>
        <w:t>2021年度申请预算资金363.6万元，实际到位资金186.66万元，资金到位率为51.34%。</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jc w:val="both"/>
        <w:textAlignment w:val="auto"/>
        <w:rPr>
          <w:rFonts w:hint="eastAsia" w:ascii="仿宋_GB2312" w:hAnsi="仿宋_GB2312" w:eastAsia="仿宋_GB2312" w:cs="仿宋_GB2312"/>
          <w:color w:val="auto"/>
          <w:szCs w:val="32"/>
          <w:highlight w:val="none"/>
          <w:lang w:val="en-US" w:eastAsia="zh-CN"/>
        </w:rPr>
      </w:pPr>
      <w:r>
        <w:rPr>
          <w:rFonts w:hint="eastAsia" w:ascii="Times New Roman" w:hAnsi="Times New Roman" w:eastAsia="仿宋_GB2312" w:cs="Times New Roman"/>
          <w:b w:val="0"/>
          <w:bCs/>
          <w:color w:val="auto"/>
          <w:sz w:val="32"/>
          <w:szCs w:val="32"/>
          <w:highlight w:val="none"/>
          <w:lang w:val="en-US" w:eastAsia="zh-CN"/>
        </w:rPr>
        <w:t>根据指标体系评分标准，指标分值=资金到位率51.34%*指标满分值2分=1.03分。指标得分1.03分。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 w:hAnsi="楷体" w:eastAsia="楷体" w:cs="楷体"/>
          <w:b/>
          <w:color w:val="auto"/>
          <w:kern w:val="2"/>
          <w:sz w:val="32"/>
          <w:szCs w:val="24"/>
          <w:highlight w:val="none"/>
          <w:lang w:val="en-US" w:eastAsia="zh-CN" w:bidi="ar-SA"/>
        </w:rPr>
      </w:pPr>
      <w:bookmarkStart w:id="524" w:name="_Toc13838"/>
      <w:bookmarkStart w:id="525" w:name="_Toc9042"/>
      <w:bookmarkStart w:id="526" w:name="_Toc23463"/>
      <w:bookmarkStart w:id="527" w:name="_Toc23621"/>
      <w:r>
        <w:rPr>
          <w:rFonts w:hint="eastAsia" w:ascii="楷体_GB2312" w:hAnsi="楷体_GB2312" w:eastAsia="楷体_GB2312" w:cs="楷体_GB2312"/>
          <w:b/>
          <w:color w:val="auto"/>
          <w:kern w:val="2"/>
          <w:sz w:val="32"/>
          <w:szCs w:val="24"/>
          <w:highlight w:val="none"/>
          <w:lang w:val="en-US" w:eastAsia="zh-CN" w:bidi="ar-SA"/>
        </w:rPr>
        <w:fldChar w:fldCharType="begin"/>
      </w:r>
      <w:r>
        <w:rPr>
          <w:rFonts w:hint="eastAsia" w:ascii="楷体_GB2312" w:hAnsi="楷体_GB2312" w:eastAsia="楷体_GB2312" w:cs="楷体_GB2312"/>
          <w:b/>
          <w:color w:val="auto"/>
          <w:kern w:val="2"/>
          <w:sz w:val="32"/>
          <w:szCs w:val="24"/>
          <w:highlight w:val="none"/>
          <w:lang w:val="en-US" w:eastAsia="zh-CN" w:bidi="ar-SA"/>
        </w:rPr>
        <w:instrText xml:space="preserve"> HYPERLINK \l "_Toc30985" </w:instrText>
      </w:r>
      <w:r>
        <w:rPr>
          <w:rFonts w:hint="eastAsia" w:ascii="楷体_GB2312" w:hAnsi="楷体_GB2312" w:eastAsia="楷体_GB2312" w:cs="楷体_GB2312"/>
          <w:b/>
          <w:color w:val="auto"/>
          <w:kern w:val="2"/>
          <w:sz w:val="32"/>
          <w:szCs w:val="24"/>
          <w:highlight w:val="none"/>
          <w:lang w:val="en-US" w:eastAsia="zh-CN" w:bidi="ar-SA"/>
        </w:rPr>
        <w:fldChar w:fldCharType="separate"/>
      </w:r>
      <w:r>
        <w:rPr>
          <w:rFonts w:hint="eastAsia" w:ascii="楷体_GB2312" w:hAnsi="楷体_GB2312" w:eastAsia="楷体_GB2312" w:cs="楷体_GB2312"/>
          <w:b/>
          <w:color w:val="auto"/>
          <w:kern w:val="2"/>
          <w:sz w:val="32"/>
          <w:szCs w:val="24"/>
          <w:highlight w:val="none"/>
          <w:lang w:val="en-US" w:eastAsia="zh-CN" w:bidi="ar-SA"/>
        </w:rPr>
        <w:t>（二）项目过程</w:t>
      </w:r>
      <w:r>
        <w:rPr>
          <w:rFonts w:hint="eastAsia" w:ascii="楷体_GB2312" w:hAnsi="楷体_GB2312" w:eastAsia="楷体_GB2312" w:cs="楷体_GB2312"/>
          <w:b/>
          <w:color w:val="auto"/>
          <w:kern w:val="2"/>
          <w:sz w:val="32"/>
          <w:szCs w:val="24"/>
          <w:highlight w:val="none"/>
          <w:lang w:val="en-US" w:eastAsia="zh-CN" w:bidi="ar-SA"/>
        </w:rPr>
        <w:fldChar w:fldCharType="end"/>
      </w:r>
      <w:r>
        <w:rPr>
          <w:rFonts w:hint="eastAsia" w:ascii="楷体_GB2312" w:hAnsi="楷体_GB2312" w:eastAsia="楷体_GB2312" w:cs="楷体_GB2312"/>
          <w:b/>
          <w:color w:val="auto"/>
          <w:kern w:val="2"/>
          <w:sz w:val="32"/>
          <w:szCs w:val="24"/>
          <w:highlight w:val="none"/>
          <w:lang w:val="en-US" w:eastAsia="zh-CN" w:bidi="ar-SA"/>
        </w:rPr>
        <w:t>情况</w:t>
      </w:r>
      <w:bookmarkEnd w:id="524"/>
      <w:bookmarkEnd w:id="525"/>
      <w:bookmarkEnd w:id="526"/>
      <w:bookmarkEnd w:id="527"/>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西宁市城中区福禄巷南社区老年日间照料中心装修及设备购置</w:t>
      </w:r>
      <w:r>
        <w:rPr>
          <w:rFonts w:hint="eastAsia" w:cs="仿宋_GB2312"/>
          <w:color w:val="auto"/>
          <w:highlight w:val="none"/>
          <w:lang w:val="en-US" w:eastAsia="zh-CN"/>
        </w:rPr>
        <w:t>项目</w:t>
      </w:r>
      <w:r>
        <w:rPr>
          <w:rFonts w:hint="eastAsia" w:ascii="仿宋_GB2312" w:hAnsi="仿宋_GB2312" w:eastAsia="仿宋_GB2312" w:cs="仿宋_GB2312"/>
          <w:color w:val="auto"/>
          <w:highlight w:val="none"/>
          <w:lang w:val="en-US" w:eastAsia="zh-CN"/>
        </w:rPr>
        <w:t>绩效评价</w:t>
      </w:r>
      <w:r>
        <w:rPr>
          <w:rFonts w:hint="eastAsia" w:cs="仿宋_GB2312"/>
          <w:color w:val="auto"/>
          <w:highlight w:val="none"/>
          <w:lang w:val="en-US" w:eastAsia="zh-CN"/>
        </w:rPr>
        <w:t>过程</w:t>
      </w:r>
      <w:r>
        <w:rPr>
          <w:rFonts w:hint="eastAsia" w:ascii="仿宋_GB2312" w:hAnsi="仿宋_GB2312" w:eastAsia="仿宋_GB2312" w:cs="仿宋_GB2312"/>
          <w:color w:val="auto"/>
          <w:highlight w:val="none"/>
          <w:lang w:val="en-US" w:eastAsia="zh-CN"/>
        </w:rPr>
        <w:t>类指标分别</w:t>
      </w:r>
      <w:r>
        <w:rPr>
          <w:rFonts w:hint="eastAsia" w:cs="仿宋_GB2312"/>
          <w:color w:val="auto"/>
          <w:highlight w:val="none"/>
          <w:lang w:val="en-US" w:eastAsia="zh-CN"/>
        </w:rPr>
        <w:t>从项目管理</w:t>
      </w:r>
      <w:r>
        <w:rPr>
          <w:rFonts w:hint="eastAsia" w:ascii="仿宋_GB2312" w:hAnsi="仿宋_GB2312" w:eastAsia="仿宋_GB2312" w:cs="仿宋_GB2312"/>
          <w:color w:val="auto"/>
          <w:highlight w:val="none"/>
          <w:lang w:val="en-US" w:eastAsia="zh-CN"/>
        </w:rPr>
        <w:t>和</w:t>
      </w:r>
      <w:r>
        <w:rPr>
          <w:rFonts w:hint="eastAsia" w:cs="仿宋_GB2312"/>
          <w:color w:val="auto"/>
          <w:highlight w:val="none"/>
          <w:lang w:val="en-US" w:eastAsia="zh-CN"/>
        </w:rPr>
        <w:t>资金管理两个方面进行综合分析。各项</w:t>
      </w:r>
      <w:r>
        <w:rPr>
          <w:rFonts w:hint="eastAsia" w:ascii="仿宋_GB2312" w:hAnsi="仿宋_GB2312" w:eastAsia="仿宋_GB2312" w:cs="仿宋_GB2312"/>
          <w:color w:val="auto"/>
          <w:highlight w:val="none"/>
          <w:lang w:val="en-US" w:eastAsia="zh-CN"/>
        </w:rPr>
        <w:t>指标具体得分情况如下表所示：</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4"/>
        <w:gridCol w:w="2315"/>
        <w:gridCol w:w="3206"/>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2" w:type="dxa"/>
            <w:gridSpan w:val="4"/>
            <w:tcBorders>
              <w:top w:val="nil"/>
              <w:left w:val="nil"/>
              <w:bottom w:val="double" w:color="000000" w:sz="4" w:space="0"/>
              <w:righ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9</w:t>
            </w:r>
            <w:r>
              <w:rPr>
                <w:rFonts w:hint="eastAsia" w:ascii="宋体" w:hAnsi="宋体" w:eastAsia="宋体" w:cs="宋体"/>
                <w:b/>
                <w:bCs/>
                <w:color w:val="auto"/>
                <w:sz w:val="28"/>
                <w:szCs w:val="28"/>
                <w:highlight w:val="none"/>
              </w:rPr>
              <w:t xml:space="preserve"> </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lang w:eastAsia="zh-CN"/>
              </w:rPr>
              <w:t>过程</w:t>
            </w:r>
            <w:r>
              <w:rPr>
                <w:rFonts w:hint="eastAsia" w:ascii="宋体" w:hAnsi="宋体" w:eastAsia="宋体" w:cs="宋体"/>
                <w:b/>
                <w:bCs/>
                <w:color w:val="auto"/>
                <w:sz w:val="28"/>
                <w:szCs w:val="28"/>
                <w:highlight w:val="none"/>
              </w:rPr>
              <w:t>类各项指标绩效评价</w:t>
            </w:r>
            <w:r>
              <w:rPr>
                <w:rFonts w:hint="eastAsia" w:ascii="宋体" w:hAnsi="宋体" w:eastAsia="宋体" w:cs="宋体"/>
                <w:b/>
                <w:color w:val="auto"/>
                <w:sz w:val="28"/>
                <w:szCs w:val="28"/>
                <w:highlight w:val="none"/>
              </w:rPr>
              <w:t>得分表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tcBorders>
              <w:top w:val="double" w:color="000000" w:sz="4" w:space="0"/>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2162" w:type="dxa"/>
            <w:tcBorders>
              <w:top w:val="double" w:color="000000" w:sz="4" w:space="0"/>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2994" w:type="dxa"/>
            <w:tcBorders>
              <w:top w:val="double" w:color="000000" w:sz="4" w:space="0"/>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1341" w:type="dxa"/>
            <w:tcBorders>
              <w:top w:val="double" w:color="000000" w:sz="4" w:space="0"/>
              <w:righ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restart"/>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i w:val="0"/>
                <w:iCs w:val="0"/>
                <w:color w:val="auto"/>
                <w:sz w:val="24"/>
                <w:szCs w:val="22"/>
                <w:highlight w:val="none"/>
                <w:u w:val="single"/>
                <w:lang w:val="en-US" w:eastAsia="zh-CN"/>
              </w:rPr>
            </w:pPr>
            <w:r>
              <w:rPr>
                <w:rFonts w:hint="eastAsia" w:ascii="宋体" w:hAnsi="宋体" w:eastAsia="宋体" w:cs="宋体"/>
                <w:b/>
                <w:i w:val="0"/>
                <w:iCs w:val="0"/>
                <w:color w:val="auto"/>
                <w:sz w:val="24"/>
                <w:szCs w:val="22"/>
                <w:highlight w:val="none"/>
                <w:u w:val="single"/>
                <w:lang w:val="en-US" w:eastAsia="zh-CN"/>
              </w:rPr>
              <w:t>过程</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i w:val="0"/>
                <w:iCs w:val="0"/>
                <w:color w:val="auto"/>
                <w:sz w:val="24"/>
                <w:szCs w:val="22"/>
                <w:highlight w:val="none"/>
                <w:u w:val="single"/>
              </w:rPr>
            </w:pPr>
            <w:r>
              <w:rPr>
                <w:rFonts w:hint="eastAsia" w:ascii="宋体" w:hAnsi="宋体" w:eastAsia="宋体" w:cs="宋体"/>
                <w:bCs/>
                <w:i w:val="0"/>
                <w:iCs w:val="0"/>
                <w:color w:val="auto"/>
                <w:sz w:val="24"/>
                <w:szCs w:val="22"/>
                <w:highlight w:val="none"/>
              </w:rPr>
              <w:t>得分率：</w:t>
            </w:r>
            <w:r>
              <w:rPr>
                <w:rFonts w:hint="eastAsia" w:ascii="宋体" w:hAnsi="宋体" w:eastAsia="宋体" w:cs="宋体"/>
                <w:bCs/>
                <w:i w:val="0"/>
                <w:iCs w:val="0"/>
                <w:color w:val="auto"/>
                <w:sz w:val="24"/>
                <w:szCs w:val="22"/>
                <w:highlight w:val="none"/>
                <w:lang w:val="en-US" w:eastAsia="zh-CN"/>
              </w:rPr>
              <w:t>100</w:t>
            </w:r>
            <w:r>
              <w:rPr>
                <w:rFonts w:hint="eastAsia" w:ascii="宋体" w:hAnsi="宋体" w:eastAsia="宋体" w:cs="宋体"/>
                <w:bCs/>
                <w:i w:val="0"/>
                <w:iCs w:val="0"/>
                <w:color w:val="auto"/>
                <w:sz w:val="24"/>
                <w:szCs w:val="22"/>
                <w:highlight w:val="none"/>
              </w:rPr>
              <w:t>%</w:t>
            </w:r>
          </w:p>
        </w:tc>
        <w:tc>
          <w:tcPr>
            <w:tcW w:w="2162" w:type="dxa"/>
            <w:vMerge w:val="restar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i w:val="0"/>
                <w:iCs w:val="0"/>
                <w:color w:val="auto"/>
                <w:sz w:val="24"/>
                <w:szCs w:val="22"/>
                <w:highlight w:val="none"/>
                <w:u w:val="single"/>
                <w:lang w:val="en-US" w:eastAsia="zh-CN"/>
              </w:rPr>
            </w:pPr>
            <w:r>
              <w:rPr>
                <w:rFonts w:hint="eastAsia" w:ascii="宋体" w:hAnsi="宋体" w:eastAsia="宋体" w:cs="宋体"/>
                <w:b/>
                <w:i w:val="0"/>
                <w:iCs w:val="0"/>
                <w:color w:val="auto"/>
                <w:sz w:val="24"/>
                <w:szCs w:val="22"/>
                <w:highlight w:val="none"/>
                <w:u w:val="single"/>
                <w:lang w:val="en-US" w:eastAsia="zh-CN"/>
              </w:rPr>
              <w:t>项目管理</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i w:val="0"/>
                <w:iCs w:val="0"/>
                <w:color w:val="auto"/>
                <w:sz w:val="24"/>
                <w:szCs w:val="22"/>
                <w:highlight w:val="none"/>
                <w:u w:val="single"/>
                <w:lang w:val="en-US" w:eastAsia="zh-CN"/>
              </w:rPr>
            </w:pPr>
            <w:r>
              <w:rPr>
                <w:rFonts w:hint="eastAsia" w:ascii="宋体" w:hAnsi="宋体" w:eastAsia="宋体" w:cs="宋体"/>
                <w:bCs/>
                <w:i w:val="0"/>
                <w:iCs w:val="0"/>
                <w:color w:val="auto"/>
                <w:sz w:val="24"/>
                <w:szCs w:val="22"/>
                <w:highlight w:val="none"/>
              </w:rPr>
              <w:t>得分率：</w:t>
            </w:r>
            <w:r>
              <w:rPr>
                <w:rFonts w:hint="eastAsia" w:ascii="宋体" w:hAnsi="宋体" w:eastAsia="宋体" w:cs="宋体"/>
                <w:bCs/>
                <w:i w:val="0"/>
                <w:iCs w:val="0"/>
                <w:color w:val="auto"/>
                <w:sz w:val="24"/>
                <w:szCs w:val="22"/>
                <w:highlight w:val="none"/>
                <w:lang w:val="en-US" w:eastAsia="zh-CN"/>
              </w:rPr>
              <w:t>100</w:t>
            </w:r>
            <w:r>
              <w:rPr>
                <w:rFonts w:hint="eastAsia" w:ascii="宋体" w:hAnsi="宋体" w:eastAsia="宋体" w:cs="宋体"/>
                <w:bCs/>
                <w:i w:val="0"/>
                <w:iCs w:val="0"/>
                <w:color w:val="auto"/>
                <w:sz w:val="24"/>
                <w:szCs w:val="22"/>
                <w:highlight w:val="none"/>
              </w:rPr>
              <w:t>%</w:t>
            </w:r>
          </w:p>
        </w:tc>
        <w:tc>
          <w:tcPr>
            <w:tcW w:w="2994" w:type="dxa"/>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Cs/>
                <w:i w:val="0"/>
                <w:iCs w:val="0"/>
                <w:color w:val="auto"/>
                <w:sz w:val="24"/>
                <w:szCs w:val="22"/>
                <w:highlight w:val="none"/>
              </w:rPr>
            </w:pPr>
            <w:r>
              <w:rPr>
                <w:rFonts w:hint="eastAsia" w:ascii="宋体" w:hAnsi="宋体" w:eastAsia="宋体" w:cs="宋体"/>
                <w:i w:val="0"/>
                <w:iCs w:val="0"/>
                <w:color w:val="auto"/>
                <w:sz w:val="24"/>
                <w:szCs w:val="24"/>
                <w:highlight w:val="none"/>
                <w:lang w:val="en-US" w:eastAsia="zh-CN"/>
              </w:rPr>
              <w:t>管理制度健全性</w:t>
            </w:r>
          </w:p>
        </w:tc>
        <w:tc>
          <w:tcPr>
            <w:tcW w:w="1341"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i w:val="0"/>
                <w:iCs w:val="0"/>
                <w:color w:val="auto"/>
                <w:sz w:val="24"/>
                <w:szCs w:val="22"/>
                <w:highlight w:val="none"/>
              </w:rPr>
            </w:pPr>
          </w:p>
        </w:tc>
        <w:tc>
          <w:tcPr>
            <w:tcW w:w="2162" w:type="dxa"/>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i w:val="0"/>
                <w:iCs w:val="0"/>
                <w:color w:val="auto"/>
                <w:sz w:val="24"/>
                <w:szCs w:val="22"/>
                <w:highlight w:val="none"/>
              </w:rPr>
            </w:pPr>
          </w:p>
        </w:tc>
        <w:tc>
          <w:tcPr>
            <w:tcW w:w="2994" w:type="dxa"/>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lang w:eastAsia="zh-CN"/>
              </w:rPr>
            </w:pPr>
            <w:r>
              <w:rPr>
                <w:rFonts w:hint="eastAsia" w:ascii="宋体" w:hAnsi="宋体" w:eastAsia="宋体" w:cs="宋体"/>
                <w:i w:val="0"/>
                <w:iCs w:val="0"/>
                <w:color w:val="auto"/>
                <w:sz w:val="24"/>
                <w:szCs w:val="24"/>
                <w:highlight w:val="none"/>
                <w:lang w:val="en-US" w:eastAsia="zh-CN"/>
              </w:rPr>
              <w:t>采购招投标合规性</w:t>
            </w:r>
          </w:p>
        </w:tc>
        <w:tc>
          <w:tcPr>
            <w:tcW w:w="1341"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i w:val="0"/>
                <w:iCs w:val="0"/>
                <w:color w:val="auto"/>
                <w:sz w:val="24"/>
                <w:szCs w:val="22"/>
                <w:highlight w:val="none"/>
              </w:rPr>
            </w:pPr>
          </w:p>
        </w:tc>
        <w:tc>
          <w:tcPr>
            <w:tcW w:w="2162" w:type="dxa"/>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i w:val="0"/>
                <w:iCs w:val="0"/>
                <w:color w:val="auto"/>
                <w:sz w:val="24"/>
                <w:szCs w:val="22"/>
                <w:highlight w:val="none"/>
              </w:rPr>
            </w:pPr>
          </w:p>
        </w:tc>
        <w:tc>
          <w:tcPr>
            <w:tcW w:w="2994" w:type="dxa"/>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lang w:eastAsia="zh-CN"/>
              </w:rPr>
            </w:pPr>
            <w:r>
              <w:rPr>
                <w:rFonts w:hint="eastAsia" w:ascii="宋体" w:hAnsi="宋体" w:eastAsia="宋体" w:cs="宋体"/>
                <w:i w:val="0"/>
                <w:iCs w:val="0"/>
                <w:color w:val="auto"/>
                <w:sz w:val="24"/>
                <w:szCs w:val="24"/>
                <w:highlight w:val="none"/>
                <w:lang w:val="en-US" w:eastAsia="zh-CN"/>
              </w:rPr>
              <w:t>合同管理规范性</w:t>
            </w:r>
          </w:p>
        </w:tc>
        <w:tc>
          <w:tcPr>
            <w:tcW w:w="1341"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i w:val="0"/>
                <w:iCs w:val="0"/>
                <w:color w:val="auto"/>
                <w:sz w:val="24"/>
                <w:szCs w:val="22"/>
                <w:highlight w:val="none"/>
              </w:rPr>
            </w:pPr>
          </w:p>
        </w:tc>
        <w:tc>
          <w:tcPr>
            <w:tcW w:w="2162" w:type="dxa"/>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i w:val="0"/>
                <w:iCs w:val="0"/>
                <w:color w:val="auto"/>
                <w:sz w:val="24"/>
                <w:szCs w:val="22"/>
                <w:highlight w:val="none"/>
              </w:rPr>
            </w:pPr>
          </w:p>
        </w:tc>
        <w:tc>
          <w:tcPr>
            <w:tcW w:w="2994" w:type="dxa"/>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lang w:eastAsia="zh-CN"/>
              </w:rPr>
            </w:pPr>
            <w:r>
              <w:rPr>
                <w:rFonts w:hint="eastAsia" w:ascii="宋体" w:hAnsi="宋体" w:eastAsia="宋体" w:cs="宋体"/>
                <w:i w:val="0"/>
                <w:iCs w:val="0"/>
                <w:color w:val="auto"/>
                <w:sz w:val="24"/>
                <w:szCs w:val="24"/>
                <w:highlight w:val="none"/>
                <w:lang w:val="en-US" w:eastAsia="zh-CN"/>
              </w:rPr>
              <w:t>施工管理规范性</w:t>
            </w:r>
          </w:p>
        </w:tc>
        <w:tc>
          <w:tcPr>
            <w:tcW w:w="1341"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i w:val="0"/>
                <w:iCs w:val="0"/>
                <w:color w:val="auto"/>
                <w:sz w:val="24"/>
                <w:szCs w:val="22"/>
                <w:highlight w:val="none"/>
              </w:rPr>
            </w:pPr>
          </w:p>
        </w:tc>
        <w:tc>
          <w:tcPr>
            <w:tcW w:w="2162" w:type="dxa"/>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i w:val="0"/>
                <w:iCs w:val="0"/>
                <w:color w:val="auto"/>
                <w:sz w:val="24"/>
                <w:szCs w:val="22"/>
                <w:highlight w:val="none"/>
              </w:rPr>
            </w:pPr>
          </w:p>
        </w:tc>
        <w:tc>
          <w:tcPr>
            <w:tcW w:w="2994" w:type="dxa"/>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lang w:eastAsia="zh-CN"/>
              </w:rPr>
            </w:pPr>
            <w:r>
              <w:rPr>
                <w:rFonts w:hint="eastAsia" w:ascii="宋体" w:hAnsi="宋体" w:eastAsia="宋体" w:cs="宋体"/>
                <w:i w:val="0"/>
                <w:iCs w:val="0"/>
                <w:color w:val="auto"/>
                <w:sz w:val="24"/>
                <w:szCs w:val="24"/>
                <w:highlight w:val="none"/>
                <w:lang w:val="en-US" w:eastAsia="zh-CN"/>
              </w:rPr>
              <w:t>监理管理规范性</w:t>
            </w:r>
          </w:p>
        </w:tc>
        <w:tc>
          <w:tcPr>
            <w:tcW w:w="1341"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i w:val="0"/>
                <w:iCs w:val="0"/>
                <w:color w:val="auto"/>
                <w:sz w:val="24"/>
                <w:szCs w:val="22"/>
                <w:highlight w:val="none"/>
              </w:rPr>
            </w:pPr>
          </w:p>
        </w:tc>
        <w:tc>
          <w:tcPr>
            <w:tcW w:w="2162" w:type="dxa"/>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i w:val="0"/>
                <w:iCs w:val="0"/>
                <w:color w:val="auto"/>
                <w:sz w:val="24"/>
                <w:szCs w:val="22"/>
                <w:highlight w:val="none"/>
              </w:rPr>
            </w:pPr>
          </w:p>
        </w:tc>
        <w:tc>
          <w:tcPr>
            <w:tcW w:w="2994" w:type="dxa"/>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lang w:eastAsia="zh-CN"/>
              </w:rPr>
            </w:pPr>
            <w:r>
              <w:rPr>
                <w:rFonts w:hint="eastAsia" w:ascii="宋体" w:hAnsi="宋体" w:eastAsia="宋体" w:cs="宋体"/>
                <w:i w:val="0"/>
                <w:iCs w:val="0"/>
                <w:color w:val="auto"/>
                <w:sz w:val="24"/>
                <w:szCs w:val="24"/>
                <w:highlight w:val="none"/>
                <w:lang w:val="en-US" w:eastAsia="zh-CN"/>
              </w:rPr>
              <w:t>项目验收规范性</w:t>
            </w:r>
          </w:p>
        </w:tc>
        <w:tc>
          <w:tcPr>
            <w:tcW w:w="1341"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i w:val="0"/>
                <w:iCs w:val="0"/>
                <w:color w:val="auto"/>
                <w:sz w:val="24"/>
                <w:szCs w:val="22"/>
                <w:highlight w:val="none"/>
              </w:rPr>
            </w:pPr>
          </w:p>
        </w:tc>
        <w:tc>
          <w:tcPr>
            <w:tcW w:w="2162" w:type="dxa"/>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i w:val="0"/>
                <w:iCs w:val="0"/>
                <w:color w:val="auto"/>
                <w:sz w:val="24"/>
                <w:szCs w:val="22"/>
                <w:highlight w:val="none"/>
              </w:rPr>
            </w:pPr>
          </w:p>
        </w:tc>
        <w:tc>
          <w:tcPr>
            <w:tcW w:w="2994" w:type="dxa"/>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Cs/>
                <w:i w:val="0"/>
                <w:iCs w:val="0"/>
                <w:color w:val="auto"/>
                <w:sz w:val="24"/>
                <w:szCs w:val="22"/>
                <w:highlight w:val="none"/>
              </w:rPr>
            </w:pPr>
            <w:r>
              <w:rPr>
                <w:rFonts w:hint="eastAsia" w:ascii="宋体" w:hAnsi="宋体" w:eastAsia="宋体" w:cs="宋体"/>
                <w:i w:val="0"/>
                <w:iCs w:val="0"/>
                <w:color w:val="auto"/>
                <w:sz w:val="24"/>
                <w:szCs w:val="24"/>
                <w:highlight w:val="none"/>
                <w:lang w:val="en-US" w:eastAsia="zh-CN"/>
              </w:rPr>
              <w:t>档案管理完整性</w:t>
            </w:r>
          </w:p>
        </w:tc>
        <w:tc>
          <w:tcPr>
            <w:tcW w:w="1341"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i w:val="0"/>
                <w:iCs w:val="0"/>
                <w:color w:val="auto"/>
                <w:sz w:val="24"/>
                <w:szCs w:val="22"/>
                <w:highlight w:val="none"/>
                <w:u w:val="single"/>
              </w:rPr>
            </w:pPr>
          </w:p>
        </w:tc>
        <w:tc>
          <w:tcPr>
            <w:tcW w:w="2162" w:type="dxa"/>
            <w:vMerge w:val="restar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i w:val="0"/>
                <w:iCs w:val="0"/>
                <w:color w:val="auto"/>
                <w:sz w:val="24"/>
                <w:szCs w:val="22"/>
                <w:highlight w:val="none"/>
                <w:u w:val="single"/>
                <w:lang w:val="en-US" w:eastAsia="zh-CN"/>
              </w:rPr>
            </w:pPr>
            <w:r>
              <w:rPr>
                <w:rFonts w:hint="eastAsia" w:ascii="宋体" w:hAnsi="宋体" w:eastAsia="宋体" w:cs="宋体"/>
                <w:b/>
                <w:i w:val="0"/>
                <w:iCs w:val="0"/>
                <w:color w:val="auto"/>
                <w:sz w:val="24"/>
                <w:szCs w:val="22"/>
                <w:highlight w:val="none"/>
                <w:u w:val="single"/>
                <w:lang w:val="en-US" w:eastAsia="zh-CN"/>
              </w:rPr>
              <w:t>资金管理</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i w:val="0"/>
                <w:iCs w:val="0"/>
                <w:color w:val="auto"/>
                <w:sz w:val="24"/>
                <w:szCs w:val="22"/>
                <w:highlight w:val="none"/>
                <w:u w:val="single"/>
              </w:rPr>
            </w:pPr>
            <w:r>
              <w:rPr>
                <w:rFonts w:hint="eastAsia" w:ascii="宋体" w:hAnsi="宋体" w:eastAsia="宋体" w:cs="宋体"/>
                <w:bCs/>
                <w:i w:val="0"/>
                <w:iCs w:val="0"/>
                <w:color w:val="auto"/>
                <w:sz w:val="24"/>
                <w:szCs w:val="22"/>
                <w:highlight w:val="none"/>
              </w:rPr>
              <w:t>得分率：</w:t>
            </w:r>
            <w:r>
              <w:rPr>
                <w:rFonts w:hint="eastAsia" w:ascii="宋体" w:hAnsi="宋体" w:eastAsia="宋体" w:cs="宋体"/>
                <w:bCs/>
                <w:i w:val="0"/>
                <w:iCs w:val="0"/>
                <w:color w:val="auto"/>
                <w:sz w:val="24"/>
                <w:szCs w:val="22"/>
                <w:highlight w:val="none"/>
                <w:lang w:val="en-US" w:eastAsia="zh-CN"/>
              </w:rPr>
              <w:t>100</w:t>
            </w:r>
            <w:r>
              <w:rPr>
                <w:rFonts w:hint="eastAsia" w:ascii="宋体" w:hAnsi="宋体" w:eastAsia="宋体" w:cs="宋体"/>
                <w:bCs/>
                <w:i w:val="0"/>
                <w:iCs w:val="0"/>
                <w:color w:val="auto"/>
                <w:sz w:val="24"/>
                <w:szCs w:val="22"/>
                <w:highlight w:val="none"/>
              </w:rPr>
              <w:t>%</w:t>
            </w:r>
          </w:p>
        </w:tc>
        <w:tc>
          <w:tcPr>
            <w:tcW w:w="2994" w:type="dxa"/>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资金支出进度</w:t>
            </w:r>
          </w:p>
        </w:tc>
        <w:tc>
          <w:tcPr>
            <w:tcW w:w="1341"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i w:val="0"/>
                <w:iCs w:val="0"/>
                <w:color w:val="auto"/>
                <w:sz w:val="24"/>
                <w:szCs w:val="22"/>
                <w:highlight w:val="none"/>
                <w:u w:val="single"/>
              </w:rPr>
            </w:pPr>
          </w:p>
        </w:tc>
        <w:tc>
          <w:tcPr>
            <w:tcW w:w="2162" w:type="dxa"/>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i w:val="0"/>
                <w:iCs w:val="0"/>
                <w:color w:val="auto"/>
                <w:sz w:val="24"/>
                <w:szCs w:val="22"/>
                <w:highlight w:val="none"/>
                <w:u w:val="single"/>
              </w:rPr>
            </w:pPr>
          </w:p>
        </w:tc>
        <w:tc>
          <w:tcPr>
            <w:tcW w:w="2994" w:type="dxa"/>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资金使用合规性</w:t>
            </w:r>
          </w:p>
        </w:tc>
        <w:tc>
          <w:tcPr>
            <w:tcW w:w="1341"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i w:val="0"/>
                <w:iCs w:val="0"/>
                <w:color w:val="auto"/>
                <w:sz w:val="24"/>
                <w:szCs w:val="22"/>
                <w:highlight w:val="none"/>
                <w:u w:val="single"/>
              </w:rPr>
            </w:pPr>
          </w:p>
        </w:tc>
        <w:tc>
          <w:tcPr>
            <w:tcW w:w="2162" w:type="dxa"/>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i w:val="0"/>
                <w:iCs w:val="0"/>
                <w:color w:val="auto"/>
                <w:sz w:val="24"/>
                <w:szCs w:val="22"/>
                <w:highlight w:val="none"/>
                <w:u w:val="single"/>
              </w:rPr>
            </w:pPr>
          </w:p>
        </w:tc>
        <w:tc>
          <w:tcPr>
            <w:tcW w:w="2994" w:type="dxa"/>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i w:val="0"/>
                <w:iCs w:val="0"/>
                <w:color w:val="auto"/>
                <w:kern w:val="0"/>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财务管理规范性</w:t>
            </w:r>
          </w:p>
        </w:tc>
        <w:tc>
          <w:tcPr>
            <w:tcW w:w="1341"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val="0"/>
                <w:iCs w:val="0"/>
                <w:color w:val="auto"/>
                <w:sz w:val="24"/>
                <w:szCs w:val="22"/>
                <w:highlight w:val="none"/>
                <w:lang w:val="en-US"/>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121" w:type="dxa"/>
            <w:gridSpan w:val="3"/>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val="en-US" w:eastAsia="zh-CN"/>
              </w:rPr>
              <w:t>过程</w:t>
            </w:r>
            <w:r>
              <w:rPr>
                <w:rFonts w:hint="eastAsia" w:ascii="宋体" w:hAnsi="宋体" w:eastAsia="宋体" w:cs="宋体"/>
                <w:b/>
                <w:color w:val="auto"/>
                <w:sz w:val="24"/>
                <w:szCs w:val="22"/>
                <w:highlight w:val="none"/>
              </w:rPr>
              <w:t>”情况评级</w:t>
            </w:r>
          </w:p>
        </w:tc>
        <w:tc>
          <w:tcPr>
            <w:tcW w:w="1341" w:type="dxa"/>
            <w:tcBorders>
              <w:right w:val="nil"/>
            </w:tcBorders>
            <w:noWrap w:val="0"/>
            <w:vAlign w:val="center"/>
          </w:tcPr>
          <w:p>
            <w:pPr>
              <w:keepNext w:val="0"/>
              <w:keepLines w:val="0"/>
              <w:pageBreakBefore w:val="0"/>
              <w:widowControl w:val="0"/>
              <w:shd w:val="clear" w:color="auto" w:fill="auto"/>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优</w:t>
            </w:r>
          </w:p>
        </w:tc>
      </w:tr>
    </w:tbl>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default" w:cs="Times New Roman"/>
          <w:b/>
          <w:bCs/>
          <w:color w:val="auto"/>
          <w:highlight w:val="none"/>
          <w:lang w:val="en-US" w:eastAsia="zh-CN"/>
        </w:rPr>
      </w:pPr>
      <w:r>
        <w:rPr>
          <w:rFonts w:hint="eastAsia" w:cs="Times New Roman"/>
          <w:b/>
          <w:bCs/>
          <w:color w:val="auto"/>
          <w:highlight w:val="none"/>
          <w:lang w:val="en-US" w:eastAsia="zh-CN"/>
        </w:rPr>
        <w:t>1.项目管理</w:t>
      </w:r>
      <w:r>
        <w:rPr>
          <w:rFonts w:hint="eastAsia" w:ascii="仿宋_GB2312" w:hAnsi="仿宋_GB2312" w:eastAsia="仿宋_GB2312" w:cs="仿宋_GB2312"/>
          <w:b/>
          <w:color w:val="auto"/>
          <w:szCs w:val="32"/>
          <w:highlight w:val="none"/>
        </w:rPr>
        <w:t>（指标分值</w:t>
      </w:r>
      <w:r>
        <w:rPr>
          <w:rFonts w:hint="eastAsia" w:cs="仿宋_GB2312"/>
          <w:b/>
          <w:color w:val="auto"/>
          <w:szCs w:val="32"/>
          <w:highlight w:val="none"/>
          <w:lang w:val="en-US" w:eastAsia="zh-CN"/>
        </w:rPr>
        <w:t>16</w:t>
      </w:r>
      <w:r>
        <w:rPr>
          <w:rFonts w:hint="eastAsia" w:ascii="仿宋_GB2312" w:hAnsi="仿宋_GB2312" w:eastAsia="仿宋_GB2312" w:cs="仿宋_GB2312"/>
          <w:b/>
          <w:color w:val="auto"/>
          <w:szCs w:val="32"/>
          <w:highlight w:val="none"/>
        </w:rPr>
        <w:t>分）（得分</w:t>
      </w:r>
      <w:r>
        <w:rPr>
          <w:rFonts w:hint="eastAsia" w:cs="仿宋_GB2312"/>
          <w:b/>
          <w:color w:val="auto"/>
          <w:szCs w:val="32"/>
          <w:highlight w:val="none"/>
          <w:lang w:val="en-US" w:eastAsia="zh-CN"/>
        </w:rPr>
        <w:t>16</w:t>
      </w:r>
      <w:r>
        <w:rPr>
          <w:rFonts w:hint="eastAsia" w:ascii="仿宋_GB2312" w:hAnsi="仿宋_GB2312" w:eastAsia="仿宋_GB2312" w:cs="仿宋_GB2312"/>
          <w:b/>
          <w:color w:val="auto"/>
          <w:szCs w:val="32"/>
          <w:highlight w:val="none"/>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color w:val="auto"/>
          <w:szCs w:val="32"/>
          <w:highlight w:val="none"/>
          <w:lang w:eastAsia="zh-CN"/>
        </w:rPr>
      </w:pPr>
      <w:r>
        <w:rPr>
          <w:rFonts w:hint="eastAsia" w:cs="仿宋_GB2312"/>
          <w:b/>
          <w:color w:val="auto"/>
          <w:szCs w:val="32"/>
          <w:highlight w:val="none"/>
          <w:lang w:eastAsia="zh-CN"/>
        </w:rPr>
        <w:t>（</w:t>
      </w:r>
      <w:r>
        <w:rPr>
          <w:rFonts w:hint="eastAsia" w:cs="仿宋_GB2312"/>
          <w:b/>
          <w:color w:val="auto"/>
          <w:szCs w:val="32"/>
          <w:highlight w:val="none"/>
          <w:lang w:val="en-US" w:eastAsia="zh-CN"/>
        </w:rPr>
        <w:t>1</w:t>
      </w:r>
      <w:r>
        <w:rPr>
          <w:rFonts w:hint="eastAsia" w:cs="仿宋_GB2312"/>
          <w:b/>
          <w:color w:val="auto"/>
          <w:szCs w:val="32"/>
          <w:highlight w:val="none"/>
          <w:lang w:eastAsia="zh-CN"/>
        </w:rPr>
        <w:t>）</w:t>
      </w:r>
      <w:r>
        <w:rPr>
          <w:rFonts w:hint="default" w:ascii="仿宋_GB2312" w:hAnsi="仿宋_GB2312" w:eastAsia="仿宋_GB2312" w:cs="仿宋_GB2312"/>
          <w:b/>
          <w:color w:val="auto"/>
          <w:szCs w:val="32"/>
          <w:highlight w:val="none"/>
          <w:lang w:val="en-US" w:eastAsia="zh-CN"/>
        </w:rPr>
        <w:t>管理制度健全性</w:t>
      </w:r>
      <w:r>
        <w:rPr>
          <w:rFonts w:hint="eastAsia" w:ascii="仿宋_GB2312" w:hAnsi="仿宋_GB2312" w:eastAsia="仿宋_GB2312" w:cs="仿宋_GB2312"/>
          <w:b/>
          <w:color w:val="auto"/>
          <w:szCs w:val="32"/>
          <w:highlight w:val="none"/>
        </w:rPr>
        <w:t>（指标分值2分）（得分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eastAsia="仿宋_GB2312" w:cs="仿宋_GB2312"/>
          <w:color w:val="auto"/>
          <w:kern w:val="2"/>
          <w:sz w:val="32"/>
          <w:szCs w:val="24"/>
          <w:highlight w:val="none"/>
          <w:lang w:val="en-US" w:eastAsia="zh-CN" w:bidi="ar-SA"/>
        </w:rPr>
      </w:pPr>
      <w:r>
        <w:rPr>
          <w:rFonts w:hint="eastAsia" w:cs="仿宋_GB2312"/>
          <w:color w:val="auto"/>
          <w:kern w:val="2"/>
          <w:sz w:val="32"/>
          <w:szCs w:val="24"/>
          <w:highlight w:val="none"/>
          <w:lang w:val="en-US" w:eastAsia="zh-CN" w:bidi="ar-SA"/>
        </w:rPr>
        <w:t>经核查项目实施单位项目管理制度和财务管理制度相关资料，城中区民政局制定有《城中区民政局建设项目管理</w:t>
      </w:r>
      <w:r>
        <w:rPr>
          <w:rFonts w:hint="eastAsia" w:cs="仿宋_GB2312"/>
          <w:color w:val="auto"/>
          <w:kern w:val="2"/>
          <w:sz w:val="32"/>
          <w:szCs w:val="24"/>
          <w:highlight w:val="none"/>
          <w:lang w:val="en-US" w:eastAsia="zh-CN" w:bidi="ar-SA"/>
        </w:rPr>
        <w:fldChar w:fldCharType="begin"/>
      </w:r>
      <w:r>
        <w:rPr>
          <w:rFonts w:hint="eastAsia" w:cs="仿宋_GB2312"/>
          <w:color w:val="auto"/>
          <w:kern w:val="2"/>
          <w:sz w:val="32"/>
          <w:szCs w:val="24"/>
          <w:highlight w:val="none"/>
          <w:lang w:val="en-US" w:eastAsia="zh-CN" w:bidi="ar-SA"/>
        </w:rPr>
        <w:instrText xml:space="preserve"> HYPERLINK "http://gw.yjbys.com/zhidu/" \t "_blank" </w:instrText>
      </w:r>
      <w:r>
        <w:rPr>
          <w:rFonts w:hint="eastAsia" w:cs="仿宋_GB2312"/>
          <w:color w:val="auto"/>
          <w:kern w:val="2"/>
          <w:sz w:val="32"/>
          <w:szCs w:val="24"/>
          <w:highlight w:val="none"/>
          <w:lang w:val="en-US" w:eastAsia="zh-CN" w:bidi="ar-SA"/>
        </w:rPr>
        <w:fldChar w:fldCharType="separate"/>
      </w:r>
      <w:r>
        <w:rPr>
          <w:rFonts w:hint="eastAsia" w:cs="仿宋_GB2312"/>
          <w:color w:val="auto"/>
          <w:kern w:val="2"/>
          <w:sz w:val="32"/>
          <w:szCs w:val="24"/>
          <w:highlight w:val="none"/>
          <w:lang w:val="en-US" w:eastAsia="zh-CN" w:bidi="ar-SA"/>
        </w:rPr>
        <w:t>制度</w:t>
      </w:r>
      <w:r>
        <w:rPr>
          <w:rFonts w:hint="eastAsia" w:cs="仿宋_GB2312"/>
          <w:color w:val="auto"/>
          <w:kern w:val="2"/>
          <w:sz w:val="32"/>
          <w:szCs w:val="24"/>
          <w:highlight w:val="none"/>
          <w:lang w:val="en-US" w:eastAsia="zh-CN" w:bidi="ar-SA"/>
        </w:rPr>
        <w:fldChar w:fldCharType="end"/>
      </w:r>
      <w:r>
        <w:rPr>
          <w:rFonts w:hint="eastAsia" w:cs="仿宋_GB2312"/>
          <w:color w:val="auto"/>
          <w:kern w:val="2"/>
          <w:sz w:val="32"/>
          <w:szCs w:val="24"/>
          <w:highlight w:val="none"/>
          <w:lang w:val="en-US" w:eastAsia="zh-CN" w:bidi="ar-SA"/>
        </w:rPr>
        <w:t>》和《城中区民政局财务管理制度》，各管理制度内容完整、明确且合法、合规，项目管理制度规范了基本建设项目建设成本管理和</w:t>
      </w:r>
      <w:r>
        <w:rPr>
          <w:rFonts w:hint="eastAsia" w:ascii="仿宋_GB2312" w:hAnsi="仿宋_GB2312" w:eastAsia="仿宋_GB2312" w:cs="仿宋_GB2312"/>
          <w:color w:val="auto"/>
          <w:sz w:val="32"/>
          <w:szCs w:val="32"/>
          <w:highlight w:val="none"/>
        </w:rPr>
        <w:t>财务收支</w:t>
      </w:r>
      <w:r>
        <w:rPr>
          <w:rFonts w:hint="eastAsia"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会计核算管理工作</w:t>
      </w:r>
      <w:r>
        <w:rPr>
          <w:rFonts w:hint="eastAsia" w:cs="仿宋_GB2312"/>
          <w:color w:val="auto"/>
          <w:sz w:val="32"/>
          <w:szCs w:val="32"/>
          <w:highlight w:val="none"/>
          <w:lang w:eastAsia="zh-CN"/>
        </w:rPr>
        <w:t>。</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default" w:cs="仿宋_GB2312"/>
          <w:color w:val="auto"/>
          <w:highlight w:val="none"/>
          <w:lang w:val="en-US" w:eastAsia="zh-CN"/>
        </w:rPr>
      </w:pPr>
      <w:r>
        <w:rPr>
          <w:rFonts w:hint="eastAsia" w:cs="仿宋_GB2312"/>
          <w:color w:val="auto"/>
          <w:highlight w:val="none"/>
          <w:lang w:val="en-US" w:eastAsia="zh-CN"/>
        </w:rPr>
        <w:t>根据指标体系评分标准，项目实施单位已制定或具有相应的项目管理、财务管理制度或办法，得</w:t>
      </w:r>
      <w:r>
        <w:rPr>
          <w:rFonts w:hint="eastAsia" w:ascii="Times New Roman" w:hAnsi="Times New Roman" w:eastAsia="仿宋_GB2312" w:cs="Times New Roman"/>
          <w:b w:val="0"/>
          <w:bCs/>
          <w:color w:val="auto"/>
          <w:sz w:val="32"/>
          <w:szCs w:val="32"/>
          <w:highlight w:val="none"/>
          <w:lang w:val="en-US" w:eastAsia="zh-CN"/>
        </w:rPr>
        <w:t>1分；项目各管理制度内容完整、明确且合法、合规，得1分</w:t>
      </w:r>
      <w:r>
        <w:rPr>
          <w:rFonts w:hint="eastAsia" w:cs="仿宋_GB2312"/>
          <w:color w:val="auto"/>
          <w:highlight w:val="none"/>
          <w:lang w:val="en-US" w:eastAsia="zh-CN"/>
        </w:rPr>
        <w:t>。指标合计得分2分。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color w:val="auto"/>
          <w:szCs w:val="32"/>
          <w:highlight w:val="none"/>
          <w:lang w:val="en-US" w:eastAsia="zh-CN"/>
        </w:rPr>
      </w:pPr>
      <w:r>
        <w:rPr>
          <w:rFonts w:hint="eastAsia" w:cs="仿宋_GB2312"/>
          <w:b/>
          <w:color w:val="auto"/>
          <w:szCs w:val="32"/>
          <w:highlight w:val="none"/>
          <w:lang w:val="en-US" w:eastAsia="zh-CN"/>
        </w:rPr>
        <w:t>（2）采购招投标合规性</w:t>
      </w:r>
      <w:r>
        <w:rPr>
          <w:rFonts w:hint="eastAsia" w:ascii="仿宋_GB2312" w:hAnsi="仿宋_GB2312" w:eastAsia="仿宋_GB2312" w:cs="仿宋_GB2312"/>
          <w:b/>
          <w:color w:val="auto"/>
          <w:szCs w:val="32"/>
          <w:highlight w:val="none"/>
        </w:rPr>
        <w:t>（指标分值</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rPr>
        <w:t>分）（得分</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highlight w:val="none"/>
          <w:lang w:val="en-US" w:eastAsia="zh-CN"/>
        </w:rPr>
      </w:pPr>
      <w:r>
        <w:rPr>
          <w:rFonts w:hint="eastAsia" w:cs="仿宋_GB2312"/>
          <w:color w:val="auto"/>
          <w:highlight w:val="none"/>
          <w:lang w:val="en-US" w:eastAsia="zh-CN"/>
        </w:rPr>
        <w:t>经核查项目招投标及政府采购相关资料，该中心室内装修工程及设备购置在《政府采购申请报告》和《政府采购项目申报备案表》中均明确以委托代理机构通过公开招标方式进行采购，其中室内装修工程分</w:t>
      </w:r>
      <w:r>
        <w:rPr>
          <w:rFonts w:hint="eastAsia" w:ascii="Times New Roman" w:hAnsi="Times New Roman" w:eastAsia="仿宋_GB2312" w:cs="Times New Roman"/>
          <w:b w:val="0"/>
          <w:bCs/>
          <w:color w:val="auto"/>
          <w:sz w:val="32"/>
          <w:szCs w:val="32"/>
          <w:highlight w:val="none"/>
          <w:lang w:val="en-US" w:eastAsia="zh-CN"/>
        </w:rPr>
        <w:t>2个</w:t>
      </w:r>
      <w:r>
        <w:rPr>
          <w:rFonts w:hint="eastAsia" w:cs="仿宋_GB2312"/>
          <w:color w:val="auto"/>
          <w:highlight w:val="none"/>
          <w:lang w:val="en-US" w:eastAsia="zh-CN"/>
        </w:rPr>
        <w:t>包进行政府采购，包一为</w:t>
      </w:r>
      <w:r>
        <w:rPr>
          <w:rFonts w:hint="eastAsia" w:ascii="仿宋_GB2312" w:hAnsi="仿宋_GB2312" w:eastAsia="仿宋_GB2312" w:cs="仿宋_GB2312"/>
          <w:color w:val="auto"/>
          <w:highlight w:val="none"/>
          <w:lang w:val="en-US" w:eastAsia="zh-CN"/>
        </w:rPr>
        <w:t>福禄巷南社区老年日间照料中心</w:t>
      </w:r>
      <w:r>
        <w:rPr>
          <w:rFonts w:hint="eastAsia" w:cs="仿宋_GB2312"/>
          <w:color w:val="auto"/>
          <w:highlight w:val="none"/>
          <w:lang w:val="en-US" w:eastAsia="zh-CN"/>
        </w:rPr>
        <w:t>室内</w:t>
      </w:r>
      <w:r>
        <w:rPr>
          <w:rFonts w:hint="eastAsia" w:ascii="仿宋_GB2312" w:hAnsi="仿宋_GB2312" w:eastAsia="仿宋_GB2312" w:cs="仿宋_GB2312"/>
          <w:color w:val="auto"/>
          <w:highlight w:val="none"/>
          <w:lang w:val="en-US" w:eastAsia="zh-CN"/>
        </w:rPr>
        <w:t>装修</w:t>
      </w:r>
      <w:r>
        <w:rPr>
          <w:rFonts w:hint="eastAsia" w:cs="仿宋_GB2312"/>
          <w:color w:val="auto"/>
          <w:highlight w:val="none"/>
          <w:lang w:val="en-US" w:eastAsia="zh-CN"/>
        </w:rPr>
        <w:t>，包二为装修工程监理；设备购置</w:t>
      </w:r>
      <w:r>
        <w:rPr>
          <w:rFonts w:hint="eastAsia" w:ascii="Times New Roman" w:hAnsi="Times New Roman" w:eastAsia="仿宋_GB2312" w:cs="Times New Roman"/>
          <w:b w:val="0"/>
          <w:bCs/>
          <w:color w:val="auto"/>
          <w:sz w:val="32"/>
          <w:szCs w:val="32"/>
          <w:highlight w:val="none"/>
          <w:lang w:val="en-US" w:eastAsia="zh-CN"/>
        </w:rPr>
        <w:t>分3个</w:t>
      </w:r>
      <w:r>
        <w:rPr>
          <w:rFonts w:hint="eastAsia" w:cs="仿宋_GB2312"/>
          <w:color w:val="auto"/>
          <w:highlight w:val="none"/>
          <w:lang w:val="en-US" w:eastAsia="zh-CN"/>
        </w:rPr>
        <w:t>包进行政府采购，包一为电脑设备采购，包二为办公家具采购，包三为厨房设备及康复仪器采购。但在实际采购过程中设备购置包三（厨房设备及康复仪器采购）因公开招标时参与的投标企业不足三家而废标，后根据区民政局《关于变更城中区福禄巷南社区老年日间照料中心厨房设备及康复设施采购项目（包三）采购方式的请示》进行竞争性磋商采购，因不足三家二次废标，两次废标公告均已发布，据此根据采购中心采购要求在政采云平台进行采购。其余分包采购申请、审批程序规范，采购方式符合备案要求，采购流程合法合规，招标采购项目信息与招标结果公示发布及时，采购单位按照政府采购要求及时与中标供应商签订了采购合同。</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highlight w:val="none"/>
          <w:lang w:val="en-US" w:eastAsia="zh-CN"/>
        </w:rPr>
      </w:pPr>
      <w:r>
        <w:rPr>
          <w:rFonts w:hint="eastAsia" w:cs="仿宋_GB2312"/>
          <w:color w:val="auto"/>
          <w:highlight w:val="none"/>
          <w:lang w:val="en-US" w:eastAsia="zh-CN"/>
        </w:rPr>
        <w:t>根据指标体系评分标准，项目按照政府采购规定程序进行申请及备案或者审批，得</w:t>
      </w:r>
      <w:r>
        <w:rPr>
          <w:rFonts w:hint="eastAsia" w:ascii="Times New Roman" w:hAnsi="Times New Roman" w:eastAsia="仿宋_GB2312" w:cs="Times New Roman"/>
          <w:b w:val="0"/>
          <w:bCs/>
          <w:color w:val="auto"/>
          <w:sz w:val="32"/>
          <w:szCs w:val="32"/>
          <w:highlight w:val="none"/>
          <w:lang w:val="en-US" w:eastAsia="zh-CN"/>
        </w:rPr>
        <w:t>1分；按照招标程序制定招标采购计划、确定招标形式，有序开展招标工作，得1分</w:t>
      </w:r>
      <w:r>
        <w:rPr>
          <w:rFonts w:hint="eastAsia" w:cs="仿宋_GB2312"/>
          <w:color w:val="auto"/>
          <w:highlight w:val="none"/>
          <w:lang w:val="en-US" w:eastAsia="zh-CN"/>
        </w:rPr>
        <w:t>；按照政府采购法律法规及时发布招标采购项目信息并公示招标结果，</w:t>
      </w:r>
      <w:r>
        <w:rPr>
          <w:rFonts w:hint="eastAsia" w:ascii="Times New Roman" w:hAnsi="Times New Roman" w:eastAsia="仿宋_GB2312" w:cs="Times New Roman"/>
          <w:b w:val="0"/>
          <w:bCs/>
          <w:color w:val="auto"/>
          <w:sz w:val="32"/>
          <w:szCs w:val="32"/>
          <w:highlight w:val="none"/>
          <w:lang w:val="en-US" w:eastAsia="zh-CN"/>
        </w:rPr>
        <w:t>得1分；</w:t>
      </w:r>
      <w:r>
        <w:rPr>
          <w:rFonts w:hint="eastAsia" w:cs="仿宋_GB2312"/>
          <w:color w:val="auto"/>
          <w:highlight w:val="none"/>
          <w:lang w:val="en-US" w:eastAsia="zh-CN"/>
        </w:rPr>
        <w:t>项目招标采购各项审批文件及资料完整合规，按照招标要求及时完成相关合同的签订，</w:t>
      </w:r>
      <w:r>
        <w:rPr>
          <w:rFonts w:hint="eastAsia" w:ascii="Times New Roman" w:hAnsi="Times New Roman" w:eastAsia="仿宋_GB2312" w:cs="Times New Roman"/>
          <w:b w:val="0"/>
          <w:bCs/>
          <w:color w:val="auto"/>
          <w:sz w:val="32"/>
          <w:szCs w:val="32"/>
          <w:highlight w:val="none"/>
          <w:lang w:val="en-US" w:eastAsia="zh-CN"/>
        </w:rPr>
        <w:t>得1分。指</w:t>
      </w:r>
      <w:r>
        <w:rPr>
          <w:rFonts w:hint="eastAsia" w:cs="仿宋_GB2312"/>
          <w:color w:val="auto"/>
          <w:highlight w:val="none"/>
          <w:lang w:val="en-US" w:eastAsia="zh-CN"/>
        </w:rPr>
        <w:t>标合计得</w:t>
      </w:r>
      <w:r>
        <w:rPr>
          <w:rFonts w:hint="eastAsia" w:ascii="Times New Roman" w:hAnsi="Times New Roman" w:eastAsia="仿宋_GB2312" w:cs="Times New Roman"/>
          <w:b w:val="0"/>
          <w:bCs/>
          <w:color w:val="auto"/>
          <w:sz w:val="32"/>
          <w:szCs w:val="32"/>
          <w:highlight w:val="none"/>
          <w:lang w:val="en-US" w:eastAsia="zh-CN"/>
        </w:rPr>
        <w:t>分4分。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color w:val="auto"/>
          <w:szCs w:val="32"/>
          <w:highlight w:val="none"/>
          <w:lang w:val="en-US" w:eastAsia="zh-CN"/>
        </w:rPr>
      </w:pPr>
      <w:r>
        <w:rPr>
          <w:rFonts w:hint="eastAsia" w:cs="仿宋_GB2312"/>
          <w:b/>
          <w:color w:val="auto"/>
          <w:szCs w:val="32"/>
          <w:highlight w:val="none"/>
          <w:lang w:val="en-US" w:eastAsia="zh-CN"/>
        </w:rPr>
        <w:t>（3）合同管理规范性</w:t>
      </w:r>
      <w:r>
        <w:rPr>
          <w:rFonts w:hint="eastAsia" w:ascii="仿宋_GB2312" w:hAnsi="仿宋_GB2312" w:eastAsia="仿宋_GB2312" w:cs="仿宋_GB2312"/>
          <w:b/>
          <w:color w:val="auto"/>
          <w:szCs w:val="32"/>
          <w:highlight w:val="none"/>
        </w:rPr>
        <w:t>（指标分值2分）（得分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highlight w:val="none"/>
          <w:lang w:val="en-US" w:eastAsia="zh-CN"/>
        </w:rPr>
      </w:pPr>
      <w:r>
        <w:rPr>
          <w:rFonts w:hint="eastAsia" w:cs="仿宋_GB2312"/>
          <w:color w:val="auto"/>
          <w:highlight w:val="none"/>
          <w:lang w:val="en-US" w:eastAsia="zh-CN"/>
        </w:rPr>
        <w:t>经核查项目合同资料，项目实施单位城中区民政局按照政府采购要求及时与供应商签订了采购合同，签订过程合法合规，签约双方与中标通知书相符，签约时间明确，各项合同内容完整，均未发生合同纠纷和合同变更情况。</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cs="仿宋_GB2312"/>
          <w:color w:val="auto"/>
          <w:highlight w:val="none"/>
          <w:lang w:val="en-US" w:eastAsia="zh-CN"/>
        </w:rPr>
        <w:t>根据指标体系评分标准，合同签订过程合法合规，签约双方与中标通知书相符、签约时间明确，得</w:t>
      </w:r>
      <w:r>
        <w:rPr>
          <w:rFonts w:hint="eastAsia" w:ascii="Times New Roman" w:hAnsi="Times New Roman" w:eastAsia="仿宋_GB2312" w:cs="Times New Roman"/>
          <w:b w:val="0"/>
          <w:bCs/>
          <w:color w:val="auto"/>
          <w:sz w:val="32"/>
          <w:szCs w:val="32"/>
          <w:highlight w:val="none"/>
          <w:lang w:val="en-US" w:eastAsia="zh-CN"/>
        </w:rPr>
        <w:t>0.6分；各项合同内容完整明确，如履约期限、履约内容及双方权利义务和具体风险责任与措施等，得0.6分；严格按照约定履行合同，无合同纠纷，得0.6分；无合同变更与终止，得0.2分。指标合计得分2分。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color w:val="auto"/>
          <w:szCs w:val="32"/>
          <w:highlight w:val="none"/>
          <w:lang w:eastAsia="zh-CN"/>
        </w:rPr>
      </w:pPr>
      <w:r>
        <w:rPr>
          <w:rFonts w:hint="eastAsia" w:cs="仿宋_GB2312"/>
          <w:b/>
          <w:color w:val="auto"/>
          <w:szCs w:val="32"/>
          <w:highlight w:val="none"/>
          <w:lang w:val="en-US" w:eastAsia="zh-CN"/>
        </w:rPr>
        <w:t>（4）施工管理规范性</w:t>
      </w:r>
      <w:r>
        <w:rPr>
          <w:rFonts w:hint="eastAsia" w:ascii="仿宋_GB2312" w:hAnsi="仿宋_GB2312" w:eastAsia="仿宋_GB2312" w:cs="仿宋_GB2312"/>
          <w:b/>
          <w:color w:val="auto"/>
          <w:szCs w:val="32"/>
          <w:highlight w:val="none"/>
        </w:rPr>
        <w:t>（指标分值2分）（得分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highlight w:val="none"/>
          <w:lang w:val="en-US" w:eastAsia="zh-CN"/>
        </w:rPr>
      </w:pPr>
      <w:r>
        <w:rPr>
          <w:rFonts w:hint="eastAsia" w:cs="仿宋_GB2312"/>
          <w:color w:val="auto"/>
          <w:highlight w:val="none"/>
          <w:lang w:val="en-US" w:eastAsia="zh-CN"/>
        </w:rPr>
        <w:t>经现场调研及核查项目资料，项目施工单位青海恒力建筑安装工程有限公司按照施工合同约定的工程内容、工程范围、工期和质量标准及技术规范进行施工，项目工程施工手续完整且条件具备，在施工过程中未发生安全事故和环保事故。</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highlight w:val="none"/>
          <w:lang w:val="en-US" w:eastAsia="zh-CN"/>
        </w:rPr>
      </w:pPr>
      <w:r>
        <w:rPr>
          <w:rFonts w:hint="eastAsia" w:cs="仿宋_GB2312"/>
          <w:color w:val="auto"/>
          <w:highlight w:val="none"/>
          <w:lang w:val="en-US" w:eastAsia="zh-CN"/>
        </w:rPr>
        <w:t>根据指标体系评分标准，项目装修工程施工手续完整且条件具备，得</w:t>
      </w:r>
      <w:r>
        <w:rPr>
          <w:rFonts w:hint="eastAsia" w:ascii="Times New Roman" w:hAnsi="Times New Roman" w:eastAsia="仿宋_GB2312" w:cs="Times New Roman"/>
          <w:b w:val="0"/>
          <w:bCs/>
          <w:color w:val="auto"/>
          <w:sz w:val="32"/>
          <w:szCs w:val="32"/>
          <w:highlight w:val="none"/>
          <w:lang w:val="en-US" w:eastAsia="zh-CN"/>
        </w:rPr>
        <w:t>1分；</w:t>
      </w:r>
      <w:r>
        <w:rPr>
          <w:rFonts w:hint="eastAsia" w:cs="仿宋_GB2312"/>
          <w:color w:val="auto"/>
          <w:highlight w:val="none"/>
          <w:lang w:val="en-US" w:eastAsia="zh-CN"/>
        </w:rPr>
        <w:t>按照合同中的技术规范进行施工，施工过程中未有安全事故、环保事故发生，得</w:t>
      </w:r>
      <w:r>
        <w:rPr>
          <w:rFonts w:hint="eastAsia" w:ascii="Times New Roman" w:hAnsi="Times New Roman" w:eastAsia="仿宋_GB2312" w:cs="Times New Roman"/>
          <w:b w:val="0"/>
          <w:bCs/>
          <w:color w:val="auto"/>
          <w:sz w:val="32"/>
          <w:szCs w:val="32"/>
          <w:highlight w:val="none"/>
          <w:lang w:val="en-US" w:eastAsia="zh-CN"/>
        </w:rPr>
        <w:t>1分</w:t>
      </w:r>
      <w:r>
        <w:rPr>
          <w:rFonts w:hint="eastAsia" w:cs="仿宋_GB2312"/>
          <w:color w:val="auto"/>
          <w:highlight w:val="none"/>
          <w:lang w:val="en-US" w:eastAsia="zh-CN"/>
        </w:rPr>
        <w:t>。指标合计得分</w:t>
      </w:r>
      <w:r>
        <w:rPr>
          <w:rFonts w:hint="eastAsia" w:ascii="Times New Roman" w:hAnsi="Times New Roman" w:eastAsia="仿宋_GB2312" w:cs="Times New Roman"/>
          <w:b w:val="0"/>
          <w:bCs/>
          <w:color w:val="auto"/>
          <w:sz w:val="32"/>
          <w:szCs w:val="32"/>
          <w:highlight w:val="none"/>
          <w:lang w:val="en-US" w:eastAsia="zh-CN"/>
        </w:rPr>
        <w:t>2分</w:t>
      </w:r>
      <w:r>
        <w:rPr>
          <w:rFonts w:hint="eastAsia" w:cs="仿宋_GB2312"/>
          <w:color w:val="auto"/>
          <w:highlight w:val="none"/>
          <w:lang w:val="en-US" w:eastAsia="zh-CN"/>
        </w:rPr>
        <w:t>。</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color w:val="auto"/>
          <w:szCs w:val="32"/>
          <w:highlight w:val="none"/>
          <w:lang w:eastAsia="zh-CN"/>
        </w:rPr>
      </w:pPr>
      <w:r>
        <w:rPr>
          <w:rFonts w:hint="eastAsia" w:cs="仿宋_GB2312"/>
          <w:b/>
          <w:color w:val="auto"/>
          <w:szCs w:val="32"/>
          <w:highlight w:val="none"/>
          <w:lang w:val="en-US" w:eastAsia="zh-CN"/>
        </w:rPr>
        <w:t>（5）监理管理规范性</w:t>
      </w:r>
      <w:r>
        <w:rPr>
          <w:rFonts w:hint="eastAsia" w:ascii="仿宋_GB2312" w:hAnsi="仿宋_GB2312" w:eastAsia="仿宋_GB2312" w:cs="仿宋_GB2312"/>
          <w:b/>
          <w:color w:val="auto"/>
          <w:szCs w:val="32"/>
          <w:highlight w:val="none"/>
        </w:rPr>
        <w:t>（指标分值2分）（得分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highlight w:val="none"/>
          <w:lang w:val="en-US" w:eastAsia="zh-CN"/>
        </w:rPr>
      </w:pPr>
      <w:r>
        <w:rPr>
          <w:rFonts w:hint="eastAsia" w:cs="仿宋_GB2312"/>
          <w:color w:val="auto"/>
          <w:highlight w:val="none"/>
          <w:lang w:val="en-US" w:eastAsia="zh-CN"/>
        </w:rPr>
        <w:t>经现场调研及核查项目资料，项目实施单位与监理单位签订有工程监理合同，工程监理根据合同规定对工程安全、质量、进度进行管理核查，提交工程监理报告并记录监理日志。</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kern w:val="2"/>
          <w:sz w:val="32"/>
          <w:szCs w:val="24"/>
          <w:highlight w:val="none"/>
          <w:lang w:val="en-US" w:eastAsia="zh-CN" w:bidi="ar-SA"/>
        </w:rPr>
      </w:pPr>
      <w:r>
        <w:rPr>
          <w:rFonts w:hint="eastAsia" w:cs="仿宋_GB2312"/>
          <w:color w:val="auto"/>
          <w:highlight w:val="none"/>
          <w:lang w:val="en-US" w:eastAsia="zh-CN"/>
        </w:rPr>
        <w:t>根据指标体系评分标准，项目实施单位与监理单位签订有工程监理合同，提交工程监理报告并记录监理日志</w:t>
      </w:r>
      <w:r>
        <w:rPr>
          <w:rFonts w:hint="eastAsia" w:cs="仿宋_GB2312"/>
          <w:color w:val="auto"/>
          <w:kern w:val="2"/>
          <w:sz w:val="32"/>
          <w:szCs w:val="24"/>
          <w:highlight w:val="none"/>
          <w:lang w:val="en-US" w:eastAsia="zh-CN" w:bidi="ar-SA"/>
        </w:rPr>
        <w:t>。指标得分</w:t>
      </w:r>
      <w:r>
        <w:rPr>
          <w:rFonts w:hint="eastAsia" w:ascii="Times New Roman" w:hAnsi="Times New Roman" w:eastAsia="仿宋_GB2312" w:cs="Times New Roman"/>
          <w:b w:val="0"/>
          <w:bCs/>
          <w:color w:val="auto"/>
          <w:sz w:val="32"/>
          <w:szCs w:val="32"/>
          <w:highlight w:val="none"/>
          <w:lang w:val="en-US" w:eastAsia="zh-CN"/>
        </w:rPr>
        <w:t>2分。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color w:val="auto"/>
          <w:szCs w:val="32"/>
          <w:highlight w:val="none"/>
          <w:lang w:eastAsia="zh-CN"/>
        </w:rPr>
      </w:pPr>
      <w:r>
        <w:rPr>
          <w:rFonts w:hint="eastAsia" w:cs="仿宋_GB2312"/>
          <w:b/>
          <w:color w:val="auto"/>
          <w:szCs w:val="32"/>
          <w:highlight w:val="none"/>
          <w:lang w:val="en-US" w:eastAsia="zh-CN"/>
        </w:rPr>
        <w:t>（6）项目验收规范性</w:t>
      </w:r>
      <w:r>
        <w:rPr>
          <w:rFonts w:hint="eastAsia" w:ascii="仿宋_GB2312" w:hAnsi="仿宋_GB2312" w:eastAsia="仿宋_GB2312" w:cs="仿宋_GB2312"/>
          <w:b/>
          <w:color w:val="auto"/>
          <w:szCs w:val="32"/>
          <w:highlight w:val="none"/>
        </w:rPr>
        <w:t>（指标分值2分）（得分2分）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highlight w:val="none"/>
          <w:lang w:val="en-US" w:eastAsia="zh-CN"/>
        </w:rPr>
      </w:pPr>
      <w:r>
        <w:rPr>
          <w:rFonts w:hint="eastAsia" w:cs="仿宋_GB2312"/>
          <w:color w:val="auto"/>
          <w:highlight w:val="none"/>
          <w:lang w:val="en-US" w:eastAsia="zh-CN"/>
        </w:rPr>
        <w:t>经现场调研及核查项目资料，根据政府采购合同的约定，城中区民政局委托</w:t>
      </w:r>
      <w:r>
        <w:rPr>
          <w:rFonts w:hint="eastAsia" w:ascii="Times New Roman" w:hAnsi="Times New Roman" w:eastAsia="仿宋_GB2312" w:cs="Times New Roman"/>
          <w:b w:val="0"/>
          <w:bCs/>
          <w:color w:val="auto"/>
          <w:sz w:val="32"/>
          <w:szCs w:val="32"/>
          <w:highlight w:val="none"/>
          <w:lang w:val="en-US" w:eastAsia="zh-CN"/>
        </w:rPr>
        <w:t>3位</w:t>
      </w:r>
      <w:r>
        <w:rPr>
          <w:rFonts w:hint="eastAsia" w:cs="仿宋_GB2312"/>
          <w:color w:val="auto"/>
          <w:highlight w:val="none"/>
          <w:lang w:val="en-US" w:eastAsia="zh-CN"/>
        </w:rPr>
        <w:t>专家对</w:t>
      </w:r>
      <w:r>
        <w:rPr>
          <w:rFonts w:hint="eastAsia" w:ascii="仿宋_GB2312" w:hAnsi="仿宋_GB2312" w:eastAsia="仿宋_GB2312" w:cs="仿宋_GB2312"/>
          <w:b w:val="0"/>
          <w:bCs w:val="0"/>
          <w:color w:val="auto"/>
          <w:sz w:val="32"/>
          <w:szCs w:val="32"/>
          <w:highlight w:val="none"/>
          <w:lang w:val="en-US" w:eastAsia="zh-CN"/>
        </w:rPr>
        <w:t>福禄巷南社区老年日间照料中心装修项目</w:t>
      </w:r>
      <w:r>
        <w:rPr>
          <w:rFonts w:hint="eastAsia" w:cs="仿宋_GB2312"/>
          <w:b w:val="0"/>
          <w:bCs w:val="0"/>
          <w:color w:val="auto"/>
          <w:sz w:val="32"/>
          <w:szCs w:val="32"/>
          <w:highlight w:val="none"/>
          <w:lang w:val="en-US" w:eastAsia="zh-CN"/>
        </w:rPr>
        <w:t>中标施工方（</w:t>
      </w:r>
      <w:r>
        <w:rPr>
          <w:rFonts w:hint="eastAsia" w:cs="仿宋_GB2312"/>
          <w:color w:val="auto"/>
          <w:highlight w:val="none"/>
          <w:lang w:val="en-US" w:eastAsia="zh-CN"/>
        </w:rPr>
        <w:t>青海恒力建筑安装工程有限公司</w:t>
      </w:r>
      <w:r>
        <w:rPr>
          <w:rFonts w:hint="eastAsia" w:cs="仿宋_GB2312"/>
          <w:b w:val="0"/>
          <w:bCs w:val="0"/>
          <w:color w:val="auto"/>
          <w:sz w:val="32"/>
          <w:szCs w:val="32"/>
          <w:highlight w:val="none"/>
          <w:lang w:val="en-US" w:eastAsia="zh-CN"/>
        </w:rPr>
        <w:t>）实施的装修工程进行了验收，对</w:t>
      </w:r>
      <w:r>
        <w:rPr>
          <w:rFonts w:hint="eastAsia" w:ascii="仿宋_GB2312" w:hAnsi="仿宋_GB2312" w:eastAsia="仿宋_GB2312" w:cs="仿宋_GB2312"/>
          <w:b w:val="0"/>
          <w:bCs w:val="0"/>
          <w:color w:val="auto"/>
          <w:sz w:val="32"/>
          <w:szCs w:val="32"/>
          <w:highlight w:val="none"/>
          <w:lang w:val="en-US" w:eastAsia="zh-CN"/>
        </w:rPr>
        <w:t>福禄巷南社区老年日间照料中心</w:t>
      </w:r>
      <w:r>
        <w:rPr>
          <w:rFonts w:hint="eastAsia" w:cs="仿宋_GB2312"/>
          <w:b w:val="0"/>
          <w:bCs w:val="0"/>
          <w:color w:val="auto"/>
          <w:sz w:val="32"/>
          <w:szCs w:val="32"/>
          <w:highlight w:val="none"/>
          <w:lang w:val="en-US" w:eastAsia="zh-CN"/>
        </w:rPr>
        <w:t>电子设备采购</w:t>
      </w:r>
      <w:r>
        <w:rPr>
          <w:rFonts w:hint="eastAsia" w:ascii="仿宋_GB2312" w:hAnsi="仿宋_GB2312" w:eastAsia="仿宋_GB2312" w:cs="仿宋_GB2312"/>
          <w:b w:val="0"/>
          <w:bCs w:val="0"/>
          <w:color w:val="auto"/>
          <w:sz w:val="32"/>
          <w:szCs w:val="32"/>
          <w:highlight w:val="none"/>
          <w:lang w:val="en-US" w:eastAsia="zh-CN"/>
        </w:rPr>
        <w:t>项目</w:t>
      </w:r>
      <w:r>
        <w:rPr>
          <w:rFonts w:hint="eastAsia" w:cs="仿宋_GB2312"/>
          <w:b w:val="0"/>
          <w:bCs w:val="0"/>
          <w:color w:val="auto"/>
          <w:sz w:val="32"/>
          <w:szCs w:val="32"/>
          <w:highlight w:val="none"/>
          <w:lang w:val="en-US" w:eastAsia="zh-CN"/>
        </w:rPr>
        <w:t>中标供货方（青海沃众商贸有限公司）供应的电子设备进行了验收，对</w:t>
      </w:r>
      <w:r>
        <w:rPr>
          <w:rFonts w:hint="eastAsia" w:ascii="仿宋_GB2312" w:hAnsi="仿宋_GB2312" w:eastAsia="仿宋_GB2312" w:cs="仿宋_GB2312"/>
          <w:b w:val="0"/>
          <w:bCs w:val="0"/>
          <w:color w:val="auto"/>
          <w:sz w:val="32"/>
          <w:szCs w:val="32"/>
          <w:highlight w:val="none"/>
          <w:lang w:val="en-US" w:eastAsia="zh-CN"/>
        </w:rPr>
        <w:t>福禄巷南社区老年日间照料中心</w:t>
      </w:r>
      <w:r>
        <w:rPr>
          <w:rFonts w:hint="eastAsia" w:cs="仿宋_GB2312"/>
          <w:b w:val="0"/>
          <w:bCs w:val="0"/>
          <w:color w:val="auto"/>
          <w:sz w:val="32"/>
          <w:szCs w:val="32"/>
          <w:highlight w:val="none"/>
          <w:lang w:val="en-US" w:eastAsia="zh-CN"/>
        </w:rPr>
        <w:t>办公家具采购</w:t>
      </w:r>
      <w:r>
        <w:rPr>
          <w:rFonts w:hint="eastAsia" w:ascii="仿宋_GB2312" w:hAnsi="仿宋_GB2312" w:eastAsia="仿宋_GB2312" w:cs="仿宋_GB2312"/>
          <w:b w:val="0"/>
          <w:bCs w:val="0"/>
          <w:color w:val="auto"/>
          <w:sz w:val="32"/>
          <w:szCs w:val="32"/>
          <w:highlight w:val="none"/>
          <w:lang w:val="en-US" w:eastAsia="zh-CN"/>
        </w:rPr>
        <w:t>项目</w:t>
      </w:r>
      <w:r>
        <w:rPr>
          <w:rFonts w:hint="eastAsia" w:cs="仿宋_GB2312"/>
          <w:b w:val="0"/>
          <w:bCs w:val="0"/>
          <w:color w:val="auto"/>
          <w:sz w:val="32"/>
          <w:szCs w:val="32"/>
          <w:highlight w:val="none"/>
          <w:lang w:val="en-US" w:eastAsia="zh-CN"/>
        </w:rPr>
        <w:t>中标供货方（青海尚佳贸易公司）供应的办公家具进行了验收，对</w:t>
      </w:r>
      <w:r>
        <w:rPr>
          <w:rFonts w:hint="eastAsia" w:ascii="仿宋_GB2312" w:hAnsi="仿宋_GB2312" w:eastAsia="仿宋_GB2312" w:cs="仿宋_GB2312"/>
          <w:b w:val="0"/>
          <w:bCs w:val="0"/>
          <w:color w:val="auto"/>
          <w:sz w:val="32"/>
          <w:szCs w:val="32"/>
          <w:highlight w:val="none"/>
          <w:lang w:val="en-US" w:eastAsia="zh-CN"/>
        </w:rPr>
        <w:t>福禄巷南社区老年日间照料中心</w:t>
      </w:r>
      <w:r>
        <w:rPr>
          <w:rFonts w:hint="eastAsia" w:cs="仿宋_GB2312"/>
          <w:b w:val="0"/>
          <w:bCs w:val="0"/>
          <w:color w:val="auto"/>
          <w:sz w:val="32"/>
          <w:szCs w:val="32"/>
          <w:highlight w:val="none"/>
          <w:lang w:val="en-US" w:eastAsia="zh-CN"/>
        </w:rPr>
        <w:t>厨具和康复设备采购</w:t>
      </w:r>
      <w:r>
        <w:rPr>
          <w:rFonts w:hint="eastAsia" w:ascii="仿宋_GB2312" w:hAnsi="仿宋_GB2312" w:eastAsia="仿宋_GB2312" w:cs="仿宋_GB2312"/>
          <w:b w:val="0"/>
          <w:bCs w:val="0"/>
          <w:color w:val="auto"/>
          <w:sz w:val="32"/>
          <w:szCs w:val="32"/>
          <w:highlight w:val="none"/>
          <w:lang w:val="en-US" w:eastAsia="zh-CN"/>
        </w:rPr>
        <w:t>项目</w:t>
      </w:r>
      <w:r>
        <w:rPr>
          <w:rFonts w:hint="eastAsia" w:cs="仿宋_GB2312"/>
          <w:b w:val="0"/>
          <w:bCs w:val="0"/>
          <w:color w:val="auto"/>
          <w:sz w:val="32"/>
          <w:szCs w:val="32"/>
          <w:highlight w:val="none"/>
          <w:lang w:val="en-US" w:eastAsia="zh-CN"/>
        </w:rPr>
        <w:t>中标供货方（青海力居办公用品公司）供应的厨具和康复设备进行了验收，并出具了《政府采购合同验收报告单》。</w:t>
      </w:r>
      <w:r>
        <w:rPr>
          <w:rFonts w:hint="eastAsia" w:cs="仿宋_GB2312"/>
          <w:color w:val="auto"/>
          <w:highlight w:val="none"/>
          <w:lang w:val="en-US" w:eastAsia="zh-CN"/>
        </w:rPr>
        <w:t>验收专家小组、采购单位代表、监督单位代表（仅室内装修工程）、使用（接收）单位代表均在《验收报告单》上签字盖章，经查看《验收报告单》，室内施工装修项目工程质量达到规定标准，采购设备数量、质量、性能等均符合合同约定的标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kern w:val="2"/>
          <w:sz w:val="32"/>
          <w:szCs w:val="24"/>
          <w:highlight w:val="none"/>
          <w:lang w:val="en-US" w:eastAsia="zh-CN" w:bidi="ar-SA"/>
        </w:rPr>
      </w:pPr>
      <w:r>
        <w:rPr>
          <w:rFonts w:hint="eastAsia" w:cs="仿宋_GB2312"/>
          <w:color w:val="auto"/>
          <w:highlight w:val="none"/>
          <w:lang w:val="en-US" w:eastAsia="zh-CN"/>
        </w:rPr>
        <w:t>根据指标体系评分标准，依据本单位相关验收文件进行工程质量及设备的验收工作，验收流程清晰，验收资料合规且完整，得</w:t>
      </w:r>
      <w:r>
        <w:rPr>
          <w:rFonts w:hint="eastAsia" w:ascii="Times New Roman" w:hAnsi="Times New Roman" w:eastAsia="仿宋_GB2312" w:cs="Times New Roman"/>
          <w:b w:val="0"/>
          <w:bCs/>
          <w:color w:val="auto"/>
          <w:sz w:val="32"/>
          <w:szCs w:val="32"/>
          <w:highlight w:val="none"/>
          <w:lang w:val="en-US" w:eastAsia="zh-CN"/>
        </w:rPr>
        <w:t>1分；对验收中发现的个别细节性问题及时进行了整改完善，得1分。指标合计得分2</w:t>
      </w:r>
      <w:r>
        <w:rPr>
          <w:rFonts w:hint="eastAsia" w:cs="仿宋_GB2312"/>
          <w:color w:val="auto"/>
          <w:kern w:val="2"/>
          <w:sz w:val="32"/>
          <w:szCs w:val="24"/>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cs="仿宋_GB2312"/>
          <w:b/>
          <w:color w:val="auto"/>
          <w:szCs w:val="32"/>
          <w:highlight w:val="none"/>
          <w:lang w:val="en-US" w:eastAsia="zh-CN"/>
        </w:rPr>
      </w:pPr>
      <w:r>
        <w:rPr>
          <w:rFonts w:hint="eastAsia" w:cs="仿宋_GB2312"/>
          <w:b/>
          <w:color w:val="auto"/>
          <w:szCs w:val="32"/>
          <w:highlight w:val="none"/>
          <w:lang w:val="en-US" w:eastAsia="zh-CN"/>
        </w:rPr>
        <w:t>（7）档案管理完整性（指标分值2分）（得分2分）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kern w:val="2"/>
          <w:sz w:val="32"/>
          <w:szCs w:val="24"/>
          <w:highlight w:val="none"/>
          <w:lang w:val="en-US" w:eastAsia="zh-CN" w:bidi="ar-SA"/>
        </w:rPr>
      </w:pPr>
      <w:r>
        <w:rPr>
          <w:rFonts w:hint="eastAsia" w:cs="仿宋_GB2312"/>
          <w:color w:val="auto"/>
          <w:kern w:val="2"/>
          <w:sz w:val="32"/>
          <w:szCs w:val="24"/>
          <w:highlight w:val="none"/>
          <w:lang w:val="en-US" w:eastAsia="zh-CN" w:bidi="ar-SA"/>
        </w:rPr>
        <w:t>经查阅项目档案资料，</w:t>
      </w:r>
      <w:r>
        <w:rPr>
          <w:rFonts w:hint="eastAsia" w:ascii="仿宋_GB2312" w:hAnsi="仿宋_GB2312" w:eastAsia="仿宋_GB2312" w:cs="仿宋_GB2312"/>
          <w:b w:val="0"/>
          <w:bCs w:val="0"/>
          <w:color w:val="auto"/>
          <w:sz w:val="32"/>
          <w:szCs w:val="32"/>
          <w:highlight w:val="none"/>
          <w:lang w:val="en-US" w:eastAsia="zh-CN"/>
        </w:rPr>
        <w:t>福禄巷南社区老年日间照料中心</w:t>
      </w:r>
      <w:r>
        <w:rPr>
          <w:rFonts w:hint="eastAsia" w:cs="仿宋_GB2312"/>
          <w:b w:val="0"/>
          <w:bCs w:val="0"/>
          <w:color w:val="auto"/>
          <w:sz w:val="32"/>
          <w:szCs w:val="32"/>
          <w:highlight w:val="none"/>
          <w:lang w:val="en-US" w:eastAsia="zh-CN"/>
        </w:rPr>
        <w:t>装修及设备购置项目</w:t>
      </w:r>
      <w:r>
        <w:rPr>
          <w:rFonts w:hint="eastAsia" w:cs="仿宋_GB2312"/>
          <w:color w:val="auto"/>
          <w:kern w:val="2"/>
          <w:sz w:val="32"/>
          <w:szCs w:val="24"/>
          <w:highlight w:val="none"/>
          <w:lang w:val="en-US" w:eastAsia="zh-CN" w:bidi="ar-SA"/>
        </w:rPr>
        <w:t>建立了项目档案，对项目立项批复、项目实施方案、政府采购申请、招投标资料、中标通知书、合同协议书（设计、造价、招标、施工、监理、政府采购）、工程设计图、竣工图、施工日志、监理日志、监理报告等资料进行梳理、归档、保管，项目档案齐全、完整，</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kern w:val="2"/>
          <w:sz w:val="32"/>
          <w:szCs w:val="24"/>
          <w:highlight w:val="none"/>
          <w:lang w:val="en-US" w:eastAsia="zh-CN" w:bidi="ar-SA"/>
        </w:rPr>
      </w:pPr>
      <w:r>
        <w:rPr>
          <w:rFonts w:hint="eastAsia" w:cs="仿宋_GB2312"/>
          <w:color w:val="auto"/>
          <w:kern w:val="2"/>
          <w:sz w:val="32"/>
          <w:szCs w:val="24"/>
          <w:highlight w:val="none"/>
          <w:lang w:val="en-US" w:eastAsia="zh-CN" w:bidi="ar-SA"/>
        </w:rPr>
        <w:t>根据指标体系评分标准，项目建立了项目档案，档案资料齐全、完整，管理规范。指标得分2分。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default" w:cs="Times New Roman"/>
          <w:b/>
          <w:bCs/>
          <w:color w:val="auto"/>
          <w:highlight w:val="none"/>
          <w:lang w:val="en-US" w:eastAsia="zh-CN"/>
        </w:rPr>
      </w:pPr>
      <w:r>
        <w:rPr>
          <w:rFonts w:hint="eastAsia" w:cs="Times New Roman"/>
          <w:b/>
          <w:bCs/>
          <w:color w:val="auto"/>
          <w:highlight w:val="none"/>
          <w:lang w:val="en-US" w:eastAsia="zh-CN"/>
        </w:rPr>
        <w:t>2.资金管理</w:t>
      </w:r>
      <w:r>
        <w:rPr>
          <w:rFonts w:hint="eastAsia" w:cs="仿宋_GB2312"/>
          <w:b/>
          <w:bCs/>
          <w:color w:val="auto"/>
          <w:sz w:val="32"/>
          <w:szCs w:val="32"/>
          <w:highlight w:val="none"/>
          <w:lang w:val="en-US" w:eastAsia="zh-CN"/>
        </w:rPr>
        <w:t>（指标分值6分）（得分6分）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Autospacing="0" w:afterAutospacing="0" w:line="576" w:lineRule="exact"/>
        <w:ind w:left="0" w:leftChars="0" w:firstLine="643" w:firstLineChars="200"/>
        <w:jc w:val="both"/>
        <w:textAlignment w:val="auto"/>
        <w:rPr>
          <w:rFonts w:hint="eastAsia" w:ascii="仿宋_GB2312" w:hAnsi="仿宋_GB2312" w:eastAsia="仿宋_GB2312" w:cs="仿宋_GB2312"/>
          <w:b/>
          <w:bCs/>
          <w:color w:val="auto"/>
          <w:kern w:val="0"/>
          <w:sz w:val="32"/>
          <w:szCs w:val="32"/>
          <w:highlight w:val="none"/>
          <w:lang w:val="en-US" w:eastAsia="zh-CN" w:bidi="ar-SA"/>
        </w:rPr>
      </w:pPr>
      <w:r>
        <w:rPr>
          <w:rFonts w:hint="eastAsia" w:ascii="仿宋_GB2312" w:hAnsi="仿宋_GB2312" w:eastAsia="仿宋_GB2312" w:cs="仿宋_GB2312"/>
          <w:b/>
          <w:bCs/>
          <w:color w:val="auto"/>
          <w:kern w:val="0"/>
          <w:sz w:val="32"/>
          <w:szCs w:val="32"/>
          <w:highlight w:val="none"/>
          <w:lang w:val="en-US" w:eastAsia="zh-CN" w:bidi="ar-SA"/>
        </w:rPr>
        <w:t>（1）资金支出进度（指标分值2分）（得分2分）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default" w:ascii="Times New Roman" w:hAnsi="Times New Roman" w:eastAsia="仿宋_GB2312" w:cs="Times New Roman"/>
          <w:b w:val="0"/>
          <w:bCs/>
          <w:color w:val="auto"/>
          <w:sz w:val="32"/>
          <w:szCs w:val="32"/>
          <w:highlight w:val="none"/>
          <w:lang w:val="en-US" w:eastAsia="zh-CN"/>
        </w:rPr>
      </w:pPr>
      <w:r>
        <w:rPr>
          <w:rFonts w:hint="eastAsia" w:cs="仿宋_GB2312"/>
          <w:color w:val="auto"/>
          <w:highlight w:val="none"/>
          <w:lang w:val="en-US" w:eastAsia="zh-CN"/>
        </w:rPr>
        <w:t>经</w:t>
      </w:r>
      <w:r>
        <w:rPr>
          <w:rFonts w:hint="eastAsia" w:cs="Times New Roman"/>
          <w:color w:val="auto"/>
          <w:highlight w:val="none"/>
          <w:lang w:val="en-US" w:eastAsia="zh-CN"/>
        </w:rPr>
        <w:t>核查项目资料和财务凭证，西宁市城中区福禄巷南社区老年日间照料中心装修及设备购置项目</w:t>
      </w:r>
      <w:r>
        <w:rPr>
          <w:rFonts w:hint="eastAsia" w:ascii="Times New Roman" w:hAnsi="Times New Roman" w:eastAsia="仿宋_GB2312" w:cs="Times New Roman"/>
          <w:b w:val="0"/>
          <w:bCs/>
          <w:color w:val="auto"/>
          <w:sz w:val="32"/>
          <w:szCs w:val="32"/>
          <w:highlight w:val="none"/>
          <w:lang w:val="en-US" w:eastAsia="zh-CN"/>
        </w:rPr>
        <w:t>2021年度到位的186.66万元财政资金支付均按照合同约定和整体施工进度及时有序完成支付，截至2021年11月23日，资金支出率为100%。</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default" w:cs="仿宋_GB2312"/>
          <w:color w:val="auto"/>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w:t>
      </w:r>
      <w:r>
        <w:rPr>
          <w:rFonts w:hint="eastAsia" w:cs="仿宋_GB2312"/>
          <w:b w:val="0"/>
          <w:bCs w:val="0"/>
          <w:color w:val="auto"/>
          <w:sz w:val="32"/>
          <w:szCs w:val="32"/>
          <w:highlight w:val="none"/>
          <w:lang w:val="en-US" w:eastAsia="zh-CN"/>
        </w:rPr>
        <w:t>指</w:t>
      </w:r>
      <w:r>
        <w:rPr>
          <w:rFonts w:hint="eastAsia" w:cs="仿宋_GB2312"/>
          <w:color w:val="auto"/>
          <w:highlight w:val="none"/>
          <w:lang w:val="en-US" w:eastAsia="zh-CN"/>
        </w:rPr>
        <w:t>标体系评分标准，项目资金支付按照整体施工进度和合同约定及时有序支付，指标得分为</w:t>
      </w:r>
      <w:r>
        <w:rPr>
          <w:rFonts w:hint="eastAsia" w:ascii="Times New Roman" w:hAnsi="Times New Roman" w:eastAsia="仿宋_GB2312" w:cs="Times New Roman"/>
          <w:b w:val="0"/>
          <w:bCs/>
          <w:color w:val="auto"/>
          <w:sz w:val="32"/>
          <w:szCs w:val="32"/>
          <w:highlight w:val="none"/>
          <w:lang w:val="en-US" w:eastAsia="zh-CN"/>
        </w:rPr>
        <w:t>2</w:t>
      </w:r>
      <w:r>
        <w:rPr>
          <w:rFonts w:hint="eastAsia" w:cs="仿宋_GB2312"/>
          <w:color w:val="auto"/>
          <w:highlight w:val="none"/>
          <w:lang w:val="en-US" w:eastAsia="zh-CN"/>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color w:val="auto"/>
          <w:szCs w:val="32"/>
          <w:highlight w:val="none"/>
          <w:lang w:val="en-US" w:eastAsia="zh-CN"/>
        </w:rPr>
      </w:pPr>
      <w:r>
        <w:rPr>
          <w:rFonts w:hint="eastAsia" w:cs="仿宋_GB2312"/>
          <w:b/>
          <w:bCs/>
          <w:color w:val="auto"/>
          <w:sz w:val="32"/>
          <w:szCs w:val="32"/>
          <w:highlight w:val="none"/>
          <w:lang w:val="en-US" w:eastAsia="zh-CN"/>
        </w:rPr>
        <w:t>（2）</w:t>
      </w:r>
      <w:r>
        <w:rPr>
          <w:rFonts w:hint="eastAsia" w:cs="仿宋_GB2312"/>
          <w:b/>
          <w:color w:val="auto"/>
          <w:szCs w:val="32"/>
          <w:highlight w:val="none"/>
          <w:lang w:eastAsia="zh-CN"/>
        </w:rPr>
        <w:t>资金使用合规性</w:t>
      </w:r>
      <w:r>
        <w:rPr>
          <w:rFonts w:hint="eastAsia" w:ascii="仿宋_GB2312" w:hAnsi="仿宋_GB2312" w:eastAsia="仿宋_GB2312" w:cs="仿宋_GB2312"/>
          <w:b/>
          <w:color w:val="auto"/>
          <w:szCs w:val="32"/>
          <w:highlight w:val="none"/>
        </w:rPr>
        <w:t>（指标分值2分）（得分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kern w:val="2"/>
          <w:sz w:val="32"/>
          <w:szCs w:val="24"/>
          <w:highlight w:val="none"/>
          <w:lang w:val="en-US" w:eastAsia="zh-CN" w:bidi="ar-SA"/>
        </w:rPr>
      </w:pPr>
      <w:r>
        <w:rPr>
          <w:rFonts w:hint="eastAsia" w:ascii="仿宋_GB2312" w:hAnsi="仿宋_GB2312" w:eastAsia="仿宋_GB2312" w:cs="仿宋_GB2312"/>
          <w:b w:val="0"/>
          <w:bCs w:val="0"/>
          <w:color w:val="auto"/>
          <w:sz w:val="32"/>
          <w:szCs w:val="32"/>
          <w:highlight w:val="none"/>
          <w:lang w:val="en-US" w:eastAsia="zh-CN"/>
        </w:rPr>
        <w:t>西宁市城中区福禄巷南社区老年日间照料中心装修及设备购置</w:t>
      </w:r>
      <w:r>
        <w:rPr>
          <w:rFonts w:hint="eastAsia" w:ascii="Times New Roman" w:hAnsi="Times New Roman" w:eastAsia="仿宋_GB2312" w:cs="Times New Roman"/>
          <w:b w:val="0"/>
          <w:bCs/>
          <w:color w:val="auto"/>
          <w:sz w:val="32"/>
          <w:szCs w:val="32"/>
          <w:highlight w:val="none"/>
          <w:lang w:val="en-US" w:eastAsia="zh-CN"/>
        </w:rPr>
        <w:t>项目2021年度申请预算资金363.6</w:t>
      </w:r>
      <w:r>
        <w:rPr>
          <w:rFonts w:hint="eastAsia" w:ascii="仿宋_GB2312" w:hAnsi="仿宋_GB2312" w:eastAsia="仿宋_GB2312" w:cs="仿宋_GB2312"/>
          <w:b w:val="0"/>
          <w:bCs w:val="0"/>
          <w:color w:val="auto"/>
          <w:sz w:val="32"/>
          <w:szCs w:val="32"/>
          <w:highlight w:val="none"/>
          <w:lang w:val="en-US" w:eastAsia="zh-CN"/>
        </w:rPr>
        <w:t>万元</w:t>
      </w:r>
      <w:r>
        <w:rPr>
          <w:rFonts w:hint="eastAsia"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主要用</w:t>
      </w:r>
      <w:r>
        <w:rPr>
          <w:rFonts w:hint="eastAsia" w:ascii="仿宋_GB2312" w:hAnsi="仿宋_GB2312" w:eastAsia="仿宋_GB2312" w:cs="仿宋_GB2312"/>
          <w:b w:val="0"/>
          <w:bCs w:val="0"/>
          <w:color w:val="auto"/>
          <w:kern w:val="0"/>
          <w:sz w:val="32"/>
          <w:szCs w:val="32"/>
          <w:highlight w:val="none"/>
          <w:lang w:val="en-US" w:eastAsia="zh-CN" w:bidi="ar-SA"/>
        </w:rPr>
        <w:t>于</w:t>
      </w:r>
      <w:r>
        <w:rPr>
          <w:rFonts w:hint="eastAsia" w:cs="仿宋_GB2312"/>
          <w:b w:val="0"/>
          <w:bCs w:val="0"/>
          <w:color w:val="auto"/>
          <w:kern w:val="0"/>
          <w:sz w:val="32"/>
          <w:szCs w:val="32"/>
          <w:highlight w:val="none"/>
          <w:lang w:val="en-US" w:eastAsia="zh-CN" w:bidi="ar-SA"/>
        </w:rPr>
        <w:t>室内</w:t>
      </w:r>
      <w:r>
        <w:rPr>
          <w:rFonts w:hint="eastAsia" w:ascii="仿宋_GB2312" w:hAnsi="仿宋_GB2312" w:eastAsia="仿宋_GB2312" w:cs="仿宋_GB2312"/>
          <w:b w:val="0"/>
          <w:bCs w:val="0"/>
          <w:color w:val="auto"/>
          <w:sz w:val="32"/>
          <w:szCs w:val="32"/>
          <w:highlight w:val="none"/>
          <w:lang w:val="en-US" w:eastAsia="zh-CN"/>
        </w:rPr>
        <w:t>装修</w:t>
      </w:r>
      <w:r>
        <w:rPr>
          <w:rFonts w:hint="eastAsia"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办公设备</w:t>
      </w:r>
      <w:r>
        <w:rPr>
          <w:rFonts w:hint="eastAsia" w:cs="仿宋_GB2312"/>
          <w:b w:val="0"/>
          <w:bCs w:val="0"/>
          <w:color w:val="auto"/>
          <w:sz w:val="32"/>
          <w:szCs w:val="32"/>
          <w:highlight w:val="none"/>
          <w:lang w:val="en-US" w:eastAsia="zh-CN"/>
        </w:rPr>
        <w:t>购置及支付</w:t>
      </w:r>
      <w:r>
        <w:rPr>
          <w:rFonts w:hint="eastAsia" w:ascii="仿宋_GB2312" w:hAnsi="仿宋_GB2312" w:eastAsia="仿宋_GB2312" w:cs="仿宋_GB2312"/>
          <w:b w:val="0"/>
          <w:bCs w:val="0"/>
          <w:color w:val="auto"/>
          <w:sz w:val="32"/>
          <w:szCs w:val="32"/>
          <w:highlight w:val="none"/>
          <w:lang w:val="en-US" w:eastAsia="zh-CN"/>
        </w:rPr>
        <w:t>装修监理</w:t>
      </w:r>
      <w:r>
        <w:rPr>
          <w:rFonts w:hint="eastAsia" w:cs="仿宋_GB2312"/>
          <w:b w:val="0"/>
          <w:bCs w:val="0"/>
          <w:color w:val="auto"/>
          <w:sz w:val="32"/>
          <w:szCs w:val="32"/>
          <w:highlight w:val="none"/>
          <w:lang w:val="en-US" w:eastAsia="zh-CN"/>
        </w:rPr>
        <w:t>费），实际到位资金</w:t>
      </w:r>
      <w:r>
        <w:rPr>
          <w:rFonts w:hint="eastAsia" w:ascii="Times New Roman" w:hAnsi="Times New Roman" w:eastAsia="仿宋_GB2312" w:cs="Times New Roman"/>
          <w:b w:val="0"/>
          <w:bCs/>
          <w:color w:val="auto"/>
          <w:sz w:val="32"/>
          <w:szCs w:val="32"/>
          <w:highlight w:val="none"/>
          <w:lang w:val="en-US" w:eastAsia="zh-CN"/>
        </w:rPr>
        <w:t>186.66万</w:t>
      </w:r>
      <w:r>
        <w:rPr>
          <w:rFonts w:hint="eastAsia" w:cs="仿宋_GB2312"/>
          <w:b w:val="0"/>
          <w:bCs w:val="0"/>
          <w:color w:val="auto"/>
          <w:sz w:val="32"/>
          <w:szCs w:val="32"/>
          <w:highlight w:val="none"/>
          <w:lang w:val="en-US" w:eastAsia="zh-CN"/>
        </w:rPr>
        <w:t>元。经核查项目资金支出情况，</w:t>
      </w:r>
      <w:r>
        <w:rPr>
          <w:rFonts w:hint="eastAsia" w:cs="仿宋_GB2312"/>
          <w:color w:val="auto"/>
          <w:kern w:val="2"/>
          <w:sz w:val="32"/>
          <w:szCs w:val="24"/>
          <w:highlight w:val="none"/>
          <w:lang w:val="en-US" w:eastAsia="zh-CN" w:bidi="ar-SA"/>
        </w:rPr>
        <w:t>资金使用符合国家财经法规和财务管理制度的有关规定，资金支出符合项目预算批复的用途，资金拨付有完整的审批程序和手续，不存在截留、挤占、挪用、虚列支出等情况。</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b w:val="0"/>
          <w:bCs/>
          <w:color w:val="auto"/>
          <w:sz w:val="32"/>
          <w:szCs w:val="32"/>
          <w:highlight w:val="none"/>
          <w:lang w:val="en-US" w:eastAsia="zh-CN"/>
        </w:rPr>
      </w:pPr>
      <w:r>
        <w:rPr>
          <w:rFonts w:hint="eastAsia" w:cs="仿宋_GB2312"/>
          <w:color w:val="auto"/>
          <w:kern w:val="2"/>
          <w:sz w:val="32"/>
          <w:szCs w:val="24"/>
          <w:highlight w:val="none"/>
          <w:lang w:val="en-US" w:eastAsia="zh-CN" w:bidi="ar-SA"/>
        </w:rPr>
        <w:t>根据指标体系评分标准，项目资金使用符合国家财经法规和财务管理制度的规定，</w:t>
      </w:r>
      <w:r>
        <w:rPr>
          <w:rFonts w:hint="eastAsia" w:ascii="Times New Roman" w:hAnsi="Times New Roman" w:eastAsia="仿宋_GB2312" w:cs="Times New Roman"/>
          <w:b w:val="0"/>
          <w:bCs/>
          <w:color w:val="auto"/>
          <w:sz w:val="32"/>
          <w:szCs w:val="32"/>
          <w:highlight w:val="none"/>
          <w:lang w:val="en-US" w:eastAsia="zh-CN"/>
        </w:rPr>
        <w:t>得0.5分；资金支出符合项目预算批复的用途，得0.5分；资金的拨付有完整的审批程序和手续，得0.5分；资金使用不存在截留、挤占、挪用、虚列支出等情况，得0.5分；指标合计得分2分。</w:t>
      </w:r>
    </w:p>
    <w:p>
      <w:pPr>
        <w:keepNext w:val="0"/>
        <w:keepLines w:val="0"/>
        <w:pageBreakBefore w:val="0"/>
        <w:widowControl w:val="0"/>
        <w:shd w:val="clear" w:color="auto" w:fill="auto"/>
        <w:kinsoku/>
        <w:overflowPunct/>
        <w:topLinePunct w:val="0"/>
        <w:autoSpaceDE/>
        <w:autoSpaceDN/>
        <w:bidi w:val="0"/>
        <w:spacing w:line="576" w:lineRule="exact"/>
        <w:ind w:left="0" w:leftChars="0" w:firstLine="643" w:firstLineChars="200"/>
        <w:rPr>
          <w:rFonts w:hint="eastAsia" w:ascii="仿宋_GB2312" w:hAnsi="仿宋_GB2312" w:eastAsia="仿宋_GB2312" w:cs="仿宋_GB2312"/>
          <w:b/>
          <w:color w:val="auto"/>
          <w:szCs w:val="32"/>
          <w:highlight w:val="none"/>
          <w:lang w:eastAsia="zh-CN"/>
        </w:rPr>
      </w:pPr>
      <w:r>
        <w:rPr>
          <w:rFonts w:hint="eastAsia" w:ascii="仿宋_GB2312" w:hAnsi="仿宋_GB2312" w:eastAsia="仿宋_GB2312" w:cs="仿宋_GB2312"/>
          <w:b/>
          <w:color w:val="auto"/>
          <w:szCs w:val="32"/>
          <w:highlight w:val="none"/>
          <w:lang w:eastAsia="zh-CN"/>
        </w:rPr>
        <w:t>（</w:t>
      </w:r>
      <w:r>
        <w:rPr>
          <w:rFonts w:hint="eastAsia" w:ascii="仿宋_GB2312" w:hAnsi="仿宋_GB2312" w:eastAsia="仿宋_GB2312"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eastAsia="zh-CN"/>
        </w:rPr>
        <w:t>）财务管理</w:t>
      </w:r>
      <w:r>
        <w:rPr>
          <w:rFonts w:hint="eastAsia" w:ascii="仿宋_GB2312" w:hAnsi="仿宋_GB2312" w:eastAsia="仿宋_GB2312" w:cs="仿宋_GB2312"/>
          <w:b/>
          <w:color w:val="auto"/>
          <w:szCs w:val="32"/>
          <w:highlight w:val="none"/>
          <w:lang w:val="en-US" w:eastAsia="zh-CN"/>
        </w:rPr>
        <w:t>规范性</w:t>
      </w:r>
      <w:r>
        <w:rPr>
          <w:rFonts w:hint="eastAsia" w:ascii="仿宋_GB2312" w:hAnsi="仿宋_GB2312" w:eastAsia="仿宋_GB2312" w:cs="仿宋_GB2312"/>
          <w:b/>
          <w:color w:val="auto"/>
          <w:szCs w:val="32"/>
          <w:highlight w:val="none"/>
        </w:rPr>
        <w:t>（指标分值2分）（得分2分）</w:t>
      </w:r>
    </w:p>
    <w:p>
      <w:pPr>
        <w:keepNext w:val="0"/>
        <w:keepLines w:val="0"/>
        <w:pageBreakBefore w:val="0"/>
        <w:widowControl w:val="0"/>
        <w:shd w:val="clear" w:color="auto" w:fill="auto"/>
        <w:kinsoku/>
        <w:overflowPunct/>
        <w:topLinePunct w:val="0"/>
        <w:autoSpaceDE/>
        <w:autoSpaceDN/>
        <w:bidi w:val="0"/>
        <w:spacing w:line="576" w:lineRule="exact"/>
        <w:ind w:left="0" w:leftChars="0" w:firstLine="640"/>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rPr>
        <w:t>根据</w:t>
      </w:r>
      <w:r>
        <w:rPr>
          <w:rFonts w:hint="eastAsia" w:ascii="仿宋_GB2312" w:hAnsi="仿宋_GB2312" w:eastAsia="仿宋_GB2312" w:cs="仿宋_GB2312"/>
          <w:color w:val="auto"/>
          <w:highlight w:val="none"/>
          <w:lang w:val="en-US" w:eastAsia="zh-CN"/>
        </w:rPr>
        <w:t>核查</w:t>
      </w:r>
      <w:r>
        <w:rPr>
          <w:rFonts w:hint="eastAsia" w:cs="仿宋_GB2312"/>
          <w:color w:val="auto"/>
          <w:highlight w:val="none"/>
          <w:lang w:val="en-US" w:eastAsia="zh-CN"/>
        </w:rPr>
        <w:t>项目</w:t>
      </w:r>
      <w:r>
        <w:rPr>
          <w:rFonts w:hint="eastAsia" w:ascii="仿宋_GB2312" w:hAnsi="仿宋_GB2312" w:eastAsia="仿宋_GB2312" w:cs="仿宋_GB2312"/>
          <w:color w:val="auto"/>
          <w:highlight w:val="none"/>
          <w:lang w:val="en-US" w:eastAsia="zh-CN"/>
        </w:rPr>
        <w:t>会计凭证及会计账簿等财务资料</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highlight w:val="none"/>
          <w:lang w:val="en-US" w:eastAsia="zh-CN"/>
        </w:rPr>
        <w:t>西宁市城中区福禄巷南社区老年日间照料中心装修及设备购置项目</w:t>
      </w:r>
      <w:r>
        <w:rPr>
          <w:rFonts w:hint="eastAsia" w:ascii="仿宋_GB2312" w:hAnsi="仿宋_GB2312" w:eastAsia="仿宋_GB2312" w:cs="仿宋_GB2312"/>
          <w:color w:val="auto"/>
          <w:highlight w:val="none"/>
        </w:rPr>
        <w:t>严格按照</w:t>
      </w:r>
      <w:r>
        <w:rPr>
          <w:rFonts w:hint="eastAsia" w:ascii="仿宋_GB2312" w:hAnsi="仿宋_GB2312" w:eastAsia="仿宋_GB2312" w:cs="仿宋_GB2312"/>
          <w:color w:val="auto"/>
          <w:highlight w:val="none"/>
          <w:lang w:eastAsia="zh-CN"/>
        </w:rPr>
        <w:t>《中华人民共和国会计法》</w:t>
      </w:r>
      <w:r>
        <w:rPr>
          <w:rFonts w:hint="eastAsia" w:ascii="仿宋_GB2312" w:hAnsi="仿宋_GB2312" w:eastAsia="仿宋_GB2312" w:cs="仿宋_GB2312"/>
          <w:color w:val="auto"/>
          <w:highlight w:val="none"/>
        </w:rPr>
        <w:t>和</w:t>
      </w:r>
      <w:r>
        <w:rPr>
          <w:rFonts w:hint="eastAsia" w:ascii="仿宋_GB2312" w:hAnsi="仿宋_GB2312" w:eastAsia="仿宋_GB2312" w:cs="仿宋_GB2312"/>
          <w:color w:val="auto"/>
          <w:highlight w:val="none"/>
          <w:lang w:eastAsia="zh-CN"/>
        </w:rPr>
        <w:t>《城中区民政局财务管理制度》对专项资金进行单独核算，财务会计信息内容真实、准确、规范，会计凭证完整、齐全。</w:t>
      </w:r>
    </w:p>
    <w:p>
      <w:pPr>
        <w:keepNext w:val="0"/>
        <w:keepLines w:val="0"/>
        <w:pageBreakBefore w:val="0"/>
        <w:widowControl w:val="0"/>
        <w:shd w:val="clear" w:color="auto" w:fill="auto"/>
        <w:kinsoku/>
        <w:overflowPunct/>
        <w:topLinePunct w:val="0"/>
        <w:autoSpaceDE/>
        <w:autoSpaceDN/>
        <w:bidi w:val="0"/>
        <w:spacing w:line="576" w:lineRule="exact"/>
        <w:ind w:left="0" w:leftChars="0" w:firstLine="64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kern w:val="2"/>
          <w:sz w:val="32"/>
          <w:szCs w:val="24"/>
          <w:highlight w:val="none"/>
          <w:lang w:val="en-US" w:eastAsia="zh-CN" w:bidi="ar-SA"/>
        </w:rPr>
        <w:t>根据指标体系评分标准，</w:t>
      </w:r>
      <w:r>
        <w:rPr>
          <w:rFonts w:hint="eastAsia" w:ascii="仿宋_GB2312" w:hAnsi="仿宋_GB2312" w:eastAsia="仿宋_GB2312" w:cs="仿宋_GB2312"/>
          <w:color w:val="auto"/>
          <w:highlight w:val="none"/>
          <w:lang w:val="en-US" w:eastAsia="zh-CN"/>
        </w:rPr>
        <w:t>西宁市城中区福禄巷南社区老年日间照料中心装修及设备购置项目</w:t>
      </w:r>
      <w:r>
        <w:rPr>
          <w:rFonts w:hint="eastAsia" w:ascii="仿宋_GB2312" w:hAnsi="仿宋_GB2312" w:eastAsia="仿宋_GB2312" w:cs="仿宋_GB2312"/>
          <w:color w:val="auto"/>
          <w:kern w:val="2"/>
          <w:sz w:val="32"/>
          <w:szCs w:val="24"/>
          <w:highlight w:val="none"/>
          <w:lang w:val="en-US" w:eastAsia="zh-CN" w:bidi="ar-SA"/>
        </w:rPr>
        <w:t>资金核算规范，符合行业要求；财务会计信息真实、完整、凭证齐全</w:t>
      </w:r>
      <w:r>
        <w:rPr>
          <w:rFonts w:hint="eastAsia" w:ascii="仿宋_GB2312" w:hAnsi="仿宋_GB2312" w:eastAsia="仿宋_GB2312" w:cs="仿宋_GB2312"/>
          <w:color w:val="auto"/>
          <w:szCs w:val="32"/>
          <w:highlight w:val="none"/>
          <w:lang w:eastAsia="zh-CN"/>
        </w:rPr>
        <w:t>。</w:t>
      </w:r>
      <w:r>
        <w:rPr>
          <w:rFonts w:hint="eastAsia" w:ascii="仿宋_GB2312" w:hAnsi="仿宋_GB2312" w:eastAsia="仿宋_GB2312" w:cs="仿宋_GB2312"/>
          <w:color w:val="auto"/>
          <w:szCs w:val="32"/>
          <w:highlight w:val="none"/>
          <w:lang w:val="en-US" w:eastAsia="zh-CN"/>
        </w:rPr>
        <w:t>指标得分</w:t>
      </w:r>
      <w:r>
        <w:rPr>
          <w:rFonts w:hint="eastAsia" w:ascii="Times New Roman" w:hAnsi="Times New Roman" w:eastAsia="仿宋_GB2312" w:cs="Times New Roman"/>
          <w:b w:val="0"/>
          <w:bCs/>
          <w:color w:val="auto"/>
          <w:sz w:val="32"/>
          <w:szCs w:val="32"/>
          <w:highlight w:val="none"/>
          <w:lang w:val="en-US" w:eastAsia="zh-CN"/>
        </w:rPr>
        <w:t>2</w:t>
      </w:r>
      <w:r>
        <w:rPr>
          <w:rFonts w:hint="eastAsia" w:ascii="仿宋_GB2312" w:hAnsi="仿宋_GB2312" w:eastAsia="仿宋_GB2312" w:cs="仿宋_GB2312"/>
          <w:color w:val="auto"/>
          <w:szCs w:val="32"/>
          <w:highlight w:val="none"/>
          <w:lang w:val="en-US" w:eastAsia="zh-CN"/>
        </w:rPr>
        <w:t>分</w:t>
      </w:r>
      <w:r>
        <w:rPr>
          <w:rFonts w:hint="eastAsia" w:ascii="仿宋_GB2312" w:hAnsi="仿宋_GB2312" w:eastAsia="仿宋_GB2312" w:cs="仿宋_GB2312"/>
          <w:color w:val="auto"/>
          <w:szCs w:val="32"/>
          <w:highlight w:val="none"/>
        </w:rPr>
        <w:t>。</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 w:hAnsi="楷体" w:eastAsia="楷体" w:cs="仿宋_GB2312"/>
          <w:b/>
          <w:bCs/>
          <w:color w:val="auto"/>
          <w:kern w:val="2"/>
          <w:sz w:val="32"/>
          <w:szCs w:val="32"/>
          <w:highlight w:val="none"/>
          <w:lang w:val="en-US" w:eastAsia="zh-CN" w:bidi="ar-SA"/>
        </w:rPr>
      </w:pPr>
      <w:bookmarkStart w:id="528" w:name="_Toc31978"/>
      <w:bookmarkStart w:id="529" w:name="_Toc2555"/>
      <w:bookmarkStart w:id="530" w:name="_Toc6891"/>
      <w:bookmarkStart w:id="531" w:name="_Toc6914"/>
      <w:r>
        <w:rPr>
          <w:rFonts w:hint="eastAsia" w:ascii="楷体_GB2312" w:hAnsi="楷体_GB2312" w:eastAsia="楷体_GB2312" w:cs="楷体_GB2312"/>
          <w:b/>
          <w:color w:val="auto"/>
          <w:kern w:val="2"/>
          <w:sz w:val="32"/>
          <w:szCs w:val="24"/>
          <w:highlight w:val="none"/>
          <w:lang w:val="en-US" w:eastAsia="zh-CN" w:bidi="ar-SA"/>
        </w:rPr>
        <w:fldChar w:fldCharType="begin"/>
      </w:r>
      <w:r>
        <w:rPr>
          <w:rFonts w:hint="eastAsia" w:ascii="楷体_GB2312" w:hAnsi="楷体_GB2312" w:eastAsia="楷体_GB2312" w:cs="楷体_GB2312"/>
          <w:b/>
          <w:color w:val="auto"/>
          <w:kern w:val="2"/>
          <w:sz w:val="32"/>
          <w:szCs w:val="24"/>
          <w:highlight w:val="none"/>
          <w:lang w:val="en-US" w:eastAsia="zh-CN" w:bidi="ar-SA"/>
        </w:rPr>
        <w:instrText xml:space="preserve"> HYPERLINK \l "_Toc32280" </w:instrText>
      </w:r>
      <w:r>
        <w:rPr>
          <w:rFonts w:hint="eastAsia" w:ascii="楷体_GB2312" w:hAnsi="楷体_GB2312" w:eastAsia="楷体_GB2312" w:cs="楷体_GB2312"/>
          <w:b/>
          <w:color w:val="auto"/>
          <w:kern w:val="2"/>
          <w:sz w:val="32"/>
          <w:szCs w:val="24"/>
          <w:highlight w:val="none"/>
          <w:lang w:val="en-US" w:eastAsia="zh-CN" w:bidi="ar-SA"/>
        </w:rPr>
        <w:fldChar w:fldCharType="separate"/>
      </w:r>
      <w:r>
        <w:rPr>
          <w:rFonts w:hint="eastAsia" w:ascii="楷体_GB2312" w:hAnsi="楷体_GB2312" w:eastAsia="楷体_GB2312" w:cs="楷体_GB2312"/>
          <w:b/>
          <w:color w:val="auto"/>
          <w:kern w:val="2"/>
          <w:sz w:val="32"/>
          <w:szCs w:val="24"/>
          <w:highlight w:val="none"/>
          <w:lang w:val="en-US" w:eastAsia="zh-CN" w:bidi="ar-SA"/>
        </w:rPr>
        <w:t>（三）项目产出</w:t>
      </w:r>
      <w:r>
        <w:rPr>
          <w:rFonts w:hint="eastAsia" w:ascii="楷体_GB2312" w:hAnsi="楷体_GB2312" w:eastAsia="楷体_GB2312" w:cs="楷体_GB2312"/>
          <w:b/>
          <w:color w:val="auto"/>
          <w:kern w:val="2"/>
          <w:sz w:val="32"/>
          <w:szCs w:val="24"/>
          <w:highlight w:val="none"/>
          <w:lang w:val="en-US" w:eastAsia="zh-CN" w:bidi="ar-SA"/>
        </w:rPr>
        <w:fldChar w:fldCharType="end"/>
      </w:r>
      <w:r>
        <w:rPr>
          <w:rFonts w:hint="eastAsia" w:ascii="楷体_GB2312" w:hAnsi="楷体_GB2312" w:eastAsia="楷体_GB2312" w:cs="楷体_GB2312"/>
          <w:b/>
          <w:color w:val="auto"/>
          <w:kern w:val="2"/>
          <w:sz w:val="32"/>
          <w:szCs w:val="24"/>
          <w:highlight w:val="none"/>
          <w:lang w:val="en-US" w:eastAsia="zh-CN" w:bidi="ar-SA"/>
        </w:rPr>
        <w:t>情况</w:t>
      </w:r>
      <w:bookmarkEnd w:id="528"/>
      <w:bookmarkEnd w:id="529"/>
      <w:bookmarkEnd w:id="530"/>
      <w:bookmarkEnd w:id="531"/>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西宁市城中区福禄巷南社区老年日间照料中心装修及设备购置</w:t>
      </w:r>
      <w:r>
        <w:rPr>
          <w:rFonts w:hint="eastAsia" w:cs="仿宋_GB2312"/>
          <w:color w:val="auto"/>
          <w:highlight w:val="none"/>
          <w:lang w:val="en-US" w:eastAsia="zh-CN"/>
        </w:rPr>
        <w:t>项目</w:t>
      </w:r>
      <w:r>
        <w:rPr>
          <w:rFonts w:hint="eastAsia" w:ascii="仿宋_GB2312" w:hAnsi="仿宋_GB2312" w:eastAsia="仿宋_GB2312" w:cs="仿宋_GB2312"/>
          <w:color w:val="auto"/>
          <w:highlight w:val="none"/>
          <w:lang w:val="en-US" w:eastAsia="zh-CN"/>
        </w:rPr>
        <w:t>绩效评价</w:t>
      </w:r>
      <w:r>
        <w:rPr>
          <w:rFonts w:hint="eastAsia" w:cs="仿宋_GB2312"/>
          <w:color w:val="auto"/>
          <w:highlight w:val="none"/>
          <w:lang w:val="en-US" w:eastAsia="zh-CN"/>
        </w:rPr>
        <w:t>产出</w:t>
      </w:r>
      <w:r>
        <w:rPr>
          <w:rFonts w:hint="eastAsia" w:ascii="仿宋_GB2312" w:hAnsi="仿宋_GB2312" w:eastAsia="仿宋_GB2312" w:cs="仿宋_GB2312"/>
          <w:color w:val="auto"/>
          <w:highlight w:val="none"/>
          <w:lang w:val="en-US" w:eastAsia="zh-CN"/>
        </w:rPr>
        <w:t>类指标分别</w:t>
      </w:r>
      <w:r>
        <w:rPr>
          <w:rFonts w:hint="eastAsia" w:cs="仿宋_GB2312"/>
          <w:color w:val="auto"/>
          <w:highlight w:val="none"/>
          <w:lang w:val="en-US" w:eastAsia="zh-CN"/>
        </w:rPr>
        <w:t>从</w:t>
      </w:r>
      <w:r>
        <w:rPr>
          <w:rFonts w:hint="eastAsia" w:cs="Times New Roman"/>
          <w:color w:val="auto"/>
          <w:highlight w:val="none"/>
        </w:rPr>
        <w:t>产出数量、产出质量、产出时效</w:t>
      </w:r>
      <w:r>
        <w:rPr>
          <w:rFonts w:hint="eastAsia" w:cs="Times New Roman"/>
          <w:color w:val="auto"/>
          <w:highlight w:val="none"/>
          <w:lang w:eastAsia="zh-CN"/>
        </w:rPr>
        <w:t>、成本节约四</w:t>
      </w:r>
      <w:r>
        <w:rPr>
          <w:rFonts w:hint="eastAsia" w:cs="Times New Roman"/>
          <w:color w:val="auto"/>
          <w:highlight w:val="none"/>
        </w:rPr>
        <w:t>个方面进行绩效分析</w:t>
      </w:r>
      <w:r>
        <w:rPr>
          <w:rFonts w:hint="eastAsia" w:cs="仿宋_GB2312"/>
          <w:color w:val="auto"/>
          <w:highlight w:val="none"/>
          <w:lang w:val="en-US" w:eastAsia="zh-CN"/>
        </w:rPr>
        <w:t>。各项</w:t>
      </w:r>
      <w:r>
        <w:rPr>
          <w:rFonts w:hint="eastAsia" w:ascii="仿宋_GB2312" w:hAnsi="仿宋_GB2312" w:eastAsia="仿宋_GB2312" w:cs="仿宋_GB2312"/>
          <w:color w:val="auto"/>
          <w:highlight w:val="none"/>
          <w:lang w:val="en-US" w:eastAsia="zh-CN"/>
        </w:rPr>
        <w:t>指标具体得分情况如下表所示：</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2204"/>
        <w:gridCol w:w="3588"/>
        <w:gridCol w:w="7"/>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nil"/>
              <w:left w:val="nil"/>
              <w:bottom w:val="double" w:color="000000" w:sz="4" w:space="0"/>
              <w:righ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10  产出</w:t>
            </w:r>
            <w:r>
              <w:rPr>
                <w:rFonts w:hint="eastAsia" w:ascii="宋体" w:hAnsi="宋体" w:eastAsia="宋体" w:cs="宋体"/>
                <w:b/>
                <w:bCs/>
                <w:color w:val="auto"/>
                <w:sz w:val="28"/>
                <w:szCs w:val="28"/>
                <w:highlight w:val="none"/>
              </w:rPr>
              <w:t>类各项指标绩效评价</w:t>
            </w:r>
            <w:r>
              <w:rPr>
                <w:rFonts w:hint="eastAsia" w:ascii="宋体" w:hAnsi="宋体" w:eastAsia="宋体" w:cs="宋体"/>
                <w:b/>
                <w:color w:val="auto"/>
                <w:sz w:val="28"/>
                <w:szCs w:val="28"/>
                <w:highlight w:val="none"/>
              </w:rPr>
              <w:t>得分表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1" w:type="pct"/>
            <w:tcBorders>
              <w:top w:val="double" w:color="000000" w:sz="4" w:space="0"/>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1216" w:type="pct"/>
            <w:tcBorders>
              <w:top w:val="double" w:color="000000" w:sz="4" w:space="0"/>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1980" w:type="pct"/>
            <w:tcBorders>
              <w:top w:val="double" w:color="000000" w:sz="4" w:space="0"/>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652" w:type="pct"/>
            <w:gridSpan w:val="2"/>
            <w:tcBorders>
              <w:top w:val="double" w:color="000000" w:sz="4" w:space="0"/>
              <w:righ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1" w:type="pct"/>
            <w:vMerge w:val="restart"/>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eastAsia="zh-CN"/>
              </w:rPr>
            </w:pPr>
            <w:r>
              <w:rPr>
                <w:rFonts w:hint="eastAsia" w:ascii="宋体" w:hAnsi="宋体" w:eastAsia="宋体" w:cs="宋体"/>
                <w:b/>
                <w:color w:val="auto"/>
                <w:sz w:val="24"/>
                <w:szCs w:val="22"/>
                <w:highlight w:val="none"/>
                <w:u w:val="single"/>
                <w:lang w:val="en-US" w:eastAsia="zh-CN"/>
              </w:rPr>
              <w:t>产出</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92.65</w:t>
            </w:r>
            <w:r>
              <w:rPr>
                <w:rFonts w:hint="eastAsia" w:ascii="宋体" w:hAnsi="宋体" w:eastAsia="宋体" w:cs="宋体"/>
                <w:bCs/>
                <w:color w:val="auto"/>
                <w:sz w:val="24"/>
                <w:szCs w:val="22"/>
                <w:highlight w:val="none"/>
              </w:rPr>
              <w:t>%</w:t>
            </w:r>
          </w:p>
        </w:tc>
        <w:tc>
          <w:tcPr>
            <w:tcW w:w="1216" w:type="pct"/>
            <w:vMerge w:val="restar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产出数量</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198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室内装修工程完工率</w:t>
            </w:r>
          </w:p>
        </w:tc>
        <w:tc>
          <w:tcPr>
            <w:tcW w:w="652" w:type="pct"/>
            <w:gridSpan w:val="2"/>
            <w:tcBorders>
              <w:right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1" w:type="pct"/>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6" w:type="pct"/>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8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设备购置完成率</w:t>
            </w:r>
          </w:p>
        </w:tc>
        <w:tc>
          <w:tcPr>
            <w:tcW w:w="652" w:type="pct"/>
            <w:gridSpan w:val="2"/>
            <w:tcBorders>
              <w:right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1" w:type="pct"/>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6" w:type="pct"/>
            <w:vMerge w:val="restar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产出质量</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198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装修工程验收合格率</w:t>
            </w:r>
          </w:p>
        </w:tc>
        <w:tc>
          <w:tcPr>
            <w:tcW w:w="652" w:type="pct"/>
            <w:gridSpan w:val="2"/>
            <w:tcBorders>
              <w:right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1" w:type="pct"/>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6" w:type="pct"/>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8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采购设备质量合格率</w:t>
            </w:r>
          </w:p>
        </w:tc>
        <w:tc>
          <w:tcPr>
            <w:tcW w:w="652" w:type="pct"/>
            <w:gridSpan w:val="2"/>
            <w:tcBorders>
              <w:right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1" w:type="pct"/>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6" w:type="pct"/>
            <w:vMerge w:val="restar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产出时效</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68.75</w:t>
            </w:r>
            <w:r>
              <w:rPr>
                <w:rFonts w:hint="eastAsia" w:ascii="宋体" w:hAnsi="宋体" w:eastAsia="宋体" w:cs="宋体"/>
                <w:bCs/>
                <w:color w:val="auto"/>
                <w:sz w:val="24"/>
                <w:szCs w:val="22"/>
                <w:highlight w:val="none"/>
              </w:rPr>
              <w:t>%</w:t>
            </w:r>
          </w:p>
        </w:tc>
        <w:tc>
          <w:tcPr>
            <w:tcW w:w="198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装修工程完工及时性</w:t>
            </w:r>
          </w:p>
        </w:tc>
        <w:tc>
          <w:tcPr>
            <w:tcW w:w="652" w:type="pct"/>
            <w:gridSpan w:val="2"/>
            <w:tcBorders>
              <w:right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1" w:type="pct"/>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6" w:type="pct"/>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8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设备采购及时性</w:t>
            </w:r>
          </w:p>
        </w:tc>
        <w:tc>
          <w:tcPr>
            <w:tcW w:w="652" w:type="pct"/>
            <w:gridSpan w:val="2"/>
            <w:tcBorders>
              <w:right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1" w:type="pct"/>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6" w:type="pct"/>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8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验收、竣工决算及时性</w:t>
            </w:r>
          </w:p>
        </w:tc>
        <w:tc>
          <w:tcPr>
            <w:tcW w:w="652" w:type="pct"/>
            <w:gridSpan w:val="2"/>
            <w:tcBorders>
              <w:right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1" w:type="pct"/>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6" w:type="pc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产出成本</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lang w:eastAsia="zh-CN"/>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198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成本节约率</w:t>
            </w:r>
          </w:p>
        </w:tc>
        <w:tc>
          <w:tcPr>
            <w:tcW w:w="652" w:type="pct"/>
            <w:gridSpan w:val="2"/>
            <w:tcBorders>
              <w:right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1" w:type="pct"/>
            <w:gridSpan w:val="4"/>
            <w:tcBorders>
              <w:left w:val="nil"/>
              <w:bottom w:val="double" w:color="auto" w:sz="4" w:space="0"/>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val="en-US" w:eastAsia="zh-CN"/>
              </w:rPr>
              <w:t>产出</w:t>
            </w:r>
            <w:r>
              <w:rPr>
                <w:rFonts w:hint="eastAsia" w:ascii="宋体" w:hAnsi="宋体" w:eastAsia="宋体" w:cs="宋体"/>
                <w:b/>
                <w:color w:val="auto"/>
                <w:sz w:val="24"/>
                <w:szCs w:val="22"/>
                <w:highlight w:val="none"/>
              </w:rPr>
              <w:t>”情况评级</w:t>
            </w:r>
          </w:p>
        </w:tc>
        <w:tc>
          <w:tcPr>
            <w:tcW w:w="648" w:type="pct"/>
            <w:tcBorders>
              <w:bottom w:val="double" w:color="auto" w:sz="4" w:space="0"/>
              <w:right w:val="nil"/>
            </w:tcBorders>
            <w:noWrap w:val="0"/>
            <w:vAlign w:val="center"/>
          </w:tcPr>
          <w:p>
            <w:pPr>
              <w:keepNext w:val="0"/>
              <w:keepLines w:val="0"/>
              <w:pageBreakBefore w:val="0"/>
              <w:widowControl w:val="0"/>
              <w:shd w:val="clear" w:color="auto" w:fill="auto"/>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优</w:t>
            </w:r>
          </w:p>
        </w:tc>
      </w:tr>
    </w:tbl>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1.产出数量（</w:t>
      </w:r>
      <w:r>
        <w:rPr>
          <w:rFonts w:hint="eastAsia" w:cs="仿宋_GB2312"/>
          <w:b/>
          <w:bCs/>
          <w:color w:val="auto"/>
          <w:kern w:val="2"/>
          <w:sz w:val="32"/>
          <w:szCs w:val="32"/>
          <w:highlight w:val="none"/>
          <w:lang w:val="en-US" w:eastAsia="zh-CN" w:bidi="ar-SA"/>
        </w:rPr>
        <w:t>指标分值10分</w:t>
      </w: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（得分10分）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（1）室内装修工程完工率（</w:t>
      </w:r>
      <w:r>
        <w:rPr>
          <w:rFonts w:hint="eastAsia" w:cs="仿宋_GB2312"/>
          <w:b/>
          <w:bCs/>
          <w:color w:val="auto"/>
          <w:kern w:val="2"/>
          <w:sz w:val="32"/>
          <w:szCs w:val="32"/>
          <w:highlight w:val="none"/>
          <w:lang w:val="en-US" w:eastAsia="zh-CN" w:bidi="ar-SA"/>
        </w:rPr>
        <w:t>指标分值5分</w:t>
      </w: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（得分5分）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cs="仿宋_GB2312"/>
          <w:b w:val="0"/>
          <w:bCs w:val="0"/>
          <w:color w:val="auto"/>
          <w:sz w:val="32"/>
          <w:szCs w:val="32"/>
          <w:highlight w:val="none"/>
          <w:lang w:val="en-US" w:eastAsia="zh-CN"/>
        </w:rPr>
      </w:pPr>
      <w:r>
        <w:rPr>
          <w:rFonts w:hint="eastAsia" w:cs="仿宋_GB2312"/>
          <w:color w:val="auto"/>
          <w:kern w:val="2"/>
          <w:sz w:val="32"/>
          <w:szCs w:val="32"/>
          <w:highlight w:val="none"/>
          <w:lang w:val="en-US" w:eastAsia="zh-CN" w:bidi="ar-SA"/>
        </w:rPr>
        <w:t>经实地调研及查阅项目验收资料，</w:t>
      </w:r>
      <w:r>
        <w:rPr>
          <w:rFonts w:hint="eastAsia" w:ascii="仿宋_GB2312" w:hAnsi="仿宋_GB2312" w:eastAsia="仿宋_GB2312" w:cs="仿宋_GB2312"/>
          <w:color w:val="auto"/>
          <w:highlight w:val="none"/>
          <w:lang w:val="en-US" w:eastAsia="zh-CN"/>
        </w:rPr>
        <w:t>西宁市城中区福禄巷南社区老年日间照料中心</w:t>
      </w:r>
      <w:r>
        <w:rPr>
          <w:rFonts w:hint="eastAsia" w:cs="仿宋_GB2312"/>
          <w:color w:val="auto"/>
          <w:highlight w:val="none"/>
          <w:lang w:val="en-US" w:eastAsia="zh-CN"/>
        </w:rPr>
        <w:t>室内</w:t>
      </w:r>
      <w:r>
        <w:rPr>
          <w:rFonts w:hint="eastAsia" w:ascii="仿宋_GB2312" w:hAnsi="仿宋_GB2312" w:eastAsia="仿宋_GB2312" w:cs="仿宋_GB2312"/>
          <w:color w:val="auto"/>
          <w:highlight w:val="none"/>
          <w:lang w:val="en-US" w:eastAsia="zh-CN"/>
        </w:rPr>
        <w:t>装修</w:t>
      </w:r>
      <w:r>
        <w:rPr>
          <w:rFonts w:hint="eastAsia" w:cs="仿宋_GB2312"/>
          <w:color w:val="auto"/>
          <w:highlight w:val="none"/>
          <w:lang w:val="en-US" w:eastAsia="zh-CN"/>
        </w:rPr>
        <w:t>工程</w:t>
      </w:r>
      <w:r>
        <w:rPr>
          <w:rFonts w:hint="eastAsia" w:cs="仿宋_GB2312"/>
          <w:b w:val="0"/>
          <w:bCs w:val="0"/>
          <w:color w:val="auto"/>
          <w:sz w:val="32"/>
          <w:szCs w:val="32"/>
          <w:highlight w:val="none"/>
          <w:lang w:val="en-US" w:eastAsia="zh-CN"/>
        </w:rPr>
        <w:t>按照实施方案改造内容和合同要求完成施工，并及时投入使用。</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default"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根据指标体系评分标准，指标分值=室内装修工程完工</w:t>
      </w:r>
      <w:r>
        <w:rPr>
          <w:rFonts w:hint="eastAsia" w:ascii="Times New Roman" w:hAnsi="Times New Roman" w:eastAsia="仿宋_GB2312" w:cs="Times New Roman"/>
          <w:b w:val="0"/>
          <w:bCs/>
          <w:color w:val="auto"/>
          <w:sz w:val="32"/>
          <w:szCs w:val="32"/>
          <w:highlight w:val="none"/>
          <w:lang w:val="en-US" w:eastAsia="zh-CN"/>
        </w:rPr>
        <w:t>率100%*指标满分值5分=5分。指标得分5分。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）设备购置完成率（指标分值</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default" w:ascii="仿宋_GB2312" w:hAnsi="仿宋_GB2312" w:eastAsia="仿宋_GB2312" w:cs="仿宋_GB2312"/>
          <w:color w:val="auto"/>
          <w:highlight w:val="none"/>
          <w:lang w:val="en-US" w:eastAsia="zh-CN"/>
        </w:rPr>
      </w:pPr>
      <w:r>
        <w:rPr>
          <w:rFonts w:hint="eastAsia" w:cs="仿宋_GB2312"/>
          <w:color w:val="auto"/>
          <w:kern w:val="2"/>
          <w:sz w:val="32"/>
          <w:szCs w:val="32"/>
          <w:highlight w:val="none"/>
          <w:lang w:val="en-US" w:eastAsia="zh-CN" w:bidi="ar-SA"/>
        </w:rPr>
        <w:t>经实地调研及查阅设备采购合同、供应商购货清单、产品明细表等资料，</w:t>
      </w:r>
      <w:r>
        <w:rPr>
          <w:rFonts w:hint="eastAsia" w:ascii="仿宋_GB2312" w:hAnsi="仿宋_GB2312" w:eastAsia="仿宋_GB2312" w:cs="仿宋_GB2312"/>
          <w:color w:val="auto"/>
          <w:highlight w:val="none"/>
          <w:lang w:val="en-US" w:eastAsia="zh-CN"/>
        </w:rPr>
        <w:t>西宁市城中区福禄巷南社区老年日间照料中心</w:t>
      </w:r>
      <w:r>
        <w:rPr>
          <w:rFonts w:hint="eastAsia" w:cs="仿宋_GB2312"/>
          <w:color w:val="auto"/>
          <w:highlight w:val="none"/>
          <w:lang w:val="en-US" w:eastAsia="zh-CN"/>
        </w:rPr>
        <w:t>电脑设备、办公家具、厨具及康复仪器等设备按照政府采购备案申请及采购合同确定的标的名称、规格型号、采购数量、采购单价等完成设备采购。</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default" w:cs="仿宋_GB2312"/>
          <w:color w:val="auto"/>
          <w:highlight w:val="none"/>
          <w:lang w:val="en-US" w:eastAsia="zh-CN"/>
        </w:rPr>
      </w:pPr>
      <w:r>
        <w:rPr>
          <w:rFonts w:hint="eastAsia" w:cs="仿宋_GB2312"/>
          <w:color w:val="auto"/>
          <w:highlight w:val="none"/>
          <w:lang w:val="en-US" w:eastAsia="zh-CN"/>
        </w:rPr>
        <w:t>根据指标体系评分标准，</w:t>
      </w:r>
      <w:r>
        <w:rPr>
          <w:rFonts w:hint="eastAsia" w:ascii="仿宋_GB2312" w:hAnsi="仿宋_GB2312" w:eastAsia="仿宋_GB2312" w:cs="仿宋_GB2312"/>
          <w:color w:val="auto"/>
          <w:kern w:val="2"/>
          <w:sz w:val="32"/>
          <w:szCs w:val="32"/>
          <w:highlight w:val="none"/>
          <w:lang w:val="en-US" w:eastAsia="zh-CN" w:bidi="ar-SA"/>
        </w:rPr>
        <w:t>指标分值=设备购置完成率</w:t>
      </w:r>
      <w:r>
        <w:rPr>
          <w:rFonts w:hint="eastAsia" w:ascii="Times New Roman" w:hAnsi="Times New Roman" w:eastAsia="仿宋_GB2312" w:cs="Times New Roman"/>
          <w:b w:val="0"/>
          <w:bCs/>
          <w:color w:val="auto"/>
          <w:sz w:val="32"/>
          <w:szCs w:val="32"/>
          <w:highlight w:val="none"/>
          <w:lang w:val="en-US" w:eastAsia="zh-CN"/>
        </w:rPr>
        <w:t>100%*指标满分值5分=5分。指标得分5分。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2.产出质量（指标分值</w:t>
      </w:r>
      <w:r>
        <w:rPr>
          <w:rFonts w:hint="eastAsia" w:cs="仿宋_GB2312"/>
          <w:b/>
          <w:bCs/>
          <w:color w:val="auto"/>
          <w:kern w:val="2"/>
          <w:sz w:val="32"/>
          <w:szCs w:val="32"/>
          <w:highlight w:val="none"/>
          <w:lang w:val="en-US" w:eastAsia="zh-CN" w:bidi="ar-SA"/>
        </w:rPr>
        <w:t>10</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10</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1</w:t>
      </w:r>
      <w:r>
        <w:rPr>
          <w:rFonts w:hint="eastAsia" w:ascii="仿宋_GB2312" w:hAnsi="仿宋_GB2312" w:eastAsia="仿宋_GB2312" w:cs="仿宋_GB2312"/>
          <w:b/>
          <w:bCs/>
          <w:color w:val="auto"/>
          <w:kern w:val="2"/>
          <w:sz w:val="32"/>
          <w:szCs w:val="32"/>
          <w:highlight w:val="none"/>
          <w:lang w:val="en-US" w:eastAsia="zh-CN" w:bidi="ar-SA"/>
        </w:rPr>
        <w:t>）装修工程验收合格率（指标分值</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b w:val="0"/>
          <w:bCs/>
          <w:color w:val="auto"/>
          <w:sz w:val="32"/>
          <w:szCs w:val="32"/>
          <w:highlight w:val="none"/>
          <w:lang w:val="en-US" w:eastAsia="zh-CN"/>
        </w:rPr>
      </w:pPr>
      <w:r>
        <w:rPr>
          <w:rFonts w:hint="eastAsia" w:cs="仿宋_GB2312"/>
          <w:color w:val="auto"/>
          <w:kern w:val="2"/>
          <w:sz w:val="32"/>
          <w:szCs w:val="32"/>
          <w:highlight w:val="none"/>
          <w:lang w:val="en-US" w:eastAsia="zh-CN" w:bidi="ar-SA"/>
        </w:rPr>
        <w:t>经查阅室内装修工程验收资料，</w:t>
      </w:r>
      <w:r>
        <w:rPr>
          <w:rFonts w:hint="eastAsia" w:ascii="仿宋_GB2312" w:hAnsi="仿宋_GB2312" w:eastAsia="仿宋_GB2312" w:cs="仿宋_GB2312"/>
          <w:color w:val="auto"/>
          <w:highlight w:val="none"/>
          <w:lang w:val="en-US" w:eastAsia="zh-CN"/>
        </w:rPr>
        <w:t>西宁市城中区福禄巷南社区老年日间照料中心</w:t>
      </w:r>
      <w:r>
        <w:rPr>
          <w:rFonts w:hint="eastAsia" w:cs="仿宋_GB2312"/>
          <w:color w:val="auto"/>
          <w:highlight w:val="none"/>
          <w:lang w:val="en-US" w:eastAsia="zh-CN"/>
        </w:rPr>
        <w:t>室内</w:t>
      </w:r>
      <w:r>
        <w:rPr>
          <w:rFonts w:hint="eastAsia" w:ascii="仿宋_GB2312" w:hAnsi="仿宋_GB2312" w:eastAsia="仿宋_GB2312" w:cs="仿宋_GB2312"/>
          <w:color w:val="auto"/>
          <w:highlight w:val="none"/>
          <w:lang w:val="en-US" w:eastAsia="zh-CN"/>
        </w:rPr>
        <w:t>装修</w:t>
      </w:r>
      <w:r>
        <w:rPr>
          <w:rFonts w:hint="eastAsia" w:cs="仿宋_GB2312"/>
          <w:color w:val="auto"/>
          <w:highlight w:val="none"/>
          <w:lang w:val="en-US" w:eastAsia="zh-CN"/>
        </w:rPr>
        <w:t>工程施工符合实施方案改造内容和合同技术规范要求，项目验收报告单中专家验收结论意见为同意通过验收，工程质量</w:t>
      </w:r>
      <w:r>
        <w:rPr>
          <w:rFonts w:hint="eastAsia" w:cs="仿宋_GB2312"/>
          <w:color w:val="auto"/>
          <w:kern w:val="2"/>
          <w:sz w:val="32"/>
          <w:szCs w:val="32"/>
          <w:highlight w:val="none"/>
          <w:lang w:val="en-US" w:eastAsia="zh-CN" w:bidi="ar-SA"/>
        </w:rPr>
        <w:t>验收合格率为</w:t>
      </w:r>
      <w:r>
        <w:rPr>
          <w:rFonts w:hint="eastAsia" w:ascii="Times New Roman" w:hAnsi="Times New Roman" w:eastAsia="仿宋_GB2312" w:cs="Times New Roman"/>
          <w:b w:val="0"/>
          <w:bCs/>
          <w:color w:val="auto"/>
          <w:sz w:val="32"/>
          <w:szCs w:val="32"/>
          <w:highlight w:val="none"/>
          <w:lang w:val="en-US" w:eastAsia="zh-CN"/>
        </w:rPr>
        <w:t>100%。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val="en-US" w:eastAsia="zh-CN"/>
        </w:rPr>
        <w:t>根据指标体系评分标准，室内装修工程质量达到规定标准。指标得分5分。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（2）采购设备质量合格率</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b w:val="0"/>
          <w:bCs/>
          <w:color w:val="auto"/>
          <w:sz w:val="32"/>
          <w:szCs w:val="32"/>
          <w:highlight w:val="none"/>
          <w:lang w:val="en-US" w:eastAsia="zh-CN"/>
        </w:rPr>
      </w:pPr>
      <w:r>
        <w:rPr>
          <w:rFonts w:hint="eastAsia" w:cs="仿宋_GB2312"/>
          <w:color w:val="auto"/>
          <w:kern w:val="2"/>
          <w:sz w:val="32"/>
          <w:szCs w:val="32"/>
          <w:highlight w:val="none"/>
          <w:lang w:val="en-US" w:eastAsia="zh-CN" w:bidi="ar-SA"/>
        </w:rPr>
        <w:t>经查阅设备采购验收资料，</w:t>
      </w:r>
      <w:r>
        <w:rPr>
          <w:rFonts w:hint="eastAsia" w:ascii="仿宋_GB2312" w:hAnsi="仿宋_GB2312" w:eastAsia="仿宋_GB2312" w:cs="仿宋_GB2312"/>
          <w:color w:val="auto"/>
          <w:highlight w:val="none"/>
          <w:lang w:val="en-US" w:eastAsia="zh-CN"/>
        </w:rPr>
        <w:t>西宁市城中区福禄巷南社区老年日间照料中心</w:t>
      </w:r>
      <w:r>
        <w:rPr>
          <w:rFonts w:hint="eastAsia" w:cs="仿宋_GB2312"/>
          <w:color w:val="auto"/>
          <w:highlight w:val="none"/>
          <w:lang w:val="en-US" w:eastAsia="zh-CN"/>
        </w:rPr>
        <w:t>电脑设备、办公家具、厨具及康复仪器等设备参数、数量、性能均符合合同要求，验收报告单中专家验收结论意见为同意通过验收，设备</w:t>
      </w:r>
      <w:r>
        <w:rPr>
          <w:rFonts w:hint="eastAsia" w:cs="仿宋_GB2312"/>
          <w:color w:val="auto"/>
          <w:kern w:val="2"/>
          <w:sz w:val="32"/>
          <w:szCs w:val="32"/>
          <w:highlight w:val="none"/>
          <w:lang w:val="en-US" w:eastAsia="zh-CN" w:bidi="ar-SA"/>
        </w:rPr>
        <w:t>验收合格率为</w:t>
      </w:r>
      <w:r>
        <w:rPr>
          <w:rFonts w:hint="eastAsia" w:ascii="Times New Roman" w:hAnsi="Times New Roman" w:eastAsia="仿宋_GB2312" w:cs="Times New Roman"/>
          <w:b w:val="0"/>
          <w:bCs/>
          <w:color w:val="auto"/>
          <w:sz w:val="32"/>
          <w:szCs w:val="32"/>
          <w:highlight w:val="none"/>
          <w:lang w:val="en-US" w:eastAsia="zh-CN"/>
        </w:rPr>
        <w:t>100%。</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val="en-US" w:eastAsia="zh-CN"/>
        </w:rPr>
        <w:t>根据指标体系评分标准，采购设备验收合格率为100%.指标得分5分。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3.产出时效（指标分值</w:t>
      </w:r>
      <w:r>
        <w:rPr>
          <w:rFonts w:hint="eastAsia" w:cs="仿宋_GB2312"/>
          <w:b/>
          <w:bCs/>
          <w:color w:val="auto"/>
          <w:kern w:val="2"/>
          <w:sz w:val="32"/>
          <w:szCs w:val="32"/>
          <w:highlight w:val="none"/>
          <w:lang w:val="en-US" w:eastAsia="zh-CN" w:bidi="ar-SA"/>
        </w:rPr>
        <w:t>8</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5.5</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default"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1</w:t>
      </w:r>
      <w:r>
        <w:rPr>
          <w:rFonts w:hint="eastAsia" w:ascii="仿宋_GB2312" w:hAnsi="仿宋_GB2312" w:eastAsia="仿宋_GB2312" w:cs="仿宋_GB2312"/>
          <w:b/>
          <w:bCs/>
          <w:color w:val="auto"/>
          <w:kern w:val="2"/>
          <w:sz w:val="32"/>
          <w:szCs w:val="32"/>
          <w:highlight w:val="none"/>
          <w:lang w:val="en-US" w:eastAsia="zh-CN" w:bidi="ar-SA"/>
        </w:rPr>
        <w:t>）装修工程完工及时性（指标分值</w:t>
      </w:r>
      <w:r>
        <w:rPr>
          <w:rFonts w:hint="eastAsia" w:cs="仿宋_GB2312"/>
          <w:b/>
          <w:bCs/>
          <w:color w:val="auto"/>
          <w:kern w:val="2"/>
          <w:sz w:val="32"/>
          <w:szCs w:val="32"/>
          <w:highlight w:val="none"/>
          <w:lang w:val="en-US" w:eastAsia="zh-CN" w:bidi="ar-SA"/>
        </w:rPr>
        <w:t>3</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1</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default"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经查阅项目招投标及合同资料，</w:t>
      </w:r>
      <w:r>
        <w:rPr>
          <w:rFonts w:hint="eastAsia" w:ascii="仿宋_GB2312" w:hAnsi="仿宋_GB2312" w:eastAsia="仿宋_GB2312" w:cs="仿宋_GB2312"/>
          <w:color w:val="auto"/>
          <w:highlight w:val="none"/>
          <w:lang w:val="en-US" w:eastAsia="zh-CN"/>
        </w:rPr>
        <w:t>西宁市城中区福禄巷南社区老年日间照料中心</w:t>
      </w:r>
      <w:r>
        <w:rPr>
          <w:rFonts w:hint="eastAsia" w:cs="仿宋_GB2312"/>
          <w:color w:val="auto"/>
          <w:highlight w:val="none"/>
          <w:lang w:val="en-US" w:eastAsia="zh-CN"/>
        </w:rPr>
        <w:t>室内</w:t>
      </w:r>
      <w:r>
        <w:rPr>
          <w:rFonts w:hint="eastAsia" w:ascii="仿宋_GB2312" w:hAnsi="仿宋_GB2312" w:eastAsia="仿宋_GB2312" w:cs="仿宋_GB2312"/>
          <w:color w:val="auto"/>
          <w:highlight w:val="none"/>
          <w:lang w:val="en-US" w:eastAsia="zh-CN"/>
        </w:rPr>
        <w:t>装修</w:t>
      </w:r>
      <w:r>
        <w:rPr>
          <w:rFonts w:hint="eastAsia" w:cs="仿宋_GB2312"/>
          <w:color w:val="auto"/>
          <w:highlight w:val="none"/>
          <w:lang w:val="en-US" w:eastAsia="zh-CN"/>
        </w:rPr>
        <w:t>工程招标工期</w:t>
      </w:r>
      <w:r>
        <w:rPr>
          <w:rFonts w:hint="eastAsia" w:ascii="Times New Roman" w:hAnsi="Times New Roman" w:eastAsia="仿宋_GB2312" w:cs="Times New Roman"/>
          <w:b w:val="0"/>
          <w:bCs/>
          <w:color w:val="auto"/>
          <w:sz w:val="32"/>
          <w:szCs w:val="32"/>
          <w:highlight w:val="none"/>
          <w:lang w:val="en-US" w:eastAsia="zh-CN"/>
        </w:rPr>
        <w:t>60天</w:t>
      </w:r>
      <w:r>
        <w:rPr>
          <w:rFonts w:hint="eastAsia" w:cs="仿宋_GB2312"/>
          <w:color w:val="auto"/>
          <w:highlight w:val="none"/>
          <w:lang w:val="en-US" w:eastAsia="zh-CN"/>
        </w:rPr>
        <w:t>，</w:t>
      </w:r>
      <w:r>
        <w:rPr>
          <w:rFonts w:hint="eastAsia" w:cs="仿宋_GB2312"/>
          <w:color w:val="auto"/>
          <w:kern w:val="2"/>
          <w:sz w:val="32"/>
          <w:szCs w:val="32"/>
          <w:highlight w:val="none"/>
          <w:lang w:val="en-US" w:eastAsia="zh-CN" w:bidi="ar-SA"/>
        </w:rPr>
        <w:t>项目计划于</w:t>
      </w:r>
      <w:r>
        <w:rPr>
          <w:rFonts w:hint="eastAsia" w:ascii="Times New Roman" w:hAnsi="Times New Roman" w:eastAsia="仿宋_GB2312" w:cs="Times New Roman"/>
          <w:b w:val="0"/>
          <w:bCs/>
          <w:color w:val="auto"/>
          <w:sz w:val="32"/>
          <w:szCs w:val="32"/>
          <w:highlight w:val="none"/>
          <w:lang w:val="en-US" w:eastAsia="zh-CN"/>
        </w:rPr>
        <w:t>2020年10月30日开工，2020年12月31日完工，但实际于2020年11月初进场施工，11月下旬因未供暖影响施工而停工，次年3月下旬重新开工，6月底</w:t>
      </w:r>
      <w:r>
        <w:rPr>
          <w:rFonts w:hint="eastAsia" w:cs="仿宋_GB2312"/>
          <w:color w:val="auto"/>
          <w:kern w:val="2"/>
          <w:sz w:val="32"/>
          <w:szCs w:val="32"/>
          <w:highlight w:val="none"/>
          <w:lang w:val="en-US" w:eastAsia="zh-CN" w:bidi="ar-SA"/>
        </w:rPr>
        <w:t>基本完工，工程施工进度较计划时间有延迟。</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根据指标体系评分标准，装修工程实际完工时间较计划及合同约定时限延期完成，一定程度上影响了项目整体实施进度，</w:t>
      </w:r>
      <w:r>
        <w:rPr>
          <w:rFonts w:hint="eastAsia" w:ascii="Times New Roman" w:hAnsi="Times New Roman" w:eastAsia="仿宋_GB2312" w:cs="Times New Roman"/>
          <w:b w:val="0"/>
          <w:bCs/>
          <w:color w:val="auto"/>
          <w:sz w:val="32"/>
          <w:szCs w:val="32"/>
          <w:highlight w:val="none"/>
          <w:lang w:val="en-US" w:eastAsia="zh-CN"/>
        </w:rPr>
        <w:t>扣2分，指标得分1分。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default" w:ascii="仿宋_GB2312" w:hAnsi="仿宋_GB2312" w:eastAsia="仿宋_GB2312"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（2）设备采购及时性</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3</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3</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default"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经查阅设备采购申请、设备采购合同、供应商购货清单、产品明细表等资料，</w:t>
      </w:r>
      <w:r>
        <w:rPr>
          <w:rFonts w:hint="eastAsia" w:ascii="仿宋_GB2312" w:hAnsi="仿宋_GB2312" w:eastAsia="仿宋_GB2312" w:cs="仿宋_GB2312"/>
          <w:color w:val="auto"/>
          <w:highlight w:val="none"/>
          <w:lang w:val="en-US" w:eastAsia="zh-CN"/>
        </w:rPr>
        <w:t>西宁市城中区福禄巷南社区老年日间照料中心</w:t>
      </w:r>
      <w:r>
        <w:rPr>
          <w:rFonts w:hint="eastAsia" w:cs="仿宋_GB2312"/>
          <w:color w:val="auto"/>
          <w:highlight w:val="none"/>
          <w:lang w:val="en-US" w:eastAsia="zh-CN"/>
        </w:rPr>
        <w:t>电脑设备、办公家具、厨具及康复仪器等设备采购及时，供应商设备交付及时，均在合同约定的交货时间内交付。</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default" w:ascii="Times New Roman" w:hAnsi="Times New Roman" w:eastAsia="仿宋_GB2312" w:cs="Times New Roman"/>
          <w:b w:val="0"/>
          <w:bCs/>
          <w:color w:val="auto"/>
          <w:sz w:val="32"/>
          <w:szCs w:val="32"/>
          <w:highlight w:val="none"/>
          <w:lang w:val="en-US" w:eastAsia="zh-CN"/>
        </w:rPr>
      </w:pPr>
      <w:r>
        <w:rPr>
          <w:rFonts w:hint="eastAsia" w:cs="仿宋_GB2312"/>
          <w:color w:val="auto"/>
          <w:kern w:val="2"/>
          <w:sz w:val="32"/>
          <w:szCs w:val="32"/>
          <w:highlight w:val="none"/>
          <w:lang w:val="en-US" w:eastAsia="zh-CN" w:bidi="ar-SA"/>
        </w:rPr>
        <w:t>根据指标体系评分标准，设备采购及时</w:t>
      </w:r>
      <w:r>
        <w:rPr>
          <w:rFonts w:hint="eastAsia" w:ascii="Times New Roman" w:hAnsi="Times New Roman" w:eastAsia="仿宋_GB2312" w:cs="Times New Roman"/>
          <w:b w:val="0"/>
          <w:bCs/>
          <w:color w:val="auto"/>
          <w:sz w:val="32"/>
          <w:szCs w:val="32"/>
          <w:highlight w:val="none"/>
          <w:lang w:val="en-US" w:eastAsia="zh-CN"/>
        </w:rPr>
        <w:t>，得1.5分；供应商设备交付及时，得1.5分。指标共计得分3分。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default"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3</w:t>
      </w:r>
      <w:r>
        <w:rPr>
          <w:rFonts w:hint="eastAsia" w:ascii="仿宋_GB2312" w:hAnsi="仿宋_GB2312" w:eastAsia="仿宋_GB2312" w:cs="仿宋_GB2312"/>
          <w:b/>
          <w:bCs/>
          <w:color w:val="auto"/>
          <w:kern w:val="2"/>
          <w:sz w:val="32"/>
          <w:szCs w:val="32"/>
          <w:highlight w:val="none"/>
          <w:lang w:val="en-US" w:eastAsia="zh-CN" w:bidi="ar-SA"/>
        </w:rPr>
        <w:t>）验收、竣工决算及时性（指标分值</w:t>
      </w: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1.5</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default" w:cs="仿宋_GB2312"/>
          <w:color w:val="auto"/>
          <w:kern w:val="2"/>
          <w:sz w:val="32"/>
          <w:szCs w:val="32"/>
          <w:highlight w:val="none"/>
          <w:lang w:val="en-US" w:eastAsia="zh-CN" w:bidi="ar-SA"/>
        </w:rPr>
      </w:pPr>
      <w:r>
        <w:rPr>
          <w:rFonts w:hint="eastAsia" w:ascii="仿宋_GB2312" w:hAnsi="仿宋_GB2312" w:eastAsia="仿宋_GB2312" w:cs="仿宋_GB2312"/>
          <w:b w:val="0"/>
          <w:bCs w:val="0"/>
          <w:color w:val="auto"/>
          <w:highlight w:val="none"/>
          <w:lang w:val="en-US" w:eastAsia="zh-CN"/>
        </w:rPr>
        <w:t>经现场调研及查阅项目资料，</w:t>
      </w:r>
      <w:r>
        <w:rPr>
          <w:rFonts w:hint="eastAsia" w:ascii="仿宋_GB2312" w:hAnsi="仿宋_GB2312" w:eastAsia="仿宋_GB2312" w:cs="仿宋_GB2312"/>
          <w:color w:val="auto"/>
          <w:highlight w:val="none"/>
          <w:lang w:val="en-US" w:eastAsia="zh-CN"/>
        </w:rPr>
        <w:t>西宁市</w:t>
      </w:r>
      <w:r>
        <w:rPr>
          <w:rFonts w:hint="eastAsia" w:ascii="仿宋_GB2312" w:hAnsi="仿宋_GB2312" w:eastAsia="仿宋_GB2312" w:cs="仿宋_GB2312"/>
          <w:b w:val="0"/>
          <w:bCs w:val="0"/>
          <w:color w:val="auto"/>
          <w:highlight w:val="none"/>
          <w:lang w:val="en-US" w:eastAsia="zh-CN"/>
        </w:rPr>
        <w:t>城中区福</w:t>
      </w:r>
      <w:r>
        <w:rPr>
          <w:rFonts w:hint="eastAsia" w:ascii="仿宋_GB2312" w:hAnsi="仿宋_GB2312" w:eastAsia="仿宋_GB2312" w:cs="仿宋_GB2312"/>
          <w:color w:val="auto"/>
          <w:highlight w:val="none"/>
          <w:lang w:val="en-US" w:eastAsia="zh-CN"/>
        </w:rPr>
        <w:t>禄巷南社区老年日间照料中心</w:t>
      </w:r>
      <w:r>
        <w:rPr>
          <w:rFonts w:hint="eastAsia" w:cs="仿宋_GB2312"/>
          <w:color w:val="auto"/>
          <w:highlight w:val="none"/>
          <w:lang w:val="en-US" w:eastAsia="zh-CN"/>
        </w:rPr>
        <w:t>装修及设备购置项目室内装修工程于</w:t>
      </w:r>
      <w:r>
        <w:rPr>
          <w:rFonts w:hint="eastAsia" w:ascii="Times New Roman" w:hAnsi="Times New Roman" w:eastAsia="仿宋_GB2312" w:cs="Times New Roman"/>
          <w:b w:val="0"/>
          <w:bCs/>
          <w:color w:val="auto"/>
          <w:sz w:val="32"/>
          <w:szCs w:val="32"/>
          <w:highlight w:val="none"/>
          <w:lang w:val="en-US" w:eastAsia="zh-CN"/>
        </w:rPr>
        <w:t>6月底完工，预验收时间为2021年7月8日，验收及时；电脑设备、办公家具采购合同签订时间为2021年5月18日，合同签订后20个工作日交付使用，即2021年6月7日交付，预验收时间为2021年7月8日，验收时间有延迟；厨具及康复仪器采购合同签订时间为2021年7月5日，合同签订后2个工作日交付使用，即2021年7月7日交付，预验收</w:t>
      </w:r>
      <w:r>
        <w:rPr>
          <w:rFonts w:hint="eastAsia" w:cs="仿宋_GB2312"/>
          <w:color w:val="auto"/>
          <w:highlight w:val="none"/>
          <w:lang w:val="en-US" w:eastAsia="zh-CN"/>
        </w:rPr>
        <w:t>时间</w:t>
      </w:r>
      <w:r>
        <w:rPr>
          <w:rFonts w:hint="eastAsia" w:ascii="Times New Roman" w:hAnsi="Times New Roman" w:eastAsia="仿宋_GB2312" w:cs="Times New Roman"/>
          <w:b w:val="0"/>
          <w:bCs/>
          <w:color w:val="auto"/>
          <w:sz w:val="32"/>
          <w:szCs w:val="32"/>
          <w:highlight w:val="none"/>
          <w:lang w:val="en-US" w:eastAsia="zh-CN"/>
        </w:rPr>
        <w:t>为2021年7月15日，验收及时；项目整体竣工验收时间为2021年7月19日，</w:t>
      </w:r>
      <w:r>
        <w:rPr>
          <w:rFonts w:hint="eastAsia" w:cs="仿宋_GB2312"/>
          <w:color w:val="auto"/>
          <w:highlight w:val="none"/>
          <w:lang w:val="en-US" w:eastAsia="zh-CN"/>
        </w:rPr>
        <w:t>验收及时。</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根据指标体系评分标准，项目整体按照相关要求、规定及时进行工程完工及设备采购验收，但个别供货验收时间有延迟</w:t>
      </w:r>
      <w:r>
        <w:rPr>
          <w:rFonts w:hint="eastAsia" w:ascii="Times New Roman" w:hAnsi="Times New Roman" w:eastAsia="仿宋_GB2312" w:cs="Times New Roman"/>
          <w:b w:val="0"/>
          <w:bCs/>
          <w:color w:val="auto"/>
          <w:sz w:val="32"/>
          <w:szCs w:val="32"/>
          <w:highlight w:val="none"/>
          <w:lang w:val="en-US" w:eastAsia="zh-CN"/>
        </w:rPr>
        <w:t>，扣0.5分，指标得分1.5分。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b/>
          <w:bCs/>
          <w:color w:val="auto"/>
          <w:kern w:val="2"/>
          <w:sz w:val="32"/>
          <w:szCs w:val="32"/>
          <w:highlight w:val="none"/>
          <w:lang w:val="en-US" w:eastAsia="zh-CN" w:bidi="ar-SA"/>
        </w:rPr>
      </w:pPr>
      <w:bookmarkStart w:id="532" w:name="_Toc13518"/>
      <w:r>
        <w:rPr>
          <w:rFonts w:hint="eastAsia" w:ascii="仿宋_GB2312" w:hAnsi="仿宋_GB2312" w:eastAsia="仿宋_GB2312" w:cs="仿宋_GB2312"/>
          <w:b/>
          <w:bCs/>
          <w:color w:val="auto"/>
          <w:kern w:val="2"/>
          <w:sz w:val="32"/>
          <w:szCs w:val="32"/>
          <w:highlight w:val="none"/>
          <w:lang w:val="en-US" w:eastAsia="zh-CN" w:bidi="ar-SA"/>
        </w:rPr>
        <w:t>4.产出成本（指标分值</w:t>
      </w:r>
      <w:r>
        <w:rPr>
          <w:rFonts w:hint="eastAsia" w:cs="仿宋_GB2312"/>
          <w:b/>
          <w:bCs/>
          <w:color w:val="auto"/>
          <w:kern w:val="2"/>
          <w:sz w:val="32"/>
          <w:szCs w:val="32"/>
          <w:highlight w:val="none"/>
          <w:lang w:val="en-US" w:eastAsia="zh-CN" w:bidi="ar-SA"/>
        </w:rPr>
        <w:t>6</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6</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w:t>
      </w:r>
      <w:r>
        <w:rPr>
          <w:rFonts w:hint="eastAsia" w:cs="仿宋_GB2312"/>
          <w:b/>
          <w:bCs/>
          <w:color w:val="auto"/>
          <w:kern w:val="2"/>
          <w:sz w:val="32"/>
          <w:szCs w:val="32"/>
          <w:highlight w:val="none"/>
          <w:lang w:val="en-US" w:eastAsia="zh-CN" w:bidi="ar-SA"/>
        </w:rPr>
        <w:t>成本节约率</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6</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6</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ascii="仿宋_GB2312" w:hAnsi="仿宋_GB2312" w:eastAsia="仿宋_GB2312" w:cs="仿宋_GB2312"/>
          <w:color w:val="auto"/>
          <w:highlight w:val="none"/>
          <w:lang w:val="en-US" w:eastAsia="zh-CN"/>
        </w:rPr>
        <w:t>西宁市城中区福禄巷南社区老年日间照料中心装修及设备购置</w:t>
      </w:r>
      <w:r>
        <w:rPr>
          <w:rFonts w:hint="eastAsia" w:cs="仿宋_GB2312"/>
          <w:color w:val="auto"/>
          <w:highlight w:val="none"/>
          <w:lang w:val="en-US" w:eastAsia="zh-CN"/>
        </w:rPr>
        <w:t>项目预算</w:t>
      </w:r>
      <w:r>
        <w:rPr>
          <w:rFonts w:hint="eastAsia" w:ascii="Times New Roman" w:hAnsi="Times New Roman" w:eastAsia="仿宋_GB2312" w:cs="Times New Roman"/>
          <w:b w:val="0"/>
          <w:bCs/>
          <w:color w:val="auto"/>
          <w:sz w:val="32"/>
          <w:szCs w:val="32"/>
          <w:highlight w:val="none"/>
          <w:lang w:val="en-US" w:eastAsia="zh-CN"/>
        </w:rPr>
        <w:t>400万元，项目实施单位如期、保质、保量完成既定工作目标实际所耗费的支出约为309万元，成本节约率=（400-309）/400×100%=22.75%。</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val="en-US" w:eastAsia="zh-CN"/>
        </w:rPr>
        <w:t>根据指标体系评分标准，项目成本节约率为22.75%，成本节约率＞5%，指标得分为6分。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 w:hAnsi="楷体" w:eastAsia="楷体" w:cs="仿宋_GB2312"/>
          <w:b/>
          <w:bCs/>
          <w:color w:val="auto"/>
          <w:kern w:val="2"/>
          <w:sz w:val="32"/>
          <w:szCs w:val="32"/>
          <w:highlight w:val="none"/>
          <w:lang w:val="en-US" w:eastAsia="zh-CN" w:bidi="ar-SA"/>
        </w:rPr>
      </w:pPr>
      <w:bookmarkStart w:id="533" w:name="_Toc13784"/>
      <w:bookmarkStart w:id="534" w:name="_Toc6787"/>
      <w:bookmarkStart w:id="535" w:name="_Toc2922"/>
      <w:r>
        <w:rPr>
          <w:rFonts w:hint="eastAsia" w:ascii="楷体_GB2312" w:hAnsi="楷体_GB2312" w:eastAsia="楷体_GB2312" w:cs="楷体_GB2312"/>
          <w:b/>
          <w:color w:val="auto"/>
          <w:kern w:val="2"/>
          <w:sz w:val="32"/>
          <w:szCs w:val="24"/>
          <w:highlight w:val="none"/>
          <w:lang w:val="en-US" w:eastAsia="zh-CN" w:bidi="ar-SA"/>
        </w:rPr>
        <w:fldChar w:fldCharType="begin"/>
      </w:r>
      <w:r>
        <w:rPr>
          <w:rFonts w:hint="eastAsia" w:ascii="楷体_GB2312" w:hAnsi="楷体_GB2312" w:eastAsia="楷体_GB2312" w:cs="楷体_GB2312"/>
          <w:b/>
          <w:color w:val="auto"/>
          <w:kern w:val="2"/>
          <w:sz w:val="32"/>
          <w:szCs w:val="24"/>
          <w:highlight w:val="none"/>
          <w:lang w:val="en-US" w:eastAsia="zh-CN" w:bidi="ar-SA"/>
        </w:rPr>
        <w:instrText xml:space="preserve"> HYPERLINK \l "_Toc31209" </w:instrText>
      </w:r>
      <w:r>
        <w:rPr>
          <w:rFonts w:hint="eastAsia" w:ascii="楷体_GB2312" w:hAnsi="楷体_GB2312" w:eastAsia="楷体_GB2312" w:cs="楷体_GB2312"/>
          <w:b/>
          <w:color w:val="auto"/>
          <w:kern w:val="2"/>
          <w:sz w:val="32"/>
          <w:szCs w:val="24"/>
          <w:highlight w:val="none"/>
          <w:lang w:val="en-US" w:eastAsia="zh-CN" w:bidi="ar-SA"/>
        </w:rPr>
        <w:fldChar w:fldCharType="separate"/>
      </w:r>
      <w:r>
        <w:rPr>
          <w:rFonts w:hint="eastAsia" w:ascii="楷体_GB2312" w:hAnsi="楷体_GB2312" w:eastAsia="楷体_GB2312" w:cs="楷体_GB2312"/>
          <w:b/>
          <w:color w:val="auto"/>
          <w:kern w:val="2"/>
          <w:sz w:val="32"/>
          <w:szCs w:val="24"/>
          <w:highlight w:val="none"/>
          <w:lang w:val="en-US" w:eastAsia="zh-CN" w:bidi="ar-SA"/>
        </w:rPr>
        <w:t>（四）项目效益</w:t>
      </w:r>
      <w:r>
        <w:rPr>
          <w:rFonts w:hint="eastAsia" w:ascii="楷体_GB2312" w:hAnsi="楷体_GB2312" w:eastAsia="楷体_GB2312" w:cs="楷体_GB2312"/>
          <w:b/>
          <w:color w:val="auto"/>
          <w:kern w:val="2"/>
          <w:sz w:val="32"/>
          <w:szCs w:val="24"/>
          <w:highlight w:val="none"/>
          <w:lang w:val="en-US" w:eastAsia="zh-CN" w:bidi="ar-SA"/>
        </w:rPr>
        <w:fldChar w:fldCharType="end"/>
      </w:r>
      <w:r>
        <w:rPr>
          <w:rFonts w:hint="eastAsia" w:ascii="楷体_GB2312" w:hAnsi="楷体_GB2312" w:eastAsia="楷体_GB2312" w:cs="楷体_GB2312"/>
          <w:b/>
          <w:color w:val="auto"/>
          <w:kern w:val="2"/>
          <w:sz w:val="32"/>
          <w:szCs w:val="24"/>
          <w:highlight w:val="none"/>
          <w:lang w:val="en-US" w:eastAsia="zh-CN" w:bidi="ar-SA"/>
        </w:rPr>
        <w:t>情况</w:t>
      </w:r>
      <w:bookmarkEnd w:id="532"/>
      <w:bookmarkEnd w:id="533"/>
      <w:bookmarkEnd w:id="534"/>
      <w:bookmarkEnd w:id="535"/>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西宁市城中区福禄巷南社区老年日间照料中心装修及设备购置</w:t>
      </w:r>
      <w:r>
        <w:rPr>
          <w:rFonts w:hint="eastAsia" w:cs="仿宋_GB2312"/>
          <w:color w:val="auto"/>
          <w:highlight w:val="none"/>
          <w:lang w:val="en-US" w:eastAsia="zh-CN"/>
        </w:rPr>
        <w:t>项目</w:t>
      </w:r>
      <w:r>
        <w:rPr>
          <w:rFonts w:hint="eastAsia" w:ascii="仿宋_GB2312" w:hAnsi="仿宋_GB2312" w:eastAsia="仿宋_GB2312" w:cs="仿宋_GB2312"/>
          <w:color w:val="auto"/>
          <w:highlight w:val="none"/>
          <w:lang w:val="en-US" w:eastAsia="zh-CN"/>
        </w:rPr>
        <w:t>绩效评价</w:t>
      </w:r>
      <w:r>
        <w:rPr>
          <w:rFonts w:hint="eastAsia" w:cs="仿宋_GB2312"/>
          <w:color w:val="auto"/>
          <w:highlight w:val="none"/>
          <w:lang w:val="en-US" w:eastAsia="zh-CN"/>
        </w:rPr>
        <w:t>效益</w:t>
      </w:r>
      <w:r>
        <w:rPr>
          <w:rFonts w:hint="eastAsia" w:ascii="仿宋_GB2312" w:hAnsi="仿宋_GB2312" w:eastAsia="仿宋_GB2312" w:cs="仿宋_GB2312"/>
          <w:color w:val="auto"/>
          <w:highlight w:val="none"/>
          <w:lang w:val="en-US" w:eastAsia="zh-CN"/>
        </w:rPr>
        <w:t>类指标分别</w:t>
      </w:r>
      <w:r>
        <w:rPr>
          <w:rFonts w:hint="eastAsia" w:cs="仿宋_GB2312"/>
          <w:color w:val="auto"/>
          <w:highlight w:val="none"/>
          <w:lang w:val="en-US" w:eastAsia="zh-CN"/>
        </w:rPr>
        <w:t>从</w:t>
      </w:r>
      <w:r>
        <w:rPr>
          <w:rFonts w:hint="eastAsia" w:cs="Times New Roman"/>
          <w:color w:val="auto"/>
          <w:highlight w:val="none"/>
        </w:rPr>
        <w:t>社会效益、可持续影响、满意度</w:t>
      </w:r>
      <w:r>
        <w:rPr>
          <w:rFonts w:hint="eastAsia" w:cs="Times New Roman"/>
          <w:color w:val="auto"/>
          <w:highlight w:val="none"/>
          <w:lang w:val="en-US" w:eastAsia="zh-CN"/>
        </w:rPr>
        <w:t>三</w:t>
      </w:r>
      <w:r>
        <w:rPr>
          <w:rFonts w:hint="eastAsia" w:cs="Times New Roman"/>
          <w:color w:val="auto"/>
          <w:highlight w:val="none"/>
        </w:rPr>
        <w:t>个方面进行评价分析</w:t>
      </w:r>
      <w:r>
        <w:rPr>
          <w:rFonts w:hint="eastAsia" w:cs="仿宋_GB2312"/>
          <w:color w:val="auto"/>
          <w:highlight w:val="none"/>
          <w:lang w:val="en-US" w:eastAsia="zh-CN"/>
        </w:rPr>
        <w:t>。各项</w:t>
      </w:r>
      <w:r>
        <w:rPr>
          <w:rFonts w:hint="eastAsia" w:ascii="仿宋_GB2312" w:hAnsi="仿宋_GB2312" w:eastAsia="仿宋_GB2312" w:cs="仿宋_GB2312"/>
          <w:color w:val="auto"/>
          <w:highlight w:val="none"/>
          <w:lang w:val="en-US" w:eastAsia="zh-CN"/>
        </w:rPr>
        <w:t>指标具体得分情况如下表所示：</w:t>
      </w:r>
    </w:p>
    <w:tbl>
      <w:tblPr>
        <w:tblStyle w:val="13"/>
        <w:tblW w:w="46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1"/>
        <w:gridCol w:w="2044"/>
        <w:gridCol w:w="3290"/>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04" w:type="dxa"/>
            <w:gridSpan w:val="4"/>
            <w:tcBorders>
              <w:top w:val="nil"/>
              <w:left w:val="nil"/>
              <w:bottom w:val="double" w:color="000000" w:sz="4" w:space="0"/>
              <w:righ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 xml:space="preserve">11 </w:t>
            </w:r>
            <w:r>
              <w:rPr>
                <w:rFonts w:hint="eastAsia" w:ascii="宋体" w:hAnsi="宋体" w:eastAsia="宋体" w:cs="宋体"/>
                <w:b/>
                <w:bCs/>
                <w:color w:val="auto"/>
                <w:sz w:val="28"/>
                <w:szCs w:val="28"/>
                <w:highlight w:val="none"/>
              </w:rPr>
              <w:t xml:space="preserve"> </w:t>
            </w:r>
            <w:r>
              <w:rPr>
                <w:rFonts w:hint="eastAsia" w:ascii="宋体" w:hAnsi="宋体" w:eastAsia="宋体" w:cs="宋体"/>
                <w:b/>
                <w:bCs/>
                <w:color w:val="auto"/>
                <w:sz w:val="28"/>
                <w:szCs w:val="28"/>
                <w:highlight w:val="none"/>
                <w:lang w:val="en-US" w:eastAsia="zh-CN"/>
              </w:rPr>
              <w:t>效益</w:t>
            </w:r>
            <w:r>
              <w:rPr>
                <w:rFonts w:hint="eastAsia" w:ascii="宋体" w:hAnsi="宋体" w:eastAsia="宋体" w:cs="宋体"/>
                <w:b/>
                <w:bCs/>
                <w:color w:val="auto"/>
                <w:sz w:val="28"/>
                <w:szCs w:val="28"/>
                <w:highlight w:val="none"/>
              </w:rPr>
              <w:t>类各项指标绩效评价</w:t>
            </w:r>
            <w:r>
              <w:rPr>
                <w:rFonts w:hint="eastAsia" w:ascii="宋体" w:hAnsi="宋体" w:eastAsia="宋体" w:cs="宋体"/>
                <w:b/>
                <w:color w:val="auto"/>
                <w:sz w:val="28"/>
                <w:szCs w:val="28"/>
                <w:highlight w:val="none"/>
              </w:rPr>
              <w:t>得分表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803" w:type="dxa"/>
            <w:tcBorders>
              <w:top w:val="double" w:color="000000" w:sz="4" w:space="0"/>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1909" w:type="dxa"/>
            <w:tcBorders>
              <w:top w:val="double" w:color="000000" w:sz="4" w:space="0"/>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3073" w:type="dxa"/>
            <w:tcBorders>
              <w:top w:val="double" w:color="000000" w:sz="4" w:space="0"/>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1019" w:type="dxa"/>
            <w:tcBorders>
              <w:top w:val="double" w:color="000000" w:sz="4" w:space="0"/>
              <w:righ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03" w:type="dxa"/>
            <w:vMerge w:val="restart"/>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eastAsia="zh-CN"/>
              </w:rPr>
            </w:pPr>
            <w:r>
              <w:rPr>
                <w:rFonts w:hint="eastAsia" w:ascii="宋体" w:hAnsi="宋体" w:eastAsia="宋体" w:cs="宋体"/>
                <w:b/>
                <w:color w:val="auto"/>
                <w:sz w:val="24"/>
                <w:szCs w:val="22"/>
                <w:highlight w:val="none"/>
                <w:u w:val="single"/>
                <w:lang w:val="en-US" w:eastAsia="zh-CN"/>
              </w:rPr>
              <w:t>效益</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96.25</w:t>
            </w:r>
            <w:r>
              <w:rPr>
                <w:rFonts w:hint="eastAsia" w:ascii="宋体" w:hAnsi="宋体" w:eastAsia="宋体" w:cs="宋体"/>
                <w:bCs/>
                <w:color w:val="auto"/>
                <w:sz w:val="24"/>
                <w:szCs w:val="22"/>
                <w:highlight w:val="none"/>
              </w:rPr>
              <w:t>%</w:t>
            </w:r>
          </w:p>
        </w:tc>
        <w:tc>
          <w:tcPr>
            <w:tcW w:w="1909" w:type="dxa"/>
            <w:vMerge w:val="restar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社会效益</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3073"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default" w:ascii="宋体" w:hAnsi="宋体" w:eastAsia="宋体" w:cs="宋体"/>
                <w:color w:val="auto"/>
                <w:kern w:val="0"/>
                <w:sz w:val="24"/>
                <w:szCs w:val="24"/>
                <w:highlight w:val="none"/>
                <w:lang w:val="en-US" w:eastAsia="zh-CN" w:bidi="ar-SA"/>
              </w:rPr>
              <w:t>加快社区养老服务基础设施建设</w:t>
            </w:r>
          </w:p>
        </w:tc>
        <w:tc>
          <w:tcPr>
            <w:tcW w:w="1019" w:type="dxa"/>
            <w:tcBorders>
              <w:right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bCs/>
                <w:i w:val="0"/>
                <w:iCs w:val="0"/>
                <w:color w:val="auto"/>
                <w:sz w:val="24"/>
                <w:szCs w:val="22"/>
                <w:highlight w:val="none"/>
                <w:lang w:val="en-US" w:eastAsia="zh-CN"/>
              </w:rPr>
              <w:t>100</w:t>
            </w:r>
            <w:r>
              <w:rPr>
                <w:rFonts w:hint="eastAsia" w:ascii="宋体" w:hAnsi="宋体" w:eastAsia="宋体" w:cs="宋体"/>
                <w:bCs/>
                <w:i w:val="0"/>
                <w:iCs w:val="0"/>
                <w:color w:val="auto"/>
                <w:sz w:val="24"/>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03"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9" w:type="dxa"/>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3073"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改善社区养老服务条件与环境</w:t>
            </w:r>
          </w:p>
        </w:tc>
        <w:tc>
          <w:tcPr>
            <w:tcW w:w="1019" w:type="dxa"/>
            <w:tcBorders>
              <w:right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b w:val="0"/>
                <w:bCs w:val="0"/>
                <w:i w:val="0"/>
                <w:iCs w:val="0"/>
                <w:color w:val="auto"/>
                <w:kern w:val="0"/>
                <w:sz w:val="24"/>
                <w:szCs w:val="24"/>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03"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09" w:type="dxa"/>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3073"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提高社区养老服务能力</w:t>
            </w:r>
          </w:p>
        </w:tc>
        <w:tc>
          <w:tcPr>
            <w:tcW w:w="1019" w:type="dxa"/>
            <w:tcBorders>
              <w:right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b w:val="0"/>
                <w:bCs w:val="0"/>
                <w:i w:val="0"/>
                <w:iCs w:val="0"/>
                <w:color w:val="auto"/>
                <w:kern w:val="0"/>
                <w:sz w:val="24"/>
                <w:szCs w:val="24"/>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03"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9" w:type="dxa"/>
            <w:vMerge w:val="restar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可持续影响</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85</w:t>
            </w:r>
            <w:r>
              <w:rPr>
                <w:rFonts w:hint="eastAsia" w:ascii="宋体" w:hAnsi="宋体" w:eastAsia="宋体" w:cs="宋体"/>
                <w:bCs/>
                <w:color w:val="auto"/>
                <w:sz w:val="24"/>
                <w:szCs w:val="22"/>
                <w:highlight w:val="none"/>
              </w:rPr>
              <w:t>%</w:t>
            </w:r>
          </w:p>
        </w:tc>
        <w:tc>
          <w:tcPr>
            <w:tcW w:w="3073"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完善养老服务体系</w:t>
            </w:r>
          </w:p>
        </w:tc>
        <w:tc>
          <w:tcPr>
            <w:tcW w:w="1019"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03"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9" w:type="dxa"/>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3073"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推动养老事业发展</w:t>
            </w:r>
          </w:p>
        </w:tc>
        <w:tc>
          <w:tcPr>
            <w:tcW w:w="1019"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03"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9" w:type="dxa"/>
            <w:vMerge w:val="restart"/>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满意度</w:t>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Cs/>
                <w:color w:val="auto"/>
                <w:sz w:val="24"/>
                <w:szCs w:val="22"/>
                <w:highlight w:val="none"/>
                <w:lang w:val="en-US" w:eastAsia="zh-CN"/>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3073"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社区群众满意度</w:t>
            </w:r>
          </w:p>
        </w:tc>
        <w:tc>
          <w:tcPr>
            <w:tcW w:w="1019"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03" w:type="dxa"/>
            <w:vMerge w:val="continue"/>
            <w:tcBorders>
              <w:left w:val="nil"/>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9" w:type="dxa"/>
            <w:vMerge w:val="continue"/>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default" w:ascii="宋体" w:hAnsi="宋体" w:eastAsia="宋体" w:cs="宋体"/>
                <w:bCs/>
                <w:color w:val="auto"/>
                <w:sz w:val="24"/>
                <w:szCs w:val="22"/>
                <w:highlight w:val="none"/>
                <w:lang w:val="en-US" w:eastAsia="zh-CN"/>
              </w:rPr>
            </w:pPr>
          </w:p>
        </w:tc>
        <w:tc>
          <w:tcPr>
            <w:tcW w:w="3073"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工作人员满意度</w:t>
            </w:r>
          </w:p>
        </w:tc>
        <w:tc>
          <w:tcPr>
            <w:tcW w:w="1019" w:type="dxa"/>
            <w:tcBorders>
              <w:right w:val="nil"/>
            </w:tcBorders>
            <w:noWrap w:val="0"/>
            <w:vAlign w:val="center"/>
          </w:tcPr>
          <w:p>
            <w:pPr>
              <w:keepNext w:val="0"/>
              <w:keepLines w:val="0"/>
              <w:pageBreakBefore w:val="0"/>
              <w:widowControl w:val="0"/>
              <w:shd w:val="clear" w:color="auto" w:fill="auto"/>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auto"/>
                <w:sz w:val="24"/>
                <w:szCs w:val="22"/>
                <w:highlight w:val="none"/>
                <w:lang w:val="en-US" w:eastAsia="zh-CN"/>
              </w:rPr>
            </w:pPr>
            <w:r>
              <w:rPr>
                <w:rFonts w:hint="eastAsia" w:ascii="宋体" w:hAnsi="宋体" w:eastAsia="宋体" w:cs="宋体"/>
                <w:i w:val="0"/>
                <w:iCs w:val="0"/>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785" w:type="dxa"/>
            <w:gridSpan w:val="3"/>
            <w:tcBorders>
              <w:left w:val="nil"/>
              <w:bottom w:val="double" w:color="auto" w:sz="4" w:space="0"/>
            </w:tcBorders>
            <w:noWrap w:val="0"/>
            <w:vAlign w:val="center"/>
          </w:tcPr>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val="en-US" w:eastAsia="zh-CN"/>
              </w:rPr>
              <w:t>效益</w:t>
            </w:r>
            <w:r>
              <w:rPr>
                <w:rFonts w:hint="eastAsia" w:ascii="宋体" w:hAnsi="宋体" w:eastAsia="宋体" w:cs="宋体"/>
                <w:b/>
                <w:color w:val="auto"/>
                <w:sz w:val="24"/>
                <w:szCs w:val="22"/>
                <w:highlight w:val="none"/>
              </w:rPr>
              <w:t>”情况评级</w:t>
            </w:r>
          </w:p>
        </w:tc>
        <w:tc>
          <w:tcPr>
            <w:tcW w:w="1019" w:type="dxa"/>
            <w:tcBorders>
              <w:bottom w:val="double" w:color="auto" w:sz="4" w:space="0"/>
              <w:right w:val="nil"/>
            </w:tcBorders>
            <w:noWrap w:val="0"/>
            <w:vAlign w:val="center"/>
          </w:tcPr>
          <w:p>
            <w:pPr>
              <w:keepNext w:val="0"/>
              <w:keepLines w:val="0"/>
              <w:pageBreakBefore w:val="0"/>
              <w:widowControl w:val="0"/>
              <w:shd w:val="clear" w:color="auto" w:fill="auto"/>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优</w:t>
            </w:r>
          </w:p>
        </w:tc>
      </w:tr>
    </w:tbl>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1</w:t>
      </w:r>
      <w:r>
        <w:rPr>
          <w:rFonts w:hint="eastAsia" w:ascii="仿宋_GB2312" w:hAnsi="仿宋_GB2312" w:eastAsia="仿宋_GB2312" w:cs="仿宋_GB2312"/>
          <w:b/>
          <w:bCs/>
          <w:color w:val="auto"/>
          <w:kern w:val="2"/>
          <w:sz w:val="32"/>
          <w:szCs w:val="32"/>
          <w:highlight w:val="none"/>
          <w:lang w:val="en-US" w:eastAsia="zh-CN" w:bidi="ar-SA"/>
        </w:rPr>
        <w:t>.社会效益（指标分值</w:t>
      </w:r>
      <w:r>
        <w:rPr>
          <w:rFonts w:hint="eastAsia" w:cs="仿宋_GB2312"/>
          <w:b/>
          <w:bCs/>
          <w:color w:val="auto"/>
          <w:kern w:val="2"/>
          <w:sz w:val="32"/>
          <w:szCs w:val="32"/>
          <w:highlight w:val="none"/>
          <w:lang w:val="en-US" w:eastAsia="zh-CN" w:bidi="ar-SA"/>
        </w:rPr>
        <w:t>14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14</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（1）加快社区养老服务基础设施建设（指标分值</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eastAsia="仿宋_GB2312" w:cs="Times New Roman"/>
          <w:color w:val="auto"/>
          <w:highlight w:val="none"/>
          <w:lang w:val="en-US" w:eastAsia="zh-CN"/>
        </w:rPr>
      </w:pPr>
      <w:r>
        <w:rPr>
          <w:rFonts w:hint="eastAsia" w:cs="Times New Roman"/>
          <w:color w:val="auto"/>
          <w:highlight w:val="none"/>
          <w:lang w:val="en-US" w:eastAsia="zh-CN"/>
        </w:rPr>
        <w:t>经现场调研，</w:t>
      </w:r>
      <w:r>
        <w:rPr>
          <w:rFonts w:hint="eastAsia" w:cs="Times New Roman"/>
          <w:color w:val="auto"/>
          <w:highlight w:val="none"/>
          <w:lang w:eastAsia="zh-CN"/>
        </w:rPr>
        <w:t>城中区民政局</w:t>
      </w:r>
      <w:r>
        <w:rPr>
          <w:rFonts w:hint="eastAsia" w:cs="Times New Roman"/>
          <w:color w:val="auto"/>
          <w:highlight w:val="none"/>
          <w:lang w:val="en-US" w:eastAsia="zh-CN"/>
        </w:rPr>
        <w:t>注重养老服务设施薄弱社区的改造力度，</w:t>
      </w:r>
      <w:r>
        <w:rPr>
          <w:rFonts w:hint="eastAsia" w:cs="Times New Roman"/>
          <w:color w:val="auto"/>
          <w:highlight w:val="none"/>
          <w:lang w:eastAsia="zh-CN"/>
        </w:rPr>
        <w:t>积极争取</w:t>
      </w:r>
      <w:r>
        <w:rPr>
          <w:rFonts w:hint="eastAsia" w:cs="Times New Roman"/>
          <w:color w:val="auto"/>
          <w:highlight w:val="none"/>
        </w:rPr>
        <w:t>财政投入、福彩公益金资助</w:t>
      </w:r>
      <w:r>
        <w:rPr>
          <w:rFonts w:hint="eastAsia" w:cs="Times New Roman"/>
          <w:color w:val="auto"/>
          <w:highlight w:val="none"/>
          <w:lang w:eastAsia="zh-CN"/>
        </w:rPr>
        <w:t>等</w:t>
      </w:r>
      <w:r>
        <w:rPr>
          <w:rFonts w:hint="eastAsia" w:cs="Times New Roman"/>
          <w:color w:val="auto"/>
          <w:highlight w:val="none"/>
        </w:rPr>
        <w:t>社区养老服务设施建设资金，购置养老服务</w:t>
      </w:r>
      <w:r>
        <w:rPr>
          <w:rFonts w:hint="eastAsia" w:cs="Times New Roman"/>
          <w:color w:val="auto"/>
          <w:highlight w:val="none"/>
          <w:lang w:eastAsia="zh-CN"/>
        </w:rPr>
        <w:t>业务</w:t>
      </w:r>
      <w:r>
        <w:rPr>
          <w:rFonts w:hint="eastAsia" w:cs="Times New Roman"/>
          <w:color w:val="auto"/>
          <w:highlight w:val="none"/>
        </w:rPr>
        <w:t>用房</w:t>
      </w:r>
      <w:r>
        <w:rPr>
          <w:rFonts w:hint="eastAsia" w:cs="Times New Roman"/>
          <w:color w:val="auto"/>
          <w:highlight w:val="none"/>
          <w:lang w:eastAsia="zh-CN"/>
        </w:rPr>
        <w:t>，</w:t>
      </w:r>
      <w:r>
        <w:rPr>
          <w:rFonts w:hint="eastAsia" w:cs="Times New Roman"/>
          <w:color w:val="auto"/>
          <w:highlight w:val="none"/>
        </w:rPr>
        <w:t>落实社区养老服务场地</w:t>
      </w:r>
      <w:r>
        <w:rPr>
          <w:rFonts w:hint="eastAsia" w:cs="Times New Roman"/>
          <w:color w:val="auto"/>
          <w:highlight w:val="none"/>
          <w:lang w:eastAsia="zh-CN"/>
        </w:rPr>
        <w:t>，改造装修老年日间照料中心，采购配备电脑设备、办公家具、厨具及康复仪器等设备，</w:t>
      </w:r>
      <w:r>
        <w:rPr>
          <w:rFonts w:hint="eastAsia" w:cs="Times New Roman"/>
          <w:color w:val="auto"/>
          <w:highlight w:val="none"/>
        </w:rPr>
        <w:t>大力推进社区</w:t>
      </w:r>
      <w:r>
        <w:rPr>
          <w:rFonts w:hint="eastAsia" w:cs="Times New Roman"/>
          <w:color w:val="auto"/>
          <w:highlight w:val="none"/>
          <w:lang w:eastAsia="zh-CN"/>
        </w:rPr>
        <w:t>养老</w:t>
      </w:r>
      <w:r>
        <w:rPr>
          <w:rFonts w:hint="eastAsia" w:cs="Times New Roman"/>
          <w:color w:val="auto"/>
          <w:highlight w:val="none"/>
        </w:rPr>
        <w:t>服务</w:t>
      </w:r>
      <w:r>
        <w:rPr>
          <w:rFonts w:hint="eastAsia" w:cs="Times New Roman"/>
          <w:color w:val="auto"/>
          <w:highlight w:val="none"/>
          <w:lang w:eastAsia="zh-CN"/>
        </w:rPr>
        <w:t>基础设施规范化、</w:t>
      </w:r>
      <w:r>
        <w:rPr>
          <w:rFonts w:hint="eastAsia" w:cs="Times New Roman"/>
          <w:color w:val="auto"/>
          <w:highlight w:val="none"/>
          <w:lang w:val="en-US" w:eastAsia="zh-CN"/>
        </w:rPr>
        <w:t>标准化</w:t>
      </w:r>
      <w:r>
        <w:rPr>
          <w:rFonts w:hint="eastAsia" w:cs="Times New Roman"/>
          <w:color w:val="auto"/>
          <w:highlight w:val="none"/>
          <w:lang w:eastAsia="zh-CN"/>
        </w:rPr>
        <w:t>建设</w:t>
      </w:r>
      <w:r>
        <w:rPr>
          <w:rFonts w:hint="eastAsia" w:cs="Times New Roman"/>
          <w:color w:val="auto"/>
          <w:highlight w:val="none"/>
        </w:rPr>
        <w:t>，增强和完善社区</w:t>
      </w:r>
      <w:r>
        <w:rPr>
          <w:rFonts w:hint="eastAsia" w:cs="Times New Roman"/>
          <w:color w:val="auto"/>
          <w:highlight w:val="none"/>
          <w:lang w:eastAsia="zh-CN"/>
        </w:rPr>
        <w:t>养老</w:t>
      </w:r>
      <w:r>
        <w:rPr>
          <w:rFonts w:hint="eastAsia" w:cs="Times New Roman"/>
          <w:color w:val="auto"/>
          <w:highlight w:val="none"/>
        </w:rPr>
        <w:t>服务功能</w:t>
      </w:r>
      <w:r>
        <w:rPr>
          <w:rFonts w:hint="eastAsia" w:cs="Times New Roman"/>
          <w:color w:val="auto"/>
          <w:highlight w:val="none"/>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cs="Times New Roman"/>
          <w:color w:val="auto"/>
          <w:highlight w:val="none"/>
          <w:lang w:val="en-US" w:eastAsia="zh-CN"/>
        </w:rPr>
      </w:pPr>
      <w:r>
        <w:rPr>
          <w:rFonts w:hint="eastAsia" w:cs="Times New Roman"/>
          <w:color w:val="auto"/>
          <w:highlight w:val="none"/>
          <w:lang w:val="en-US" w:eastAsia="zh-CN"/>
        </w:rPr>
        <w:t>根据指标体系评分标准，项目实施对加快社区养老服务基础设施建设，</w:t>
      </w:r>
      <w:r>
        <w:rPr>
          <w:rFonts w:hint="eastAsia" w:cs="Times New Roman"/>
          <w:color w:val="auto"/>
          <w:highlight w:val="none"/>
        </w:rPr>
        <w:t>增强和完善社区</w:t>
      </w:r>
      <w:r>
        <w:rPr>
          <w:rFonts w:hint="eastAsia" w:cs="Times New Roman"/>
          <w:color w:val="auto"/>
          <w:highlight w:val="none"/>
          <w:lang w:eastAsia="zh-CN"/>
        </w:rPr>
        <w:t>养老</w:t>
      </w:r>
      <w:r>
        <w:rPr>
          <w:rFonts w:hint="eastAsia" w:cs="Times New Roman"/>
          <w:color w:val="auto"/>
          <w:highlight w:val="none"/>
        </w:rPr>
        <w:t>服务功能</w:t>
      </w:r>
      <w:r>
        <w:rPr>
          <w:rFonts w:hint="eastAsia" w:cs="Times New Roman"/>
          <w:color w:val="auto"/>
          <w:highlight w:val="none"/>
          <w:lang w:val="en-US" w:eastAsia="zh-CN"/>
        </w:rPr>
        <w:t>作用非常明显，指标得</w:t>
      </w:r>
      <w:r>
        <w:rPr>
          <w:rFonts w:hint="eastAsia" w:ascii="Times New Roman" w:hAnsi="Times New Roman" w:eastAsia="仿宋_GB2312" w:cs="Times New Roman"/>
          <w:b w:val="0"/>
          <w:bCs/>
          <w:color w:val="auto"/>
          <w:sz w:val="32"/>
          <w:szCs w:val="32"/>
          <w:highlight w:val="none"/>
          <w:lang w:val="en-US" w:eastAsia="zh-CN"/>
        </w:rPr>
        <w:t>分5</w:t>
      </w:r>
      <w:r>
        <w:rPr>
          <w:rFonts w:hint="eastAsia" w:cs="Times New Roman"/>
          <w:color w:val="auto"/>
          <w:highlight w:val="none"/>
          <w:lang w:val="en-US" w:eastAsia="zh-CN"/>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）改善社区养老服务条件与环境（指标分值</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经现场调研，福禄巷南社区老年日间照料中心装修设计充分考虑老年人的心理及生理特征，功能设置能够很好地满足老年人的需求，改造装修后室内阅览室、书画室、康复室、理疗室、休息室、办公室、监控室、心理咨询室、健身房、餐厅等功能分区明确，服务环境和设施干净、整洁、舒适、温馨，有效改善了社区养老服务条件与环境。</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color w:val="auto"/>
          <w:highlight w:val="none"/>
          <w:lang w:val="en-US" w:eastAsia="zh-CN"/>
        </w:rPr>
      </w:pPr>
      <w:r>
        <w:rPr>
          <w:rFonts w:hint="eastAsia" w:ascii="仿宋_GB2312" w:hAnsi="仿宋_GB2312" w:eastAsia="仿宋_GB2312" w:cs="仿宋_GB2312"/>
          <w:color w:val="auto"/>
          <w:highlight w:val="none"/>
          <w:lang w:val="en-US" w:eastAsia="zh-CN"/>
        </w:rPr>
        <w:t>根据指标体系评分标准，项目实施对活跃社区老人精神文化生活，改善社区养老服务条件与环境作用非常明显，指标得</w:t>
      </w:r>
      <w:r>
        <w:rPr>
          <w:rFonts w:hint="eastAsia" w:ascii="Times New Roman" w:hAnsi="Times New Roman" w:eastAsia="仿宋_GB2312" w:cs="Times New Roman"/>
          <w:b w:val="0"/>
          <w:bCs/>
          <w:color w:val="auto"/>
          <w:sz w:val="32"/>
          <w:szCs w:val="32"/>
          <w:highlight w:val="none"/>
          <w:lang w:val="en-US" w:eastAsia="zh-CN"/>
        </w:rPr>
        <w:t>分5分。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3</w:t>
      </w:r>
      <w:r>
        <w:rPr>
          <w:rFonts w:hint="eastAsia" w:ascii="仿宋_GB2312" w:hAnsi="仿宋_GB2312" w:eastAsia="仿宋_GB2312" w:cs="仿宋_GB2312"/>
          <w:b/>
          <w:bCs/>
          <w:color w:val="auto"/>
          <w:kern w:val="2"/>
          <w:sz w:val="32"/>
          <w:szCs w:val="32"/>
          <w:highlight w:val="none"/>
          <w:lang w:val="en-US" w:eastAsia="zh-CN" w:bidi="ar-SA"/>
        </w:rPr>
        <w:t>）提高社区养老服务能力（指标分值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cs="仿宋_GB2312"/>
          <w:color w:val="auto"/>
          <w:highlight w:val="none"/>
          <w:lang w:val="en-US" w:eastAsia="zh-CN"/>
        </w:rPr>
      </w:pPr>
      <w:r>
        <w:rPr>
          <w:rFonts w:hint="eastAsia" w:ascii="仿宋_GB2312" w:hAnsi="仿宋_GB2312" w:eastAsia="仿宋_GB2312" w:cs="仿宋_GB2312"/>
          <w:color w:val="auto"/>
          <w:highlight w:val="none"/>
          <w:lang w:val="en-US" w:eastAsia="zh-CN"/>
        </w:rPr>
        <w:t>经现场调研，福禄巷南社区老年日间照料中心装修</w:t>
      </w:r>
      <w:r>
        <w:rPr>
          <w:rFonts w:hint="eastAsia" w:cs="仿宋_GB2312"/>
          <w:color w:val="auto"/>
          <w:highlight w:val="none"/>
          <w:lang w:val="en-US" w:eastAsia="zh-CN"/>
        </w:rPr>
        <w:t>及设备购置项目的实施，能够为社区老年人提供优质便捷的服务，可以优先满足社区低保、低收入等困难家庭老人以及孤寡失独、失能、失智、高龄空巢等特殊老人的个性化、专业化养老服务需求，切实解决老年人特别是失能、独居、空巢等老年人“舌尖养老”难题，进一步提升社区居家养老服务水平和质量。</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cs="仿宋_GB2312"/>
          <w:color w:val="auto"/>
          <w:highlight w:val="none"/>
          <w:lang w:val="en-US" w:eastAsia="zh-CN"/>
        </w:rPr>
        <w:t>根据指标体系评分标准，项目实施对提升社区居家养老服务水平和质量，提高社区养老服务能力作</w:t>
      </w:r>
      <w:r>
        <w:rPr>
          <w:rFonts w:hint="eastAsia" w:ascii="仿宋_GB2312" w:hAnsi="仿宋_GB2312" w:eastAsia="仿宋_GB2312" w:cs="仿宋_GB2312"/>
          <w:color w:val="auto"/>
          <w:highlight w:val="none"/>
          <w:lang w:val="en-US" w:eastAsia="zh-CN"/>
        </w:rPr>
        <w:t>用非常明显，指标得</w:t>
      </w:r>
      <w:r>
        <w:rPr>
          <w:rFonts w:hint="eastAsia" w:ascii="Times New Roman" w:hAnsi="Times New Roman" w:eastAsia="仿宋_GB2312" w:cs="Times New Roman"/>
          <w:b w:val="0"/>
          <w:bCs/>
          <w:color w:val="auto"/>
          <w:sz w:val="32"/>
          <w:szCs w:val="32"/>
          <w:highlight w:val="none"/>
          <w:lang w:val="en-US" w:eastAsia="zh-CN"/>
        </w:rPr>
        <w:t>分4分。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可持续影响（指标分值</w:t>
      </w:r>
      <w:r>
        <w:rPr>
          <w:rFonts w:hint="eastAsia" w:cs="仿宋_GB2312"/>
          <w:b/>
          <w:bCs/>
          <w:color w:val="auto"/>
          <w:kern w:val="2"/>
          <w:sz w:val="32"/>
          <w:szCs w:val="32"/>
          <w:highlight w:val="none"/>
          <w:lang w:val="en-US" w:eastAsia="zh-CN" w:bidi="ar-SA"/>
        </w:rPr>
        <w:t>8</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6.8</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（1）完善养老服务体系（指标分值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近年来，我国不断加大社会养老服务体系建设力度，初步形成了以居家为基础、社区为依托、机构为补充、医养相结合的社会养老服务体系。作为社会养老服务体系的基础和依托，社区居家养老模式具有</w:t>
      </w:r>
      <w:r>
        <w:rPr>
          <w:rFonts w:hint="default" w:cs="仿宋_GB2312"/>
          <w:color w:val="auto"/>
          <w:kern w:val="2"/>
          <w:sz w:val="32"/>
          <w:szCs w:val="32"/>
          <w:highlight w:val="none"/>
          <w:lang w:val="en-US" w:eastAsia="zh-CN" w:bidi="ar-SA"/>
        </w:rPr>
        <w:t>覆盖面广</w:t>
      </w:r>
      <w:r>
        <w:rPr>
          <w:rFonts w:hint="eastAsia" w:cs="仿宋_GB2312"/>
          <w:color w:val="auto"/>
          <w:kern w:val="2"/>
          <w:sz w:val="32"/>
          <w:szCs w:val="32"/>
          <w:highlight w:val="none"/>
          <w:lang w:val="en-US" w:eastAsia="zh-CN" w:bidi="ar-SA"/>
        </w:rPr>
        <w:t>、</w:t>
      </w:r>
      <w:r>
        <w:rPr>
          <w:rFonts w:hint="default" w:cs="仿宋_GB2312"/>
          <w:color w:val="auto"/>
          <w:kern w:val="2"/>
          <w:sz w:val="32"/>
          <w:szCs w:val="32"/>
          <w:highlight w:val="none"/>
          <w:lang w:val="en-US" w:eastAsia="zh-CN" w:bidi="ar-SA"/>
        </w:rPr>
        <w:t>契合传统的养老文化</w:t>
      </w:r>
      <w:r>
        <w:rPr>
          <w:rFonts w:hint="eastAsia" w:cs="仿宋_GB2312"/>
          <w:color w:val="auto"/>
          <w:kern w:val="2"/>
          <w:sz w:val="32"/>
          <w:szCs w:val="32"/>
          <w:highlight w:val="none"/>
          <w:lang w:val="en-US" w:eastAsia="zh-CN" w:bidi="ar-SA"/>
        </w:rPr>
        <w:t>、</w:t>
      </w:r>
      <w:r>
        <w:rPr>
          <w:rFonts w:hint="default" w:cs="仿宋_GB2312"/>
          <w:color w:val="auto"/>
          <w:kern w:val="2"/>
          <w:sz w:val="32"/>
          <w:szCs w:val="32"/>
          <w:highlight w:val="none"/>
          <w:lang w:val="en-US" w:eastAsia="zh-CN" w:bidi="ar-SA"/>
        </w:rPr>
        <w:t>成本低</w:t>
      </w:r>
      <w:r>
        <w:rPr>
          <w:rFonts w:hint="eastAsia" w:cs="仿宋_GB2312"/>
          <w:color w:val="auto"/>
          <w:kern w:val="2"/>
          <w:sz w:val="32"/>
          <w:szCs w:val="32"/>
          <w:highlight w:val="none"/>
          <w:lang w:val="en-US" w:eastAsia="zh-CN" w:bidi="ar-SA"/>
        </w:rPr>
        <w:t>、</w:t>
      </w:r>
      <w:r>
        <w:rPr>
          <w:rFonts w:hint="default" w:cs="仿宋_GB2312"/>
          <w:color w:val="auto"/>
          <w:kern w:val="2"/>
          <w:sz w:val="32"/>
          <w:szCs w:val="32"/>
          <w:highlight w:val="none"/>
          <w:lang w:val="en-US" w:eastAsia="zh-CN" w:bidi="ar-SA"/>
        </w:rPr>
        <w:t>效率高</w:t>
      </w:r>
      <w:r>
        <w:rPr>
          <w:rFonts w:hint="eastAsia" w:cs="仿宋_GB2312"/>
          <w:color w:val="auto"/>
          <w:kern w:val="2"/>
          <w:sz w:val="32"/>
          <w:szCs w:val="32"/>
          <w:highlight w:val="none"/>
          <w:lang w:val="en-US" w:eastAsia="zh-CN" w:bidi="ar-SA"/>
        </w:rPr>
        <w:t>等优势。城中区福禄巷南社区老年日间照料中心装修及设备购置项目是民政部门实施的重点民生项目，项目实施为社区老年人提供了优质便捷的服务，推进了社区居家养老服务工作向社会化、规范化、专业化方向迈进，对构建和完善社区老年医疗保健、社区老年文化体育教育、社区老年参与社会发展等为主要内容的社区养老服务体系产生了积极的可持续影响作用。</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根据指标体系评分标准，项目实施对发挥社区居家养老优势，完善养老服务体系产生了积极的可持续影响作用。指标得分为</w:t>
      </w:r>
      <w:r>
        <w:rPr>
          <w:rFonts w:hint="eastAsia" w:ascii="Times New Roman" w:hAnsi="Times New Roman" w:eastAsia="仿宋_GB2312" w:cs="Times New Roman"/>
          <w:b w:val="0"/>
          <w:bCs/>
          <w:color w:val="auto"/>
          <w:sz w:val="32"/>
          <w:szCs w:val="32"/>
          <w:highlight w:val="none"/>
          <w:lang w:val="en-US" w:eastAsia="zh-CN"/>
        </w:rPr>
        <w:t>4分。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）推动养老事业发展（指标分值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2.8</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城中区民政局在推进社区居家养老服务工作上下了功夫、花了心思、动了真格，认真履行职责，采取有效措施，扎实推进工作，全面完成</w:t>
      </w:r>
      <w:r>
        <w:rPr>
          <w:rFonts w:hint="eastAsia" w:cs="Times New Roman"/>
          <w:color w:val="auto"/>
          <w:highlight w:val="none"/>
          <w:lang w:val="en-US" w:eastAsia="zh-CN"/>
        </w:rPr>
        <w:t>养老服务基础设施薄弱社区养老场所的改造</w:t>
      </w:r>
      <w:r>
        <w:rPr>
          <w:rFonts w:hint="eastAsia" w:cs="仿宋_GB2312"/>
          <w:color w:val="auto"/>
          <w:kern w:val="2"/>
          <w:sz w:val="32"/>
          <w:szCs w:val="32"/>
          <w:highlight w:val="none"/>
          <w:lang w:val="en-US" w:eastAsia="zh-CN" w:bidi="ar-SA"/>
        </w:rPr>
        <w:t>建设任务，对增强社会为民服务能力，推动养老事业发展，营造和谐社会产生了一定的可持续影响作用</w:t>
      </w:r>
      <w:r>
        <w:rPr>
          <w:rFonts w:hint="eastAsia" w:cs="Times New Roman"/>
          <w:color w:val="auto"/>
          <w:highlight w:val="none"/>
          <w:lang w:val="en-US" w:eastAsia="zh-CN"/>
        </w:rPr>
        <w:t>。但养老服务发展是一项重要的民生工程、德政工程，是应对人口老龄化、解决社会养老问题的重要举措，持续推动养老事业健康发展任务紧迫、意义重大，需要</w:t>
      </w:r>
      <w:r>
        <w:rPr>
          <w:rFonts w:hint="eastAsia" w:cs="仿宋_GB2312"/>
          <w:color w:val="auto"/>
          <w:kern w:val="2"/>
          <w:sz w:val="32"/>
          <w:szCs w:val="32"/>
          <w:highlight w:val="none"/>
          <w:lang w:val="en-US" w:eastAsia="zh-CN" w:bidi="ar-SA"/>
        </w:rPr>
        <w:t>民政职能部门切实履行</w:t>
      </w:r>
      <w:r>
        <w:rPr>
          <w:rFonts w:hint="eastAsia" w:cs="Times New Roman"/>
          <w:color w:val="auto"/>
          <w:highlight w:val="none"/>
          <w:lang w:val="en-US" w:eastAsia="zh-CN"/>
        </w:rPr>
        <w:t>部门职责，立足全区发展高度来统筹谋划社区居家养老服务工作。</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cs="仿宋_GB2312"/>
          <w:color w:val="auto"/>
          <w:kern w:val="2"/>
          <w:sz w:val="32"/>
          <w:szCs w:val="32"/>
          <w:highlight w:val="none"/>
          <w:lang w:val="en-US" w:eastAsia="zh-CN" w:bidi="ar-SA"/>
        </w:rPr>
        <w:t>根据指标体系评分标准，项目实施对增强社会为民服务能力，推动养老事业发展，营造和谐社会产生了一定的可持续影响作用。</w:t>
      </w:r>
      <w:r>
        <w:rPr>
          <w:rFonts w:hint="eastAsia" w:cs="Times New Roman"/>
          <w:color w:val="auto"/>
          <w:highlight w:val="none"/>
          <w:lang w:val="en-US" w:eastAsia="zh-CN"/>
        </w:rPr>
        <w:t>但养老服务发展是一项重要的民生工程、德政工程，是应对人口老龄化，解决社会养老问题的重要举措，持续推动养老事业健康发展任务紧迫、意义重大，需要</w:t>
      </w:r>
      <w:r>
        <w:rPr>
          <w:rFonts w:hint="eastAsia" w:cs="仿宋_GB2312"/>
          <w:color w:val="auto"/>
          <w:kern w:val="2"/>
          <w:sz w:val="32"/>
          <w:szCs w:val="32"/>
          <w:highlight w:val="none"/>
          <w:lang w:val="en-US" w:eastAsia="zh-CN" w:bidi="ar-SA"/>
        </w:rPr>
        <w:t>民政职能部门切实履行</w:t>
      </w:r>
      <w:r>
        <w:rPr>
          <w:rFonts w:hint="eastAsia" w:cs="Times New Roman"/>
          <w:color w:val="auto"/>
          <w:highlight w:val="none"/>
          <w:lang w:val="en-US" w:eastAsia="zh-CN"/>
        </w:rPr>
        <w:t>部门职责，立足全区发展高度来统筹谋划社区居家养老服务工作。</w:t>
      </w:r>
      <w:r>
        <w:rPr>
          <w:rFonts w:hint="eastAsia" w:cs="仿宋_GB2312"/>
          <w:color w:val="auto"/>
          <w:kern w:val="2"/>
          <w:sz w:val="32"/>
          <w:szCs w:val="32"/>
          <w:highlight w:val="none"/>
          <w:lang w:val="en-US" w:eastAsia="zh-CN" w:bidi="ar-SA"/>
        </w:rPr>
        <w:t>按照实际情况给予指标</w:t>
      </w:r>
      <w:r>
        <w:rPr>
          <w:rFonts w:hint="eastAsia" w:ascii="Times New Roman" w:hAnsi="Times New Roman" w:eastAsia="仿宋_GB2312" w:cs="Times New Roman"/>
          <w:b w:val="0"/>
          <w:bCs/>
          <w:color w:val="auto"/>
          <w:sz w:val="32"/>
          <w:szCs w:val="32"/>
          <w:highlight w:val="none"/>
          <w:lang w:val="en-US" w:eastAsia="zh-CN"/>
        </w:rPr>
        <w:t>满分70%的得分，即指标得分为2.8分。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3.</w:t>
      </w:r>
      <w:r>
        <w:rPr>
          <w:rFonts w:hint="eastAsia" w:ascii="仿宋_GB2312" w:hAnsi="仿宋_GB2312" w:eastAsia="仿宋_GB2312" w:cs="仿宋_GB2312"/>
          <w:b/>
          <w:bCs/>
          <w:color w:val="auto"/>
          <w:kern w:val="2"/>
          <w:sz w:val="32"/>
          <w:szCs w:val="32"/>
          <w:highlight w:val="none"/>
          <w:lang w:val="en-US" w:eastAsia="zh-CN" w:bidi="ar-SA"/>
        </w:rPr>
        <w:t>满意度（指标分值</w:t>
      </w:r>
      <w:r>
        <w:rPr>
          <w:rFonts w:hint="eastAsia" w:cs="仿宋_GB2312"/>
          <w:b/>
          <w:bCs/>
          <w:color w:val="auto"/>
          <w:kern w:val="2"/>
          <w:sz w:val="32"/>
          <w:szCs w:val="32"/>
          <w:highlight w:val="none"/>
          <w:lang w:val="en-US" w:eastAsia="zh-CN" w:bidi="ar-SA"/>
        </w:rPr>
        <w:t>10</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10</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w:t>
      </w:r>
      <w:r>
        <w:rPr>
          <w:rFonts w:hint="eastAsia" w:cs="仿宋_GB2312"/>
          <w:b/>
          <w:bCs/>
          <w:color w:val="auto"/>
          <w:kern w:val="2"/>
          <w:sz w:val="32"/>
          <w:szCs w:val="32"/>
          <w:highlight w:val="none"/>
          <w:lang w:val="en-US" w:eastAsia="zh-CN" w:bidi="ar-SA"/>
        </w:rPr>
        <w:t>社区群众满意度</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8</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8</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cs="仿宋_GB2312"/>
          <w:color w:val="auto"/>
          <w:kern w:val="2"/>
          <w:sz w:val="32"/>
          <w:szCs w:val="32"/>
          <w:highlight w:val="none"/>
          <w:lang w:val="en-US" w:eastAsia="zh-CN" w:bidi="ar-SA"/>
        </w:rPr>
        <w:t>评价组以向社区群众开展社会调查的方式，获取受益群众关于项目实施的满意度数据，本次共发放调查问</w:t>
      </w:r>
      <w:r>
        <w:rPr>
          <w:rFonts w:hint="eastAsia" w:ascii="Times New Roman" w:hAnsi="Times New Roman" w:eastAsia="仿宋_GB2312" w:cs="Times New Roman"/>
          <w:b w:val="0"/>
          <w:bCs/>
          <w:color w:val="auto"/>
          <w:sz w:val="32"/>
          <w:szCs w:val="32"/>
          <w:highlight w:val="none"/>
          <w:lang w:val="en-US" w:eastAsia="zh-CN"/>
        </w:rPr>
        <w:t>卷148份，收回有效问卷148份，根据对有效调查问卷统计结果的分析，老人对日间照料中心的设施、服务等方面的满意达到96.63%。</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val="en-US" w:eastAsia="zh-CN"/>
        </w:rPr>
        <w:t>根据指标体系评分标准，社区群众满意度为96.63%，满意度≥90%。指标得分为8分。</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工作人员满意度</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cs="仿宋_GB2312"/>
          <w:color w:val="auto"/>
          <w:kern w:val="2"/>
          <w:sz w:val="32"/>
          <w:szCs w:val="32"/>
          <w:highlight w:val="none"/>
          <w:lang w:val="en-US" w:eastAsia="zh-CN" w:bidi="ar-SA"/>
        </w:rPr>
        <w:t>评价组从机构基本情况、服务人员、服务对象、设施设备、日常运行及管理、服务测评六个方面对老年日间照料中心负责人开展了关于该项目实施情况的问卷调查，调查对象对项目实施的满意度为</w:t>
      </w:r>
      <w:r>
        <w:rPr>
          <w:rFonts w:hint="eastAsia" w:ascii="Times New Roman" w:hAnsi="Times New Roman" w:eastAsia="仿宋_GB2312" w:cs="Times New Roman"/>
          <w:b w:val="0"/>
          <w:bCs/>
          <w:color w:val="auto"/>
          <w:sz w:val="32"/>
          <w:szCs w:val="32"/>
          <w:highlight w:val="none"/>
          <w:lang w:val="en-US" w:eastAsia="zh-CN"/>
        </w:rPr>
        <w:t>90%。</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textAlignment w:val="auto"/>
        <w:rPr>
          <w:rFonts w:hint="eastAsia" w:ascii="Times New Roman" w:hAnsi="Times New Roman" w:eastAsia="仿宋_GB2312" w:cs="Times New Roman"/>
          <w:b w:val="0"/>
          <w:bCs/>
          <w:color w:val="auto"/>
          <w:sz w:val="32"/>
          <w:szCs w:val="32"/>
          <w:highlight w:val="none"/>
          <w:lang w:val="en-US" w:eastAsia="zh-CN"/>
        </w:rPr>
      </w:pPr>
      <w:r>
        <w:rPr>
          <w:rFonts w:hint="eastAsia" w:ascii="Times New Roman" w:hAnsi="Times New Roman" w:eastAsia="仿宋_GB2312" w:cs="Times New Roman"/>
          <w:b w:val="0"/>
          <w:bCs/>
          <w:color w:val="auto"/>
          <w:sz w:val="32"/>
          <w:szCs w:val="32"/>
          <w:highlight w:val="none"/>
          <w:lang w:val="en-US" w:eastAsia="zh-CN"/>
        </w:rPr>
        <w:t>根据指标体系评分标准，工作人员满意度为90%，满意度≥90%。指标得分为2分。</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firstLine="643" w:firstLineChars="200"/>
        <w:jc w:val="both"/>
        <w:textAlignment w:val="auto"/>
        <w:outlineLvl w:val="1"/>
        <w:rPr>
          <w:rFonts w:hint="eastAsia" w:ascii="黑体" w:hAnsi="黑体" w:eastAsia="黑体" w:cs="黑体"/>
          <w:b/>
          <w:bCs/>
          <w:color w:val="auto"/>
          <w:kern w:val="44"/>
          <w:sz w:val="32"/>
          <w:szCs w:val="32"/>
          <w:highlight w:val="none"/>
          <w:lang w:val="en-US" w:eastAsia="zh-CN" w:bidi="ar-SA"/>
        </w:rPr>
      </w:pPr>
      <w:bookmarkStart w:id="536" w:name="_Toc10989"/>
      <w:bookmarkStart w:id="537" w:name="_Toc31396"/>
      <w:bookmarkStart w:id="538" w:name="_Toc30269"/>
      <w:bookmarkStart w:id="539" w:name="_Toc27402"/>
      <w:r>
        <w:rPr>
          <w:rFonts w:hint="eastAsia" w:ascii="黑体" w:hAnsi="黑体" w:eastAsia="黑体" w:cs="黑体"/>
          <w:b/>
          <w:bCs/>
          <w:color w:val="auto"/>
          <w:kern w:val="44"/>
          <w:sz w:val="32"/>
          <w:szCs w:val="32"/>
          <w:highlight w:val="none"/>
          <w:lang w:val="en-US" w:eastAsia="zh-CN" w:bidi="ar-SA"/>
        </w:rPr>
        <w:fldChar w:fldCharType="begin"/>
      </w:r>
      <w:r>
        <w:rPr>
          <w:rFonts w:hint="eastAsia" w:ascii="黑体" w:hAnsi="黑体" w:eastAsia="黑体" w:cs="黑体"/>
          <w:b/>
          <w:bCs/>
          <w:color w:val="auto"/>
          <w:kern w:val="44"/>
          <w:sz w:val="32"/>
          <w:szCs w:val="32"/>
          <w:highlight w:val="none"/>
          <w:lang w:val="en-US" w:eastAsia="zh-CN" w:bidi="ar-SA"/>
        </w:rPr>
        <w:instrText xml:space="preserve"> HYPERLINK \l _Toc29493 </w:instrText>
      </w:r>
      <w:r>
        <w:rPr>
          <w:rFonts w:hint="eastAsia" w:ascii="黑体" w:hAnsi="黑体" w:eastAsia="黑体" w:cs="黑体"/>
          <w:b/>
          <w:bCs/>
          <w:color w:val="auto"/>
          <w:kern w:val="44"/>
          <w:sz w:val="32"/>
          <w:szCs w:val="32"/>
          <w:highlight w:val="none"/>
          <w:lang w:val="en-US" w:eastAsia="zh-CN" w:bidi="ar-SA"/>
        </w:rPr>
        <w:fldChar w:fldCharType="separate"/>
      </w:r>
      <w:r>
        <w:rPr>
          <w:rFonts w:hint="eastAsia" w:ascii="黑体" w:hAnsi="黑体" w:eastAsia="黑体" w:cs="黑体"/>
          <w:b/>
          <w:bCs/>
          <w:color w:val="auto"/>
          <w:kern w:val="44"/>
          <w:sz w:val="32"/>
          <w:szCs w:val="32"/>
          <w:highlight w:val="none"/>
          <w:lang w:val="en-US" w:eastAsia="zh-CN" w:bidi="ar-SA"/>
        </w:rPr>
        <w:t>六、项目主要经验及做法</w:t>
      </w:r>
      <w:r>
        <w:rPr>
          <w:rFonts w:hint="eastAsia" w:ascii="黑体" w:hAnsi="黑体" w:eastAsia="黑体" w:cs="黑体"/>
          <w:b/>
          <w:bCs/>
          <w:color w:val="auto"/>
          <w:kern w:val="44"/>
          <w:sz w:val="32"/>
          <w:szCs w:val="32"/>
          <w:highlight w:val="none"/>
          <w:lang w:val="en-US" w:eastAsia="zh-CN" w:bidi="ar-SA"/>
        </w:rPr>
        <w:fldChar w:fldCharType="end"/>
      </w:r>
      <w:bookmarkEnd w:id="536"/>
      <w:bookmarkEnd w:id="537"/>
      <w:bookmarkEnd w:id="538"/>
      <w:bookmarkEnd w:id="539"/>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楷体_GB2312" w:hAnsi="楷体_GB2312" w:eastAsia="楷体_GB2312" w:cs="楷体_GB2312"/>
          <w:b/>
          <w:color w:val="auto"/>
          <w:kern w:val="2"/>
          <w:sz w:val="32"/>
          <w:szCs w:val="24"/>
          <w:highlight w:val="none"/>
          <w:lang w:val="en-US" w:eastAsia="zh-CN" w:bidi="ar-SA"/>
        </w:rPr>
      </w:pPr>
      <w:r>
        <w:rPr>
          <w:rFonts w:hint="eastAsia" w:ascii="楷体_GB2312" w:hAnsi="楷体_GB2312" w:eastAsia="楷体_GB2312" w:cs="楷体_GB2312"/>
          <w:b/>
          <w:color w:val="auto"/>
          <w:kern w:val="2"/>
          <w:sz w:val="32"/>
          <w:szCs w:val="24"/>
          <w:highlight w:val="none"/>
          <w:lang w:val="en-US" w:eastAsia="zh-CN" w:bidi="ar-SA"/>
        </w:rPr>
        <w:t>（一）积极推进社区养老服务设施标准化建设</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eastAsia="仿宋_GB2312" w:cs="Times New Roman"/>
          <w:color w:val="auto"/>
          <w:highlight w:val="none"/>
          <w:lang w:val="en-US" w:eastAsia="zh-CN"/>
        </w:rPr>
      </w:pPr>
      <w:r>
        <w:rPr>
          <w:rFonts w:hint="eastAsia" w:cs="Times New Roman"/>
          <w:color w:val="auto"/>
          <w:highlight w:val="none"/>
          <w:lang w:eastAsia="zh-CN"/>
        </w:rPr>
        <w:t>城中区民政局</w:t>
      </w:r>
      <w:r>
        <w:rPr>
          <w:rFonts w:hint="eastAsia" w:cs="Times New Roman"/>
          <w:color w:val="auto"/>
          <w:highlight w:val="none"/>
          <w:lang w:val="en-US" w:eastAsia="zh-CN"/>
        </w:rPr>
        <w:t>注重养老服务设施薄弱社区的改造力度，</w:t>
      </w:r>
      <w:r>
        <w:rPr>
          <w:rFonts w:hint="eastAsia" w:cs="Times New Roman"/>
          <w:color w:val="auto"/>
          <w:highlight w:val="none"/>
          <w:lang w:eastAsia="zh-CN"/>
        </w:rPr>
        <w:t>积极争取</w:t>
      </w:r>
      <w:r>
        <w:rPr>
          <w:rFonts w:hint="eastAsia" w:cs="Times New Roman"/>
          <w:color w:val="auto"/>
          <w:highlight w:val="none"/>
        </w:rPr>
        <w:t>财政投入、福彩公益金资助</w:t>
      </w:r>
      <w:r>
        <w:rPr>
          <w:rFonts w:hint="eastAsia" w:cs="Times New Roman"/>
          <w:color w:val="auto"/>
          <w:highlight w:val="none"/>
          <w:lang w:eastAsia="zh-CN"/>
        </w:rPr>
        <w:t>等</w:t>
      </w:r>
      <w:r>
        <w:rPr>
          <w:rFonts w:hint="eastAsia" w:cs="Times New Roman"/>
          <w:color w:val="auto"/>
          <w:highlight w:val="none"/>
        </w:rPr>
        <w:t>社区养老服务设施建设资金，购置养老服务</w:t>
      </w:r>
      <w:r>
        <w:rPr>
          <w:rFonts w:hint="eastAsia" w:cs="Times New Roman"/>
          <w:color w:val="auto"/>
          <w:highlight w:val="none"/>
          <w:lang w:eastAsia="zh-CN"/>
        </w:rPr>
        <w:t>业务</w:t>
      </w:r>
      <w:r>
        <w:rPr>
          <w:rFonts w:hint="eastAsia" w:cs="Times New Roman"/>
          <w:color w:val="auto"/>
          <w:highlight w:val="none"/>
        </w:rPr>
        <w:t>用房</w:t>
      </w:r>
      <w:r>
        <w:rPr>
          <w:rFonts w:hint="eastAsia" w:cs="Times New Roman"/>
          <w:color w:val="auto"/>
          <w:highlight w:val="none"/>
          <w:lang w:eastAsia="zh-CN"/>
        </w:rPr>
        <w:t>，</w:t>
      </w:r>
      <w:r>
        <w:rPr>
          <w:rFonts w:hint="eastAsia" w:cs="Times New Roman"/>
          <w:color w:val="auto"/>
          <w:highlight w:val="none"/>
        </w:rPr>
        <w:t>落实社区养老服务场地</w:t>
      </w:r>
      <w:r>
        <w:rPr>
          <w:rFonts w:hint="eastAsia" w:cs="Times New Roman"/>
          <w:color w:val="auto"/>
          <w:highlight w:val="none"/>
          <w:lang w:eastAsia="zh-CN"/>
        </w:rPr>
        <w:t>，改造装修老年日间照料中心，采购配备电脑设备、办公家具、厨具及康复仪器等设备，</w:t>
      </w:r>
      <w:r>
        <w:rPr>
          <w:rFonts w:hint="eastAsia" w:cs="Times New Roman"/>
          <w:color w:val="auto"/>
          <w:highlight w:val="none"/>
        </w:rPr>
        <w:t>大力推进社区</w:t>
      </w:r>
      <w:r>
        <w:rPr>
          <w:rFonts w:hint="eastAsia" w:cs="Times New Roman"/>
          <w:color w:val="auto"/>
          <w:highlight w:val="none"/>
          <w:lang w:eastAsia="zh-CN"/>
        </w:rPr>
        <w:t>养老</w:t>
      </w:r>
      <w:r>
        <w:rPr>
          <w:rFonts w:hint="eastAsia" w:cs="Times New Roman"/>
          <w:color w:val="auto"/>
          <w:highlight w:val="none"/>
        </w:rPr>
        <w:t>服务</w:t>
      </w:r>
      <w:r>
        <w:rPr>
          <w:rFonts w:hint="eastAsia" w:cs="Times New Roman"/>
          <w:color w:val="auto"/>
          <w:highlight w:val="none"/>
          <w:lang w:eastAsia="zh-CN"/>
        </w:rPr>
        <w:t>基础设施规范化、</w:t>
      </w:r>
      <w:r>
        <w:rPr>
          <w:rFonts w:hint="eastAsia" w:cs="Times New Roman"/>
          <w:color w:val="auto"/>
          <w:highlight w:val="none"/>
          <w:lang w:val="en-US" w:eastAsia="zh-CN"/>
        </w:rPr>
        <w:t>标准化</w:t>
      </w:r>
      <w:r>
        <w:rPr>
          <w:rFonts w:hint="eastAsia" w:cs="Times New Roman"/>
          <w:color w:val="auto"/>
          <w:highlight w:val="none"/>
          <w:lang w:eastAsia="zh-CN"/>
        </w:rPr>
        <w:t>建设</w:t>
      </w:r>
      <w:r>
        <w:rPr>
          <w:rFonts w:hint="eastAsia" w:cs="Times New Roman"/>
          <w:color w:val="auto"/>
          <w:highlight w:val="none"/>
        </w:rPr>
        <w:t>，增强和完善社区</w:t>
      </w:r>
      <w:r>
        <w:rPr>
          <w:rFonts w:hint="eastAsia" w:cs="Times New Roman"/>
          <w:color w:val="auto"/>
          <w:highlight w:val="none"/>
          <w:lang w:eastAsia="zh-CN"/>
        </w:rPr>
        <w:t>养老</w:t>
      </w:r>
      <w:r>
        <w:rPr>
          <w:rFonts w:hint="eastAsia" w:cs="Times New Roman"/>
          <w:color w:val="auto"/>
          <w:highlight w:val="none"/>
        </w:rPr>
        <w:t>服务功能</w:t>
      </w:r>
      <w:r>
        <w:rPr>
          <w:rFonts w:hint="eastAsia" w:cs="Times New Roman"/>
          <w:color w:val="auto"/>
          <w:highlight w:val="none"/>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540" w:name="_Toc21911"/>
      <w:bookmarkStart w:id="541" w:name="_Toc23420"/>
      <w:r>
        <w:rPr>
          <w:rFonts w:hint="eastAsia" w:ascii="楷体_GB2312" w:hAnsi="楷体_GB2312" w:eastAsia="楷体_GB2312" w:cs="楷体_GB2312"/>
          <w:b/>
          <w:color w:val="auto"/>
          <w:kern w:val="2"/>
          <w:sz w:val="32"/>
          <w:szCs w:val="24"/>
          <w:highlight w:val="none"/>
          <w:lang w:val="en-US" w:eastAsia="zh-CN" w:bidi="ar-SA"/>
        </w:rPr>
        <w:t>（二）丰富社区养老服务内容，提升老人幸福感</w:t>
      </w:r>
      <w:bookmarkEnd w:id="540"/>
      <w:bookmarkEnd w:id="541"/>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ascii="仿宋_GB2312" w:hAnsi="仿宋_GB2312" w:eastAsia="仿宋_GB2312" w:cs="仿宋_GB2312"/>
          <w:color w:val="auto"/>
          <w:kern w:val="2"/>
          <w:sz w:val="32"/>
          <w:szCs w:val="24"/>
          <w:highlight w:val="none"/>
          <w:lang w:val="en-US" w:eastAsia="zh-CN" w:bidi="ar-SA"/>
        </w:rPr>
      </w:pPr>
      <w:r>
        <w:rPr>
          <w:rFonts w:hint="eastAsia" w:ascii="仿宋_GB2312" w:hAnsi="仿宋_GB2312" w:eastAsia="仿宋_GB2312" w:cs="仿宋_GB2312"/>
          <w:color w:val="auto"/>
          <w:kern w:val="2"/>
          <w:sz w:val="32"/>
          <w:szCs w:val="24"/>
          <w:highlight w:val="none"/>
          <w:lang w:val="en-US" w:eastAsia="zh-CN" w:bidi="ar-SA"/>
        </w:rPr>
        <w:t>改造装修后的老年日间照料中心功能分区规划科学，布局合理简洁，具备阅览室、书画室、康复室、理疗室、休息室、办公室、监控室、心理咨询室、健身房、餐厅等老人活动场所，室内服务环境和设施干净、整洁、舒适、温馨，</w:t>
      </w:r>
      <w:bookmarkStart w:id="542" w:name="_Toc23363"/>
      <w:bookmarkStart w:id="543" w:name="_Toc26015"/>
      <w:r>
        <w:rPr>
          <w:rFonts w:hint="eastAsia" w:ascii="仿宋_GB2312" w:hAnsi="仿宋_GB2312" w:eastAsia="仿宋_GB2312" w:cs="仿宋_GB2312"/>
          <w:color w:val="auto"/>
          <w:kern w:val="2"/>
          <w:sz w:val="32"/>
          <w:szCs w:val="24"/>
          <w:highlight w:val="none"/>
          <w:lang w:val="en-US" w:eastAsia="zh-CN" w:bidi="ar-SA"/>
        </w:rPr>
        <w:t>能够为老人提供医疗保健、文化娱乐、学习培训等方面的需求，切实做到老有所养、老有所学、老有所为、老有所乐，提升老人养老幸福感和获得感。</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黑体" w:hAnsi="黑体" w:eastAsia="黑体" w:cs="黑体"/>
          <w:b/>
          <w:bCs/>
          <w:color w:val="auto"/>
          <w:kern w:val="44"/>
          <w:sz w:val="32"/>
          <w:szCs w:val="32"/>
          <w:highlight w:val="none"/>
          <w:lang w:val="en-US" w:eastAsia="zh-CN" w:bidi="ar-SA"/>
        </w:rPr>
      </w:pPr>
      <w:bookmarkStart w:id="544" w:name="_Toc26071"/>
      <w:bookmarkStart w:id="545" w:name="_Toc27306"/>
      <w:r>
        <w:rPr>
          <w:rFonts w:hint="eastAsia" w:ascii="黑体" w:hAnsi="黑体" w:eastAsia="黑体" w:cs="黑体"/>
          <w:b/>
          <w:bCs/>
          <w:color w:val="auto"/>
          <w:kern w:val="44"/>
          <w:sz w:val="32"/>
          <w:szCs w:val="32"/>
          <w:highlight w:val="none"/>
          <w:lang w:val="en-US" w:eastAsia="zh-CN" w:bidi="ar-SA"/>
        </w:rPr>
        <w:t>七、存在的问题及原因分析</w:t>
      </w:r>
      <w:bookmarkEnd w:id="542"/>
      <w:bookmarkEnd w:id="543"/>
      <w:bookmarkEnd w:id="544"/>
      <w:bookmarkEnd w:id="545"/>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546" w:name="_Toc21455"/>
      <w:bookmarkStart w:id="547" w:name="_Toc26088"/>
      <w:bookmarkStart w:id="548" w:name="_Toc18384"/>
      <w:bookmarkStart w:id="549" w:name="_Toc16590"/>
      <w:r>
        <w:rPr>
          <w:rFonts w:hint="eastAsia" w:ascii="楷体_GB2312" w:hAnsi="楷体_GB2312" w:eastAsia="楷体_GB2312" w:cs="楷体_GB2312"/>
          <w:b/>
          <w:color w:val="auto"/>
          <w:kern w:val="2"/>
          <w:sz w:val="32"/>
          <w:szCs w:val="24"/>
          <w:highlight w:val="none"/>
          <w:lang w:val="en-US" w:eastAsia="zh-CN" w:bidi="ar-SA"/>
        </w:rPr>
        <w:t>（一）项目绩效指标设定不够合理准确，不够细化量化</w:t>
      </w:r>
      <w:bookmarkEnd w:id="546"/>
      <w:bookmarkEnd w:id="547"/>
      <w:bookmarkEnd w:id="548"/>
      <w:bookmarkEnd w:id="549"/>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default" w:eastAsia="仿宋_GB2312" w:cs="Times New Roman"/>
          <w:b w:val="0"/>
          <w:bCs w:val="0"/>
          <w:color w:val="auto"/>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根据查阅该项目填报的《县级项目支出绩效目标申报表》，表中</w:t>
      </w:r>
      <w:r>
        <w:rPr>
          <w:rFonts w:hint="eastAsia" w:ascii="仿宋_GB2312" w:hAnsi="仿宋_GB2312" w:eastAsia="仿宋_GB2312" w:cs="仿宋_GB2312"/>
          <w:color w:val="auto"/>
          <w:kern w:val="2"/>
          <w:sz w:val="32"/>
          <w:szCs w:val="24"/>
          <w:highlight w:val="none"/>
          <w:lang w:val="en-US" w:eastAsia="zh-CN" w:bidi="ar-SA"/>
        </w:rPr>
        <w:t>绩效指标设</w:t>
      </w:r>
      <w:r>
        <w:rPr>
          <w:rFonts w:hint="eastAsia" w:cs="仿宋_GB2312"/>
          <w:color w:val="auto"/>
          <w:kern w:val="2"/>
          <w:sz w:val="32"/>
          <w:szCs w:val="24"/>
          <w:highlight w:val="none"/>
          <w:lang w:val="en-US" w:eastAsia="zh-CN" w:bidi="ar-SA"/>
        </w:rPr>
        <w:t>定不够合理准确，</w:t>
      </w:r>
      <w:r>
        <w:rPr>
          <w:rFonts w:hint="eastAsia" w:ascii="仿宋_GB2312" w:hAnsi="仿宋_GB2312" w:eastAsia="仿宋_GB2312" w:cs="仿宋_GB2312"/>
          <w:color w:val="auto"/>
          <w:kern w:val="2"/>
          <w:sz w:val="32"/>
          <w:szCs w:val="24"/>
          <w:highlight w:val="none"/>
          <w:lang w:val="en-US" w:eastAsia="zh-CN" w:bidi="ar-SA"/>
        </w:rPr>
        <w:t>不够细化量化</w:t>
      </w:r>
      <w:r>
        <w:rPr>
          <w:rFonts w:hint="eastAsia" w:cs="仿宋_GB2312"/>
          <w:color w:val="auto"/>
          <w:kern w:val="2"/>
          <w:sz w:val="32"/>
          <w:szCs w:val="24"/>
          <w:highlight w:val="none"/>
          <w:lang w:val="en-US" w:eastAsia="zh-CN" w:bidi="ar-SA"/>
        </w:rPr>
        <w:t>，</w:t>
      </w:r>
      <w:r>
        <w:rPr>
          <w:rFonts w:hint="eastAsia" w:ascii="仿宋_GB2312" w:hAnsi="仿宋_GB2312" w:eastAsia="仿宋_GB2312" w:cs="仿宋_GB2312"/>
          <w:color w:val="auto"/>
          <w:kern w:val="2"/>
          <w:sz w:val="32"/>
          <w:szCs w:val="24"/>
          <w:highlight w:val="none"/>
          <w:lang w:val="en-US" w:eastAsia="zh-CN" w:bidi="ar-SA"/>
        </w:rPr>
        <w:t>指标值设定不够清晰、可衡量，部分指标内容填写不准确</w:t>
      </w:r>
      <w:r>
        <w:rPr>
          <w:rFonts w:hint="eastAsia" w:cs="仿宋_GB2312"/>
          <w:color w:val="auto"/>
          <w:kern w:val="2"/>
          <w:sz w:val="32"/>
          <w:szCs w:val="24"/>
          <w:highlight w:val="none"/>
          <w:lang w:val="en-US" w:eastAsia="zh-CN" w:bidi="ar-SA"/>
        </w:rPr>
        <w:t>。</w:t>
      </w:r>
      <w:r>
        <w:rPr>
          <w:rFonts w:hint="eastAsia" w:cs="仿宋_GB2312"/>
          <w:b w:val="0"/>
          <w:bCs w:val="0"/>
          <w:color w:val="auto"/>
          <w:sz w:val="32"/>
          <w:szCs w:val="32"/>
          <w:highlight w:val="none"/>
          <w:lang w:val="en-US" w:eastAsia="zh-CN"/>
        </w:rPr>
        <w:t>具体为：</w:t>
      </w:r>
      <w:r>
        <w:rPr>
          <w:rFonts w:hint="eastAsia" w:ascii="仿宋_GB2312" w:hAnsi="仿宋_GB2312" w:eastAsia="仿宋_GB2312" w:cs="仿宋_GB2312"/>
          <w:b w:val="0"/>
          <w:bCs w:val="0"/>
          <w:color w:val="auto"/>
          <w:sz w:val="32"/>
          <w:szCs w:val="32"/>
          <w:highlight w:val="none"/>
          <w:lang w:val="en-US" w:eastAsia="zh-CN"/>
        </w:rPr>
        <w:t>一级指标“服务对象满意度指标”未细化设定对应的二级指标</w:t>
      </w:r>
      <w:r>
        <w:rPr>
          <w:rFonts w:hint="eastAsia"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二级指标“成本指标”、“经济效益指标”未填写指标内容；“质量指标”和“时效指标”指标</w:t>
      </w:r>
      <w:r>
        <w:rPr>
          <w:rFonts w:hint="eastAsia" w:ascii="仿宋_GB2312" w:hAnsi="仿宋_GB2312" w:eastAsia="仿宋_GB2312" w:cs="仿宋_GB2312"/>
          <w:color w:val="auto"/>
          <w:kern w:val="2"/>
          <w:sz w:val="32"/>
          <w:szCs w:val="24"/>
          <w:highlight w:val="none"/>
          <w:lang w:val="en-US" w:eastAsia="zh-CN" w:bidi="ar-SA"/>
        </w:rPr>
        <w:t>内容填写不准确，如将“质量指标”的指标内容填写为“项目按计划开工率”，“时效指标”的指标内容填写为“项目完成率”，而“项目按计划开工率”、“项目完成率”应属于“数量指标”的指标内容</w:t>
      </w:r>
      <w:r>
        <w:rPr>
          <w:rFonts w:hint="eastAsia" w:cs="仿宋_GB2312"/>
          <w:color w:val="auto"/>
          <w:kern w:val="2"/>
          <w:sz w:val="32"/>
          <w:szCs w:val="24"/>
          <w:highlight w:val="none"/>
          <w:lang w:val="en-US" w:eastAsia="zh-CN" w:bidi="ar-SA"/>
        </w:rPr>
        <w:t>。</w:t>
      </w:r>
      <w:r>
        <w:rPr>
          <w:rFonts w:hint="eastAsia" w:cs="Times New Roman"/>
          <w:color w:val="auto"/>
          <w:highlight w:val="none"/>
          <w:lang w:val="en-US" w:eastAsia="zh-CN"/>
        </w:rPr>
        <w:t>绩效指标设定不符合</w:t>
      </w:r>
      <w:r>
        <w:rPr>
          <w:rFonts w:hint="eastAsia" w:ascii="仿宋_GB2312" w:eastAsia="仿宋_GB2312" w:cs="Times New Roman"/>
          <w:bCs/>
          <w:color w:val="auto"/>
          <w:sz w:val="32"/>
          <w:szCs w:val="32"/>
          <w:highlight w:val="none"/>
          <w:lang w:val="en-US" w:eastAsia="zh-CN"/>
        </w:rPr>
        <w:t>《中共青海省委</w:t>
      </w:r>
      <w:r>
        <w:rPr>
          <w:rFonts w:hint="eastAsia" w:cs="Times New Roman"/>
          <w:bCs/>
          <w:color w:val="auto"/>
          <w:sz w:val="32"/>
          <w:szCs w:val="32"/>
          <w:highlight w:val="none"/>
          <w:lang w:val="en-US" w:eastAsia="zh-CN"/>
        </w:rPr>
        <w:t xml:space="preserve"> </w:t>
      </w:r>
      <w:r>
        <w:rPr>
          <w:rFonts w:hint="eastAsia" w:ascii="仿宋_GB2312" w:eastAsia="仿宋_GB2312" w:cs="Times New Roman"/>
          <w:bCs/>
          <w:color w:val="auto"/>
          <w:sz w:val="32"/>
          <w:szCs w:val="32"/>
          <w:highlight w:val="none"/>
          <w:lang w:val="en-US" w:eastAsia="zh-CN"/>
        </w:rPr>
        <w:t>青海省人民政府关于全面实施预算绩效管理的实施意见》</w:t>
      </w:r>
      <w:r>
        <w:rPr>
          <w:rFonts w:hint="eastAsia" w:ascii="Times New Roman" w:hAnsi="Times New Roman" w:eastAsia="仿宋_GB2312" w:cs="Times New Roman"/>
          <w:b w:val="0"/>
          <w:bCs/>
          <w:color w:val="auto"/>
          <w:sz w:val="32"/>
          <w:szCs w:val="32"/>
          <w:highlight w:val="none"/>
          <w:lang w:val="en-US" w:eastAsia="zh-CN"/>
        </w:rPr>
        <w:t>（青发〔2019〕11号）“第七条 优化绩效目标管理 各地区各部</w:t>
      </w:r>
      <w:r>
        <w:rPr>
          <w:rFonts w:hint="eastAsia" w:cs="Times New Roman"/>
          <w:bCs/>
          <w:color w:val="auto"/>
          <w:sz w:val="32"/>
          <w:szCs w:val="32"/>
          <w:highlight w:val="none"/>
          <w:lang w:val="en-US" w:eastAsia="zh-CN"/>
        </w:rPr>
        <w:t>门在建立项目储备和预算编制时，要科学设定部门和单位整体绩效目标、政策和项目绩效目标。绩效目标要包括产出、成本、经济效益、社会效益、生态效益、可持续影响和服务对象满意度等绩效指标，要与政策目的、财政投入规模、部门职能职责、项目实施计划、社会公众需求等相匹配”中关于预算资金绩效目标管理的相关要求</w:t>
      </w:r>
      <w:r>
        <w:rPr>
          <w:rFonts w:hint="eastAsia" w:cs="Times New Roman"/>
          <w:color w:val="auto"/>
          <w:highlight w:val="none"/>
          <w:lang w:val="en-US" w:eastAsia="zh-CN"/>
        </w:rPr>
        <w:t>。</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楷体_GB2312" w:hAnsi="楷体_GB2312" w:eastAsia="楷体_GB2312" w:cs="楷体_GB2312"/>
          <w:b/>
          <w:color w:val="auto"/>
          <w:kern w:val="2"/>
          <w:sz w:val="32"/>
          <w:szCs w:val="24"/>
          <w:highlight w:val="none"/>
          <w:lang w:val="en-US" w:eastAsia="zh-CN" w:bidi="ar-SA"/>
        </w:rPr>
      </w:pPr>
      <w:r>
        <w:rPr>
          <w:rFonts w:hint="eastAsia" w:ascii="楷体_GB2312" w:hAnsi="楷体_GB2312" w:eastAsia="楷体_GB2312" w:cs="楷体_GB2312"/>
          <w:b/>
          <w:color w:val="auto"/>
          <w:kern w:val="2"/>
          <w:sz w:val="32"/>
          <w:szCs w:val="24"/>
          <w:highlight w:val="none"/>
          <w:lang w:val="en-US" w:eastAsia="zh-CN" w:bidi="ar-SA"/>
        </w:rPr>
        <w:t>（二）室内装修工程完工不及时</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城中区福禄巷南社区老年日间照料中心</w:t>
      </w:r>
      <w:r>
        <w:rPr>
          <w:rFonts w:hint="eastAsia" w:cs="仿宋_GB2312"/>
          <w:b w:val="0"/>
          <w:bCs w:val="0"/>
          <w:color w:val="auto"/>
          <w:sz w:val="32"/>
          <w:szCs w:val="32"/>
          <w:highlight w:val="none"/>
          <w:lang w:val="en-US" w:eastAsia="zh-CN"/>
        </w:rPr>
        <w:t>室内</w:t>
      </w:r>
      <w:r>
        <w:rPr>
          <w:rFonts w:hint="eastAsia" w:ascii="仿宋_GB2312" w:hAnsi="仿宋_GB2312" w:eastAsia="仿宋_GB2312" w:cs="仿宋_GB2312"/>
          <w:b w:val="0"/>
          <w:bCs w:val="0"/>
          <w:color w:val="auto"/>
          <w:sz w:val="32"/>
          <w:szCs w:val="32"/>
          <w:highlight w:val="none"/>
          <w:lang w:val="en-US" w:eastAsia="zh-CN"/>
        </w:rPr>
        <w:t>装修工程招标工期</w:t>
      </w:r>
      <w:r>
        <w:rPr>
          <w:rFonts w:hint="eastAsia" w:ascii="Times New Roman" w:hAnsi="Times New Roman" w:eastAsia="仿宋_GB2312" w:cs="Times New Roman"/>
          <w:b w:val="0"/>
          <w:bCs/>
          <w:color w:val="auto"/>
          <w:sz w:val="32"/>
          <w:szCs w:val="32"/>
          <w:highlight w:val="none"/>
          <w:lang w:val="en-US" w:eastAsia="zh-CN"/>
        </w:rPr>
        <w:t>60天，计划于2020年10月30日开工，2020年12月31日完工，但实际于2020年11月初进场施工，11月下旬因未供暖影响施工而停工，次年3月下旬重新开工，6</w:t>
      </w:r>
      <w:r>
        <w:rPr>
          <w:rFonts w:hint="eastAsia" w:ascii="仿宋_GB2312" w:hAnsi="仿宋_GB2312" w:eastAsia="仿宋_GB2312" w:cs="仿宋_GB2312"/>
          <w:b w:val="0"/>
          <w:bCs w:val="0"/>
          <w:color w:val="auto"/>
          <w:sz w:val="32"/>
          <w:szCs w:val="32"/>
          <w:highlight w:val="none"/>
          <w:lang w:val="en-US" w:eastAsia="zh-CN"/>
        </w:rPr>
        <w:t>月底基本完工，工程施工进度较计划时间有延迟。</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楷体_GB2312" w:hAnsi="楷体_GB2312" w:eastAsia="楷体_GB2312" w:cs="楷体_GB2312"/>
          <w:b/>
          <w:color w:val="auto"/>
          <w:kern w:val="2"/>
          <w:sz w:val="32"/>
          <w:szCs w:val="24"/>
          <w:highlight w:val="none"/>
          <w:lang w:val="en-US" w:eastAsia="zh-CN" w:bidi="ar-SA"/>
        </w:rPr>
      </w:pPr>
      <w:r>
        <w:rPr>
          <w:rFonts w:hint="eastAsia" w:ascii="楷体_GB2312" w:hAnsi="楷体_GB2312" w:eastAsia="楷体_GB2312" w:cs="楷体_GB2312"/>
          <w:b/>
          <w:color w:val="auto"/>
          <w:kern w:val="2"/>
          <w:sz w:val="32"/>
          <w:szCs w:val="24"/>
          <w:highlight w:val="none"/>
          <w:lang w:val="en-US" w:eastAsia="zh-CN" w:bidi="ar-SA"/>
        </w:rPr>
        <w:t>（三）部分设备采购验收不及时</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经查阅采购合同与采购验收报告单等资料，电脑设备、办公家具采购合同签订时间为</w:t>
      </w:r>
      <w:r>
        <w:rPr>
          <w:rFonts w:hint="eastAsia" w:ascii="Times New Roman" w:hAnsi="Times New Roman" w:eastAsia="仿宋_GB2312" w:cs="Times New Roman"/>
          <w:b w:val="0"/>
          <w:bCs/>
          <w:color w:val="auto"/>
          <w:sz w:val="32"/>
          <w:szCs w:val="32"/>
          <w:highlight w:val="none"/>
          <w:lang w:val="en-US" w:eastAsia="zh-CN"/>
        </w:rPr>
        <w:t>2021年5月18日，合同签订后20个工作日交付使用，即2021年6月7日交付，预验收时间为2021年7月8日，验收时</w:t>
      </w:r>
      <w:r>
        <w:rPr>
          <w:rFonts w:hint="eastAsia" w:ascii="仿宋_GB2312" w:hAnsi="仿宋_GB2312" w:eastAsia="仿宋_GB2312" w:cs="仿宋_GB2312"/>
          <w:b w:val="0"/>
          <w:bCs w:val="0"/>
          <w:color w:val="auto"/>
          <w:sz w:val="32"/>
          <w:szCs w:val="32"/>
          <w:highlight w:val="none"/>
          <w:lang w:val="en-US" w:eastAsia="zh-CN"/>
        </w:rPr>
        <w:t>间有延迟，验收不及时。</w:t>
      </w:r>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firstLine="640" w:firstLineChars="200"/>
        <w:jc w:val="both"/>
        <w:textAlignment w:val="auto"/>
        <w:outlineLvl w:val="1"/>
        <w:rPr>
          <w:rFonts w:hint="eastAsia" w:ascii="黑体" w:hAnsi="黑体" w:eastAsia="黑体" w:cs="黑体"/>
          <w:b w:val="0"/>
          <w:color w:val="auto"/>
          <w:kern w:val="2"/>
          <w:sz w:val="32"/>
          <w:szCs w:val="24"/>
          <w:highlight w:val="none"/>
          <w:lang w:val="en-US" w:eastAsia="zh-CN" w:bidi="ar-SA"/>
        </w:rPr>
      </w:pPr>
      <w:bookmarkStart w:id="550" w:name="_Toc15115"/>
      <w:bookmarkStart w:id="551" w:name="_Toc8057"/>
      <w:bookmarkStart w:id="552" w:name="_Toc31234"/>
      <w:bookmarkStart w:id="553" w:name="_Toc23155"/>
      <w:r>
        <w:rPr>
          <w:rFonts w:hint="eastAsia" w:ascii="仿宋_GB2312" w:hAnsi="仿宋_GB2312" w:eastAsia="仿宋_GB2312" w:cs="仿宋_GB2312"/>
          <w:b w:val="0"/>
          <w:color w:val="auto"/>
          <w:kern w:val="2"/>
          <w:sz w:val="32"/>
          <w:szCs w:val="24"/>
          <w:highlight w:val="none"/>
          <w:lang w:val="en-US" w:eastAsia="zh-CN" w:bidi="ar-SA"/>
        </w:rPr>
        <w:fldChar w:fldCharType="begin"/>
      </w:r>
      <w:r>
        <w:rPr>
          <w:rFonts w:hint="eastAsia" w:ascii="仿宋_GB2312" w:hAnsi="仿宋_GB2312" w:eastAsia="仿宋_GB2312" w:cs="仿宋_GB2312"/>
          <w:b w:val="0"/>
          <w:color w:val="auto"/>
          <w:kern w:val="2"/>
          <w:sz w:val="32"/>
          <w:szCs w:val="24"/>
          <w:highlight w:val="none"/>
          <w:lang w:val="en-US" w:eastAsia="zh-CN" w:bidi="ar-SA"/>
        </w:rPr>
        <w:instrText xml:space="preserve"> HYPERLINK \l _Toc26431 </w:instrText>
      </w:r>
      <w:r>
        <w:rPr>
          <w:rFonts w:hint="eastAsia" w:ascii="仿宋_GB2312" w:hAnsi="仿宋_GB2312" w:eastAsia="仿宋_GB2312" w:cs="仿宋_GB2312"/>
          <w:b w:val="0"/>
          <w:color w:val="auto"/>
          <w:kern w:val="2"/>
          <w:sz w:val="32"/>
          <w:szCs w:val="24"/>
          <w:highlight w:val="none"/>
          <w:lang w:val="en-US" w:eastAsia="zh-CN" w:bidi="ar-SA"/>
        </w:rPr>
        <w:fldChar w:fldCharType="separate"/>
      </w:r>
      <w:r>
        <w:rPr>
          <w:rFonts w:hint="eastAsia" w:ascii="黑体" w:hAnsi="黑体" w:eastAsia="黑体" w:cs="黑体"/>
          <w:b w:val="0"/>
          <w:color w:val="auto"/>
          <w:kern w:val="2"/>
          <w:sz w:val="32"/>
          <w:szCs w:val="24"/>
          <w:highlight w:val="none"/>
          <w:lang w:val="en-US" w:eastAsia="zh-CN" w:bidi="ar-SA"/>
        </w:rPr>
        <w:t>八、有关建议</w:t>
      </w:r>
      <w:bookmarkEnd w:id="550"/>
      <w:bookmarkEnd w:id="551"/>
      <w:bookmarkEnd w:id="552"/>
      <w:bookmarkEnd w:id="553"/>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554" w:name="_Toc27134"/>
      <w:bookmarkStart w:id="555" w:name="_Toc30237"/>
      <w:bookmarkStart w:id="556" w:name="_Toc2414"/>
      <w:bookmarkStart w:id="557" w:name="_Toc25817"/>
      <w:r>
        <w:rPr>
          <w:rFonts w:hint="eastAsia" w:ascii="楷体_GB2312" w:hAnsi="楷体_GB2312" w:eastAsia="楷体_GB2312" w:cs="楷体_GB2312"/>
          <w:b/>
          <w:color w:val="auto"/>
          <w:kern w:val="2"/>
          <w:sz w:val="32"/>
          <w:szCs w:val="24"/>
          <w:highlight w:val="none"/>
          <w:lang w:val="en-US" w:eastAsia="zh-CN" w:bidi="ar-SA"/>
        </w:rPr>
        <w:t>（一）加强预算绩效目标管理，提高绩效指标编制水平</w:t>
      </w:r>
      <w:bookmarkEnd w:id="554"/>
      <w:bookmarkEnd w:id="555"/>
      <w:bookmarkEnd w:id="556"/>
      <w:bookmarkEnd w:id="557"/>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 w:val="0"/>
          <w:color w:val="auto"/>
          <w:kern w:val="2"/>
          <w:sz w:val="32"/>
          <w:szCs w:val="24"/>
          <w:highlight w:val="none"/>
          <w:lang w:val="en-US" w:eastAsia="zh-CN" w:bidi="ar-SA"/>
        </w:rPr>
      </w:pPr>
      <w:r>
        <w:rPr>
          <w:rFonts w:hint="eastAsia" w:ascii="仿宋_GB2312" w:hAnsi="仿宋_GB2312" w:eastAsia="仿宋_GB2312" w:cs="仿宋_GB2312"/>
          <w:b w:val="0"/>
          <w:color w:val="auto"/>
          <w:kern w:val="2"/>
          <w:sz w:val="32"/>
          <w:szCs w:val="24"/>
          <w:highlight w:val="none"/>
          <w:lang w:val="en-US" w:eastAsia="zh-CN" w:bidi="ar-SA"/>
        </w:rPr>
        <w:t>建议项目预算单位在以后年度申请项目预算资金时，按照《中共中央 国务院关于全面实施预算绩效管理的意见》（中发</w:t>
      </w:r>
      <w:r>
        <w:rPr>
          <w:rFonts w:hint="eastAsia" w:ascii="Times New Roman" w:hAnsi="Times New Roman" w:eastAsia="仿宋_GB2312" w:cs="Times New Roman"/>
          <w:b w:val="0"/>
          <w:bCs/>
          <w:color w:val="auto"/>
          <w:sz w:val="32"/>
          <w:szCs w:val="32"/>
          <w:highlight w:val="none"/>
          <w:lang w:val="en-US" w:eastAsia="zh-CN"/>
        </w:rPr>
        <w:t>〔2018〕34号）、财政部《关于印发&lt;项目支出绩效评价管理办法&gt;的通知》（财预〔2020〕10号）、《中共青海省委 青海省人民政府关于全面实施预算绩效管理的实施意见》（青发〔2019〕11号）</w:t>
      </w:r>
      <w:r>
        <w:rPr>
          <w:rFonts w:hint="eastAsia" w:ascii="仿宋_GB2312" w:hAnsi="仿宋_GB2312" w:eastAsia="仿宋_GB2312" w:cs="仿宋_GB2312"/>
          <w:b w:val="0"/>
          <w:color w:val="auto"/>
          <w:kern w:val="2"/>
          <w:sz w:val="32"/>
          <w:szCs w:val="24"/>
          <w:highlight w:val="none"/>
          <w:lang w:val="en-US" w:eastAsia="zh-CN" w:bidi="ar-SA"/>
        </w:rPr>
        <w:t>等文件，从预算绩效管理入手，加强绩效目标管理，明确绩效目标管理内容，抓好绩效目标管理重点，提高绩效目标设定能力。编制的绩效目标要能够清晰反映项目实施所达到的预期效果，并按照定量和定性相结合的要求设定绩效指标，着重突出产出、成本、效益、可持续影响力和服务对象满意度等核心绩效指标，尽可能做到量化细化、可衡量、可对比，提高项目支出的计划性，推动项目管理的科学性和规范性。</w:t>
      </w:r>
    </w:p>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color w:val="auto"/>
          <w:kern w:val="2"/>
          <w:sz w:val="32"/>
          <w:szCs w:val="24"/>
          <w:highlight w:val="none"/>
          <w:lang w:val="en-US" w:eastAsia="zh-CN" w:bidi="ar-SA"/>
        </w:rPr>
      </w:pPr>
      <w:bookmarkStart w:id="558" w:name="_Toc30249"/>
      <w:bookmarkStart w:id="559" w:name="_Toc8270"/>
      <w:bookmarkStart w:id="560" w:name="_Toc31447"/>
      <w:r>
        <w:rPr>
          <w:rFonts w:hint="eastAsia" w:ascii="楷体_GB2312" w:hAnsi="楷体_GB2312" w:eastAsia="楷体_GB2312" w:cs="楷体_GB2312"/>
          <w:b/>
          <w:color w:val="auto"/>
          <w:kern w:val="2"/>
          <w:sz w:val="32"/>
          <w:szCs w:val="24"/>
          <w:highlight w:val="none"/>
          <w:lang w:val="en-US" w:eastAsia="zh-CN" w:bidi="ar-SA"/>
        </w:rPr>
        <w:t>（二）</w:t>
      </w:r>
      <w:bookmarkEnd w:id="558"/>
      <w:r>
        <w:rPr>
          <w:rFonts w:hint="eastAsia" w:ascii="楷体_GB2312" w:hAnsi="楷体_GB2312" w:eastAsia="楷体_GB2312" w:cs="楷体_GB2312"/>
          <w:b/>
          <w:color w:val="auto"/>
          <w:kern w:val="2"/>
          <w:sz w:val="32"/>
          <w:szCs w:val="24"/>
          <w:highlight w:val="none"/>
          <w:lang w:val="en-US" w:eastAsia="zh-CN" w:bidi="ar-SA"/>
        </w:rPr>
        <w:t>加强项目监管，确保施工进度，及时完成工程施工</w:t>
      </w:r>
      <w:bookmarkEnd w:id="559"/>
      <w:bookmarkEnd w:id="560"/>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 w:val="0"/>
          <w:color w:val="auto"/>
          <w:kern w:val="2"/>
          <w:sz w:val="32"/>
          <w:szCs w:val="24"/>
          <w:highlight w:val="none"/>
          <w:lang w:val="en-US" w:eastAsia="zh-CN" w:bidi="ar-SA"/>
        </w:rPr>
      </w:pPr>
      <w:r>
        <w:rPr>
          <w:rFonts w:hint="eastAsia" w:ascii="仿宋_GB2312" w:hAnsi="仿宋_GB2312" w:eastAsia="仿宋_GB2312" w:cs="仿宋_GB2312"/>
          <w:b w:val="0"/>
          <w:color w:val="auto"/>
          <w:kern w:val="2"/>
          <w:sz w:val="32"/>
          <w:szCs w:val="24"/>
          <w:highlight w:val="none"/>
          <w:lang w:val="en-US" w:eastAsia="zh-CN" w:bidi="ar-SA"/>
        </w:rPr>
        <w:t>建议项目</w:t>
      </w:r>
      <w:r>
        <w:rPr>
          <w:rFonts w:hint="eastAsia" w:cs="仿宋_GB2312"/>
          <w:b w:val="0"/>
          <w:color w:val="auto"/>
          <w:kern w:val="2"/>
          <w:sz w:val="32"/>
          <w:szCs w:val="24"/>
          <w:highlight w:val="none"/>
          <w:lang w:val="en-US" w:eastAsia="zh-CN" w:bidi="ar-SA"/>
        </w:rPr>
        <w:t>实施单位在以后年度项目实施中，加强对施工单位和监理单位的督导监管，督促施工单位严格按照中标通知书及合同协议书中规定的工期时限及时完成工程施工，监理单位根据监理细则对工程施工质量、进度等进行管理，充分发挥监理职责，确保项目按时完工。</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3" w:firstLineChars="200"/>
        <w:textAlignment w:val="auto"/>
        <w:rPr>
          <w:rFonts w:hint="eastAsia" w:ascii="楷体_GB2312" w:hAnsi="楷体_GB2312" w:eastAsia="楷体_GB2312" w:cs="楷体_GB2312"/>
          <w:b/>
          <w:color w:val="auto"/>
          <w:kern w:val="2"/>
          <w:sz w:val="32"/>
          <w:szCs w:val="24"/>
          <w:highlight w:val="none"/>
          <w:lang w:val="en-US" w:eastAsia="zh-CN" w:bidi="ar-SA"/>
        </w:rPr>
      </w:pPr>
      <w:r>
        <w:rPr>
          <w:rFonts w:hint="eastAsia" w:ascii="楷体_GB2312" w:hAnsi="楷体_GB2312" w:eastAsia="楷体_GB2312" w:cs="楷体_GB2312"/>
          <w:b/>
          <w:color w:val="auto"/>
          <w:kern w:val="2"/>
          <w:sz w:val="32"/>
          <w:szCs w:val="24"/>
          <w:highlight w:val="none"/>
          <w:lang w:val="en-US" w:eastAsia="zh-CN" w:bidi="ar-SA"/>
        </w:rPr>
        <w:t>（三）严控交货时间，及时开展设备验收</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 w:val="0"/>
          <w:color w:val="auto"/>
          <w:kern w:val="2"/>
          <w:sz w:val="32"/>
          <w:szCs w:val="24"/>
          <w:highlight w:val="none"/>
          <w:lang w:val="en-US" w:eastAsia="zh-CN" w:bidi="ar-SA"/>
        </w:rPr>
      </w:pPr>
      <w:r>
        <w:rPr>
          <w:rFonts w:hint="eastAsia" w:ascii="仿宋_GB2312" w:hAnsi="仿宋_GB2312" w:eastAsia="仿宋_GB2312" w:cs="仿宋_GB2312"/>
          <w:b w:val="0"/>
          <w:color w:val="auto"/>
          <w:kern w:val="2"/>
          <w:sz w:val="32"/>
          <w:szCs w:val="24"/>
          <w:highlight w:val="none"/>
          <w:lang w:val="en-US" w:eastAsia="zh-CN" w:bidi="ar-SA"/>
        </w:rPr>
        <w:t>建议项目</w:t>
      </w:r>
      <w:r>
        <w:rPr>
          <w:rFonts w:hint="eastAsia" w:cs="仿宋_GB2312"/>
          <w:b w:val="0"/>
          <w:color w:val="auto"/>
          <w:kern w:val="2"/>
          <w:sz w:val="32"/>
          <w:szCs w:val="24"/>
          <w:highlight w:val="none"/>
          <w:lang w:val="en-US" w:eastAsia="zh-CN" w:bidi="ar-SA"/>
        </w:rPr>
        <w:t>实施单位在以后年度实施政府采购项目时，要求供应商严格按照合同约定的供货时间，及时供货交付使用，对延期交货情况事先在合同中明确规定逾期交货处罚方式，在供应商交货后，采购方</w:t>
      </w:r>
      <w:r>
        <w:rPr>
          <w:rFonts w:hint="eastAsia" w:ascii="仿宋_GB2312" w:hAnsi="仿宋_GB2312" w:eastAsia="仿宋_GB2312" w:cs="仿宋_GB2312"/>
          <w:b w:val="0"/>
          <w:color w:val="auto"/>
          <w:kern w:val="2"/>
          <w:sz w:val="32"/>
          <w:szCs w:val="24"/>
          <w:highlight w:val="none"/>
          <w:lang w:val="en-US" w:eastAsia="zh-CN" w:bidi="ar-SA"/>
        </w:rPr>
        <w:t>及时组织开展</w:t>
      </w:r>
      <w:r>
        <w:rPr>
          <w:rFonts w:hint="eastAsia" w:cs="仿宋_GB2312"/>
          <w:b w:val="0"/>
          <w:color w:val="auto"/>
          <w:kern w:val="2"/>
          <w:sz w:val="32"/>
          <w:szCs w:val="24"/>
          <w:highlight w:val="none"/>
          <w:lang w:val="en-US" w:eastAsia="zh-CN" w:bidi="ar-SA"/>
        </w:rPr>
        <w:t>设备</w:t>
      </w:r>
      <w:r>
        <w:rPr>
          <w:rFonts w:hint="eastAsia" w:ascii="仿宋_GB2312" w:hAnsi="仿宋_GB2312" w:eastAsia="仿宋_GB2312" w:cs="仿宋_GB2312"/>
          <w:b w:val="0"/>
          <w:color w:val="auto"/>
          <w:kern w:val="2"/>
          <w:sz w:val="32"/>
          <w:szCs w:val="24"/>
          <w:highlight w:val="none"/>
          <w:lang w:val="en-US" w:eastAsia="zh-CN" w:bidi="ar-SA"/>
        </w:rPr>
        <w:t>验收，保障设备及时投入使用。</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Style w:val="18"/>
          <w:rFonts w:hint="eastAsia" w:cs="Times New Roman"/>
          <w:color w:val="auto"/>
          <w:highlight w:val="none"/>
          <w:lang w:val="en-US" w:eastAsia="zh-CN"/>
        </w:rPr>
      </w:pPr>
      <w:bookmarkStart w:id="561" w:name="_Toc21552"/>
      <w:r>
        <w:rPr>
          <w:rFonts w:hint="eastAsia" w:ascii="仿宋_GB2312" w:hAnsi="仿宋_GB2312" w:eastAsia="仿宋_GB2312" w:cs="仿宋_GB2312"/>
          <w:b w:val="0"/>
          <w:color w:val="auto"/>
          <w:kern w:val="2"/>
          <w:sz w:val="32"/>
          <w:szCs w:val="24"/>
          <w:highlight w:val="none"/>
          <w:lang w:val="en-US" w:eastAsia="zh-CN" w:bidi="ar-SA"/>
        </w:rPr>
        <w:fldChar w:fldCharType="end"/>
      </w:r>
      <w:bookmarkEnd w:id="561"/>
      <w:bookmarkStart w:id="562" w:name="_Toc675"/>
      <w:bookmarkStart w:id="563" w:name="_Toc32435"/>
      <w:r>
        <w:rPr>
          <w:rStyle w:val="18"/>
          <w:rFonts w:hint="eastAsia" w:cs="Times New Roman"/>
          <w:color w:val="auto"/>
          <w:highlight w:val="none"/>
          <w:lang w:val="en-US" w:eastAsia="zh-CN"/>
        </w:rPr>
        <w:t>九、需要说明的问题</w:t>
      </w:r>
      <w:bookmarkEnd w:id="562"/>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firstLine="640" w:firstLineChars="200"/>
        <w:jc w:val="both"/>
        <w:textAlignment w:val="auto"/>
        <w:outlineLvl w:val="1"/>
        <w:rPr>
          <w:rFonts w:hint="default" w:ascii="仿宋_GB2312" w:hAnsi="仿宋_GB2312" w:eastAsia="仿宋_GB2312" w:cs="仿宋_GB2312"/>
          <w:b w:val="0"/>
          <w:color w:val="auto"/>
          <w:kern w:val="2"/>
          <w:sz w:val="32"/>
          <w:szCs w:val="24"/>
          <w:highlight w:val="none"/>
          <w:lang w:val="en-US" w:eastAsia="zh-CN" w:bidi="ar-SA"/>
        </w:rPr>
      </w:pPr>
      <w:bookmarkStart w:id="564" w:name="_Toc9906"/>
      <w:bookmarkStart w:id="565" w:name="_Toc10172"/>
      <w:r>
        <w:rPr>
          <w:rFonts w:hint="eastAsia" w:ascii="仿宋_GB2312" w:hAnsi="仿宋_GB2312" w:eastAsia="仿宋_GB2312" w:cs="仿宋_GB2312"/>
          <w:b w:val="0"/>
          <w:color w:val="auto"/>
          <w:kern w:val="2"/>
          <w:sz w:val="32"/>
          <w:szCs w:val="24"/>
          <w:highlight w:val="none"/>
          <w:lang w:val="en-US" w:eastAsia="zh-CN" w:bidi="ar-SA"/>
        </w:rPr>
        <w:t>1.因受新冠疫情影响</w:t>
      </w:r>
      <w:r>
        <w:rPr>
          <w:rFonts w:hint="eastAsia" w:ascii="Times New Roman" w:hAnsi="Times New Roman" w:eastAsia="仿宋_GB2312" w:cs="Times New Roman"/>
          <w:b w:val="0"/>
          <w:bCs/>
          <w:color w:val="auto"/>
          <w:sz w:val="32"/>
          <w:szCs w:val="32"/>
          <w:highlight w:val="none"/>
          <w:lang w:val="en-US" w:eastAsia="zh-CN"/>
        </w:rPr>
        <w:t>，2021年10月份</w:t>
      </w:r>
      <w:r>
        <w:rPr>
          <w:rFonts w:hint="eastAsia" w:ascii="仿宋_GB2312" w:hAnsi="仿宋_GB2312" w:eastAsia="仿宋_GB2312" w:cs="仿宋_GB2312"/>
          <w:b w:val="0"/>
          <w:color w:val="auto"/>
          <w:kern w:val="2"/>
          <w:sz w:val="32"/>
          <w:szCs w:val="24"/>
          <w:highlight w:val="none"/>
          <w:lang w:val="en-US" w:eastAsia="zh-CN" w:bidi="ar-SA"/>
        </w:rPr>
        <w:t>至今老年日间照料中心暂停服务，后期随着疫情形势好转，社区可在严格落实当地疫情防控政策的前提下，做好老年日间照料中心日常运转工作，及时为老人提供所需服务。</w:t>
      </w:r>
      <w:bookmarkEnd w:id="564"/>
      <w:bookmarkEnd w:id="565"/>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firstLine="640" w:firstLineChars="200"/>
        <w:jc w:val="both"/>
        <w:textAlignment w:val="auto"/>
        <w:outlineLvl w:val="1"/>
        <w:rPr>
          <w:rFonts w:hint="default" w:ascii="仿宋_GB2312" w:hAnsi="仿宋_GB2312" w:eastAsia="仿宋_GB2312" w:cs="仿宋_GB2312"/>
          <w:b w:val="0"/>
          <w:color w:val="auto"/>
          <w:kern w:val="2"/>
          <w:sz w:val="32"/>
          <w:szCs w:val="24"/>
          <w:highlight w:val="none"/>
          <w:lang w:val="en-US" w:eastAsia="zh-CN" w:bidi="ar-SA"/>
        </w:rPr>
      </w:pPr>
      <w:bookmarkStart w:id="566" w:name="_Toc9002"/>
      <w:bookmarkStart w:id="567" w:name="_Toc26916"/>
      <w:bookmarkStart w:id="568" w:name="_Toc12201"/>
      <w:r>
        <w:rPr>
          <w:rFonts w:hint="eastAsia" w:ascii="仿宋_GB2312" w:hAnsi="仿宋_GB2312" w:eastAsia="仿宋_GB2312" w:cs="仿宋_GB2312"/>
          <w:b w:val="0"/>
          <w:color w:val="auto"/>
          <w:kern w:val="2"/>
          <w:sz w:val="32"/>
          <w:szCs w:val="24"/>
          <w:highlight w:val="none"/>
          <w:lang w:val="en-US" w:eastAsia="zh-CN" w:bidi="ar-SA"/>
        </w:rPr>
        <w:t>2.目前老年日间照料中心室内装修工程及设备购置均已完工验收，待后期项目完成竣工决算审计后，项目实施单位及时与所属社区（街道）共同做好固定资产移交及管理工作，防止国有资产流失，确保固定资产充分发挥效益。</w:t>
      </w:r>
      <w:bookmarkEnd w:id="566"/>
      <w:bookmarkEnd w:id="567"/>
    </w:p>
    <w:p>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76" w:lineRule="exact"/>
        <w:ind w:left="0" w:leftChars="0" w:firstLine="643" w:firstLineChars="200"/>
        <w:jc w:val="both"/>
        <w:textAlignment w:val="auto"/>
        <w:outlineLvl w:val="1"/>
        <w:rPr>
          <w:rFonts w:hint="eastAsia" w:ascii="黑体" w:hAnsi="黑体" w:eastAsia="黑体" w:cs="黑体"/>
          <w:b/>
          <w:bCs/>
          <w:color w:val="auto"/>
          <w:kern w:val="44"/>
          <w:sz w:val="32"/>
          <w:szCs w:val="32"/>
          <w:highlight w:val="none"/>
          <w:lang w:val="en-US" w:eastAsia="zh-CN" w:bidi="ar-SA"/>
        </w:rPr>
      </w:pPr>
      <w:bookmarkStart w:id="569" w:name="_Toc27851"/>
      <w:bookmarkStart w:id="570" w:name="_Toc23415"/>
      <w:r>
        <w:rPr>
          <w:rFonts w:hint="eastAsia" w:ascii="黑体" w:hAnsi="黑体" w:eastAsia="黑体" w:cs="黑体"/>
          <w:b/>
          <w:bCs/>
          <w:color w:val="auto"/>
          <w:kern w:val="44"/>
          <w:sz w:val="32"/>
          <w:szCs w:val="32"/>
          <w:highlight w:val="none"/>
          <w:lang w:val="en-US" w:eastAsia="zh-CN" w:bidi="ar-SA"/>
        </w:rPr>
        <w:t>十、其他</w:t>
      </w:r>
      <w:r>
        <w:rPr>
          <w:rFonts w:hint="eastAsia" w:ascii="黑体" w:hAnsi="黑体" w:eastAsia="黑体" w:cs="黑体"/>
          <w:b/>
          <w:bCs/>
          <w:color w:val="auto"/>
          <w:kern w:val="44"/>
          <w:sz w:val="32"/>
          <w:szCs w:val="32"/>
          <w:highlight w:val="none"/>
          <w:lang w:val="en-US" w:eastAsia="zh-CN" w:bidi="ar-SA"/>
        </w:rPr>
        <w:fldChar w:fldCharType="begin"/>
      </w:r>
      <w:r>
        <w:rPr>
          <w:rFonts w:hint="eastAsia" w:ascii="黑体" w:hAnsi="黑体" w:eastAsia="黑体" w:cs="黑体"/>
          <w:b/>
          <w:bCs/>
          <w:color w:val="auto"/>
          <w:kern w:val="44"/>
          <w:sz w:val="32"/>
          <w:szCs w:val="32"/>
          <w:highlight w:val="none"/>
          <w:lang w:val="en-US" w:eastAsia="zh-CN" w:bidi="ar-SA"/>
        </w:rPr>
        <w:instrText xml:space="preserve"> HYPERLINK \l _Toc1632 </w:instrText>
      </w:r>
      <w:r>
        <w:rPr>
          <w:rFonts w:hint="eastAsia" w:ascii="黑体" w:hAnsi="黑体" w:eastAsia="黑体" w:cs="黑体"/>
          <w:b/>
          <w:bCs/>
          <w:color w:val="auto"/>
          <w:kern w:val="44"/>
          <w:sz w:val="32"/>
          <w:szCs w:val="32"/>
          <w:highlight w:val="none"/>
          <w:lang w:val="en-US" w:eastAsia="zh-CN" w:bidi="ar-SA"/>
        </w:rPr>
        <w:fldChar w:fldCharType="separate"/>
      </w:r>
      <w:r>
        <w:rPr>
          <w:rFonts w:hint="eastAsia" w:ascii="黑体" w:hAnsi="黑体" w:eastAsia="黑体" w:cs="黑体"/>
          <w:b/>
          <w:bCs/>
          <w:color w:val="auto"/>
          <w:kern w:val="44"/>
          <w:sz w:val="32"/>
          <w:szCs w:val="32"/>
          <w:highlight w:val="none"/>
          <w:lang w:val="en-US" w:eastAsia="zh-CN" w:bidi="ar-SA"/>
        </w:rPr>
        <w:t>附件</w:t>
      </w:r>
      <w:r>
        <w:rPr>
          <w:rFonts w:hint="eastAsia" w:ascii="黑体" w:hAnsi="黑体" w:eastAsia="黑体" w:cs="黑体"/>
          <w:b/>
          <w:bCs/>
          <w:color w:val="auto"/>
          <w:kern w:val="44"/>
          <w:sz w:val="32"/>
          <w:szCs w:val="32"/>
          <w:highlight w:val="none"/>
          <w:lang w:val="en-US" w:eastAsia="zh-CN" w:bidi="ar-SA"/>
        </w:rPr>
        <w:fldChar w:fldCharType="end"/>
      </w:r>
      <w:bookmarkEnd w:id="563"/>
      <w:bookmarkEnd w:id="568"/>
      <w:bookmarkEnd w:id="569"/>
      <w:bookmarkEnd w:id="570"/>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fldChar w:fldCharType="begin"/>
      </w:r>
      <w:r>
        <w:rPr>
          <w:rFonts w:hint="eastAsia" w:ascii="仿宋_GB2312" w:hAnsi="仿宋_GB2312" w:eastAsia="仿宋_GB2312" w:cs="仿宋_GB2312"/>
          <w:color w:val="auto"/>
          <w:kern w:val="2"/>
          <w:sz w:val="32"/>
          <w:szCs w:val="32"/>
          <w:highlight w:val="none"/>
          <w:lang w:val="en-US" w:eastAsia="zh-CN" w:bidi="ar-SA"/>
        </w:rPr>
        <w:instrText xml:space="preserve"> HYPERLINK \l "_Toc28958" </w:instrText>
      </w:r>
      <w:r>
        <w:rPr>
          <w:rFonts w:hint="eastAsia" w:ascii="仿宋_GB2312" w:hAnsi="仿宋_GB2312" w:eastAsia="仿宋_GB2312" w:cs="仿宋_GB2312"/>
          <w:color w:val="auto"/>
          <w:kern w:val="2"/>
          <w:sz w:val="32"/>
          <w:szCs w:val="32"/>
          <w:highlight w:val="none"/>
          <w:lang w:val="en-US" w:eastAsia="zh-CN" w:bidi="ar-SA"/>
        </w:rPr>
        <w:fldChar w:fldCharType="separate"/>
      </w:r>
      <w:r>
        <w:rPr>
          <w:rFonts w:hint="eastAsia" w:ascii="仿宋_GB2312" w:hAnsi="仿宋_GB2312" w:eastAsia="仿宋_GB2312" w:cs="仿宋_GB2312"/>
          <w:color w:val="auto"/>
          <w:kern w:val="2"/>
          <w:sz w:val="32"/>
          <w:szCs w:val="32"/>
          <w:highlight w:val="none"/>
          <w:lang w:val="en-US" w:eastAsia="zh-CN" w:bidi="ar-SA"/>
        </w:rPr>
        <w:t>附件1 绩效评价指标体系</w:t>
      </w:r>
      <w:r>
        <w:rPr>
          <w:rFonts w:hint="eastAsia" w:ascii="仿宋_GB2312" w:hAnsi="仿宋_GB2312" w:eastAsia="仿宋_GB2312" w:cs="仿宋_GB2312"/>
          <w:color w:val="auto"/>
          <w:kern w:val="2"/>
          <w:sz w:val="32"/>
          <w:szCs w:val="32"/>
          <w:highlight w:val="none"/>
          <w:lang w:val="en-US" w:eastAsia="zh-CN" w:bidi="ar-SA"/>
        </w:rPr>
        <w:fldChar w:fldCharType="end"/>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ascii="楷体" w:hAnsi="楷体" w:eastAsia="楷体" w:cs="宋体"/>
          <w:b/>
          <w:color w:val="auto"/>
          <w:szCs w:val="28"/>
          <w:highlight w:val="none"/>
        </w:rPr>
      </w:pPr>
      <w:r>
        <w:rPr>
          <w:rFonts w:hint="eastAsia" w:ascii="仿宋_GB2312" w:hAnsi="仿宋_GB2312" w:eastAsia="仿宋_GB2312" w:cs="仿宋_GB2312"/>
          <w:color w:val="auto"/>
          <w:kern w:val="2"/>
          <w:sz w:val="32"/>
          <w:szCs w:val="32"/>
          <w:highlight w:val="none"/>
          <w:lang w:val="en-US" w:eastAsia="zh-CN" w:bidi="ar-SA"/>
        </w:rPr>
        <w:t>附件2 项目</w:t>
      </w:r>
      <w:r>
        <w:rPr>
          <w:rFonts w:hint="eastAsia" w:cs="仿宋_GB2312"/>
          <w:color w:val="auto"/>
          <w:kern w:val="2"/>
          <w:sz w:val="32"/>
          <w:szCs w:val="32"/>
          <w:highlight w:val="none"/>
          <w:lang w:val="en-US" w:eastAsia="zh-CN" w:bidi="ar-SA"/>
        </w:rPr>
        <w:t>基本</w:t>
      </w:r>
      <w:r>
        <w:rPr>
          <w:rFonts w:hint="eastAsia" w:ascii="仿宋_GB2312" w:hAnsi="仿宋_GB2312" w:eastAsia="仿宋_GB2312" w:cs="仿宋_GB2312"/>
          <w:color w:val="auto"/>
          <w:kern w:val="2"/>
          <w:sz w:val="32"/>
          <w:szCs w:val="32"/>
          <w:highlight w:val="none"/>
          <w:lang w:val="en-US" w:eastAsia="zh-CN" w:bidi="ar-SA"/>
        </w:rPr>
        <w:t>情况表</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附件</w:t>
      </w:r>
      <w:r>
        <w:rPr>
          <w:rFonts w:hint="eastAsia" w:cs="仿宋_GB2312"/>
          <w:color w:val="auto"/>
          <w:kern w:val="2"/>
          <w:sz w:val="32"/>
          <w:szCs w:val="32"/>
          <w:highlight w:val="none"/>
          <w:lang w:val="en-US" w:eastAsia="zh-CN" w:bidi="ar-SA"/>
        </w:rPr>
        <w:t>3</w:t>
      </w:r>
      <w:r>
        <w:rPr>
          <w:rFonts w:hint="eastAsia" w:ascii="仿宋_GB2312" w:hAnsi="仿宋_GB2312" w:eastAsia="仿宋_GB2312" w:cs="仿宋_GB2312"/>
          <w:color w:val="auto"/>
          <w:kern w:val="2"/>
          <w:sz w:val="32"/>
          <w:szCs w:val="32"/>
          <w:highlight w:val="none"/>
          <w:lang w:val="en-US" w:eastAsia="zh-CN" w:bidi="ar-SA"/>
        </w:rPr>
        <w:t xml:space="preserve"> </w:t>
      </w:r>
      <w:r>
        <w:rPr>
          <w:rFonts w:hint="eastAsia" w:cs="仿宋_GB2312"/>
          <w:color w:val="auto"/>
          <w:kern w:val="2"/>
          <w:sz w:val="32"/>
          <w:szCs w:val="32"/>
          <w:highlight w:val="none"/>
          <w:lang w:val="en-US" w:eastAsia="zh-CN" w:bidi="ar-SA"/>
        </w:rPr>
        <w:t>资金基本情况表</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b w:val="0"/>
          <w:bCs w:val="0"/>
          <w:color w:val="auto"/>
          <w:kern w:val="0"/>
          <w:sz w:val="32"/>
          <w:szCs w:val="32"/>
          <w:highlight w:val="none"/>
          <w:lang w:val="en-US" w:eastAsia="zh-CN" w:bidi="ar-SA"/>
        </w:rPr>
      </w:pPr>
      <w:r>
        <w:rPr>
          <w:rFonts w:hint="eastAsia" w:cs="仿宋_GB2312"/>
          <w:b w:val="0"/>
          <w:bCs w:val="0"/>
          <w:color w:val="auto"/>
          <w:kern w:val="0"/>
          <w:sz w:val="32"/>
          <w:szCs w:val="32"/>
          <w:highlight w:val="none"/>
          <w:lang w:val="en-US" w:eastAsia="zh-CN" w:bidi="ar-SA"/>
        </w:rPr>
        <w:t xml:space="preserve">附件4 </w:t>
      </w:r>
      <w:r>
        <w:rPr>
          <w:rFonts w:hint="eastAsia" w:cs="仿宋_GB2312"/>
          <w:color w:val="auto"/>
          <w:kern w:val="2"/>
          <w:sz w:val="32"/>
          <w:szCs w:val="32"/>
          <w:highlight w:val="none"/>
          <w:lang w:val="en-US" w:eastAsia="zh-CN" w:bidi="ar-SA"/>
        </w:rPr>
        <w:t>问卷调查满意度分析</w:t>
      </w:r>
    </w:p>
    <w:p>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b w:val="0"/>
          <w:bCs w:val="0"/>
          <w:color w:val="auto"/>
          <w:kern w:val="0"/>
          <w:sz w:val="32"/>
          <w:szCs w:val="32"/>
          <w:highlight w:val="none"/>
          <w:lang w:val="en-US" w:eastAsia="zh-CN" w:bidi="ar-SA"/>
        </w:rPr>
      </w:pPr>
      <w:r>
        <w:rPr>
          <w:rFonts w:hint="eastAsia" w:cs="仿宋_GB2312"/>
          <w:b w:val="0"/>
          <w:bCs w:val="0"/>
          <w:color w:val="auto"/>
          <w:kern w:val="0"/>
          <w:sz w:val="32"/>
          <w:szCs w:val="32"/>
          <w:highlight w:val="none"/>
          <w:lang w:val="en-US" w:eastAsia="zh-CN" w:bidi="ar-SA"/>
        </w:rPr>
        <w:t>附件5 主评人资质证书</w:t>
      </w:r>
    </w:p>
    <w:p>
      <w:pPr>
        <w:keepNext w:val="0"/>
        <w:keepLines w:val="0"/>
        <w:pageBreakBefore w:val="0"/>
        <w:widowControl w:val="0"/>
        <w:shd w:val="clear" w:color="auto" w:fill="auto"/>
        <w:kinsoku/>
        <w:overflowPunct/>
        <w:topLinePunct w:val="0"/>
        <w:autoSpaceDE/>
        <w:autoSpaceDN/>
        <w:bidi w:val="0"/>
        <w:spacing w:line="576" w:lineRule="exact"/>
        <w:ind w:left="0" w:leftChars="0"/>
        <w:rPr>
          <w:color w:val="auto"/>
          <w:highlight w:val="none"/>
        </w:rPr>
        <w:sectPr>
          <w:footerReference r:id="rId28" w:type="default"/>
          <w:pgSz w:w="11906" w:h="16838"/>
          <w:pgMar w:top="2098" w:right="1474" w:bottom="1984" w:left="1587" w:header="851" w:footer="722" w:gutter="0"/>
          <w:pgBorders>
            <w:top w:val="none" w:sz="0" w:space="0"/>
            <w:left w:val="none" w:sz="0" w:space="0"/>
            <w:bottom w:val="none" w:sz="0" w:space="0"/>
            <w:right w:val="none" w:sz="0" w:space="0"/>
          </w:pgBorders>
          <w:pgNumType w:fmt="numberInDash"/>
          <w:cols w:space="720" w:num="1"/>
          <w:docGrid w:type="lines" w:linePitch="435" w:charSpace="0"/>
        </w:sectPr>
      </w:pP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outlineLvl w:val="0"/>
        <w:rPr>
          <w:rFonts w:ascii="宋体" w:hAnsi="宋体" w:eastAsia="宋体" w:cs="宋体"/>
          <w:b/>
          <w:color w:val="auto"/>
          <w:sz w:val="24"/>
          <w:szCs w:val="28"/>
          <w:highlight w:val="none"/>
        </w:rPr>
      </w:pPr>
      <w:bookmarkStart w:id="571" w:name="_Toc2476"/>
      <w:bookmarkStart w:id="572" w:name="_Toc3744"/>
      <w:bookmarkStart w:id="573" w:name="_Toc5834"/>
      <w:bookmarkStart w:id="574" w:name="_Toc18689"/>
      <w:r>
        <w:rPr>
          <w:rFonts w:hint="eastAsia" w:ascii="楷体" w:hAnsi="楷体" w:eastAsia="楷体" w:cs="宋体"/>
          <w:b/>
          <w:color w:val="auto"/>
          <w:szCs w:val="28"/>
          <w:highlight w:val="none"/>
        </w:rPr>
        <w:t>附件1</w:t>
      </w:r>
      <w:r>
        <w:rPr>
          <w:rFonts w:hint="eastAsia" w:ascii="楷体" w:hAnsi="楷体" w:eastAsia="楷体" w:cs="宋体"/>
          <w:b/>
          <w:color w:val="auto"/>
          <w:szCs w:val="28"/>
          <w:highlight w:val="none"/>
          <w:lang w:val="en-US" w:eastAsia="zh-CN"/>
        </w:rPr>
        <w:t xml:space="preserve"> </w:t>
      </w:r>
      <w:r>
        <w:rPr>
          <w:rFonts w:hint="eastAsia" w:ascii="楷体" w:hAnsi="楷体" w:eastAsia="楷体" w:cs="宋体"/>
          <w:b/>
          <w:color w:val="auto"/>
          <w:szCs w:val="28"/>
          <w:highlight w:val="none"/>
        </w:rPr>
        <w:t>绩效评价指标体系</w:t>
      </w:r>
      <w:bookmarkEnd w:id="571"/>
      <w:bookmarkEnd w:id="572"/>
      <w:bookmarkEnd w:id="573"/>
      <w:bookmarkEnd w:id="574"/>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cs="Times New Roman"/>
          <w:color w:val="auto"/>
          <w:highlight w:val="none"/>
        </w:rPr>
      </w:pPr>
      <w:r>
        <w:rPr>
          <w:rFonts w:hint="eastAsia" w:ascii="宋体" w:hAnsi="宋体" w:eastAsia="宋体" w:cs="宋体"/>
          <w:b/>
          <w:color w:val="auto"/>
          <w:kern w:val="0"/>
          <w:sz w:val="28"/>
          <w:szCs w:val="28"/>
          <w:highlight w:val="none"/>
          <w:lang w:val="en-US" w:eastAsia="zh-CN"/>
        </w:rPr>
        <w:t>西宁市城中区福禄巷南社区老年日间照料中心装修及设备购置项目</w:t>
      </w:r>
      <w:r>
        <w:rPr>
          <w:rFonts w:hint="eastAsia" w:ascii="宋体" w:hAnsi="宋体" w:eastAsia="宋体" w:cs="宋体"/>
          <w:b/>
          <w:color w:val="auto"/>
          <w:sz w:val="28"/>
          <w:szCs w:val="28"/>
          <w:highlight w:val="none"/>
        </w:rPr>
        <w:t>绩</w:t>
      </w:r>
      <w:r>
        <w:rPr>
          <w:rFonts w:hint="eastAsia" w:ascii="宋体" w:hAnsi="宋体" w:eastAsia="宋体" w:cs="宋体"/>
          <w:b/>
          <w:color w:val="auto"/>
          <w:kern w:val="0"/>
          <w:sz w:val="28"/>
          <w:szCs w:val="28"/>
          <w:highlight w:val="none"/>
        </w:rPr>
        <w:t>效评价指标体系</w:t>
      </w:r>
    </w:p>
    <w:tbl>
      <w:tblPr>
        <w:tblStyle w:val="13"/>
        <w:tblW w:w="49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770"/>
        <w:gridCol w:w="1229"/>
        <w:gridCol w:w="814"/>
        <w:gridCol w:w="1185"/>
        <w:gridCol w:w="726"/>
        <w:gridCol w:w="2350"/>
        <w:gridCol w:w="5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blHeader/>
          <w:jc w:val="center"/>
        </w:trPr>
        <w:tc>
          <w:tcPr>
            <w:tcW w:w="322"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一级指标</w:t>
            </w:r>
          </w:p>
        </w:tc>
        <w:tc>
          <w:tcPr>
            <w:tcW w:w="277"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分值</w:t>
            </w:r>
          </w:p>
        </w:tc>
        <w:tc>
          <w:tcPr>
            <w:tcW w:w="442"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二级指标</w:t>
            </w:r>
          </w:p>
        </w:tc>
        <w:tc>
          <w:tcPr>
            <w:tcW w:w="293"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分值</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三级指标</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分值</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指标解释</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32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决策</w:t>
            </w:r>
          </w:p>
        </w:tc>
        <w:tc>
          <w:tcPr>
            <w:tcW w:w="277"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12</w:t>
            </w:r>
          </w:p>
        </w:tc>
        <w:tc>
          <w:tcPr>
            <w:tcW w:w="44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项目决策</w:t>
            </w:r>
          </w:p>
        </w:tc>
        <w:tc>
          <w:tcPr>
            <w:tcW w:w="293"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立项依据充分性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项目的申请、设立依据是否符合相关政策，用以反映和考核项目立项依据的充分情况。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①项目立项符合国家法律法规、国民经济发展规划和相关政策，得0.5分，否则整体不得分；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②项目立项符合行业发展规划和政策要求，得0.5分，否则不得分；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③项目立项与部门职责范围相符，属于部门履职所需，得0.5分，否则不得分；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④项目与相关部门同类项目或部门内部相关项目无重复，得0.5分，否则不得分。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项目立项规范性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项目的申请、设立过程是否符合相关要求，用以反映和考核项目立项的规范情况。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①项目按照规定的程序申请设立，得0.5分，否则此项指标不得分；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②审批文件、材料符合相关要求，得0.5分，否则不得分；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③事前已经过必要的可行性研究、专家论证、风险评估、绩效评估、集体决策，得1分，否则不得分。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4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绩效目标</w:t>
            </w:r>
          </w:p>
        </w:tc>
        <w:tc>
          <w:tcPr>
            <w:tcW w:w="293"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绩效目标合理性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项目所设定的绩效目标是否依据充分，是否符合客观实际，用以反映和考核项目绩效目标与项目实施的相符情况。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①项目有绩效目标，得0.5分，否则此项指标不得分；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②项目绩效目标与实际工作内容具有相关性，得0.5分，否则不得分；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③项目预期产出效益和效果符合正常的业绩水平，得0.5分，否则不得分；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④与预算确定的项目投资额或资金量相匹配，得0.5分，否则不得分。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绩效指标明确性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依据绩效目标设定的绩效指标是否清晰、细化、可衡量等，用以反映和考核项目绩效目标的明细化情况。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①将项目绩效目标细化分解为具体的绩效指标，得0.5分，否则不得分；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②通过清晰、可衡量的指标值予以体现，得1分，否则不得分；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③与项目目标任务数或计划数相对应，得0.5分，否则不得分。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资金投入</w:t>
            </w:r>
          </w:p>
        </w:tc>
        <w:tc>
          <w:tcPr>
            <w:tcW w:w="293"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预算编制科学性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845"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考核项目预算编制是否经过科学论证、有明确标准，资金额度与绩效目标是否相适应，用以反映和考核项目预算编制的科学性、合理性情况。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①项目预算编制经过科学论证，得0.5分，否则此项指标不得分；</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②项目预算内容与项目实际建设内容相匹配，得0.5分，否则不得分；</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③预算额度测算依据充分，得0.5分，否则不得分；</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④预算确定的项目投资额或资金量与工作任务相匹配，得0.5分，否则不得分。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资金到位率</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实际到位资金与预算资金的比率，用以反映和考核资金落实情况对项目实施的总体保障程度。</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资金到位率=实际到位资金/预算资金*100%；</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指标分值=资金到位率*指标满分值2分，指标得分不超过满分。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2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过程</w:t>
            </w:r>
          </w:p>
        </w:tc>
        <w:tc>
          <w:tcPr>
            <w:tcW w:w="277"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22</w:t>
            </w:r>
          </w:p>
        </w:tc>
        <w:tc>
          <w:tcPr>
            <w:tcW w:w="44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项目管理</w:t>
            </w:r>
          </w:p>
        </w:tc>
        <w:tc>
          <w:tcPr>
            <w:tcW w:w="293"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rPr>
              <w:t>16</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管理制度健全性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845"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考核项目管理制度和财务管理制度是否健全，反映对项目实施的保障情况。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①已制定或具有相应的项目管理、财务管理制度或办法，得1分，否则不得分。</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②项目各管理制度内容完整、明确且合法、合规，得1分，否则不得分。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采购招投标合规性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p>
        </w:tc>
        <w:tc>
          <w:tcPr>
            <w:tcW w:w="845"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考核项目招标采购申请的规范性、采购计划备案规范性、信息发布规范及时性、采购流程规范性等。</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①项目按照政府采购规定程序进行申请及备案或者审批，得1分，否则不得分；</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②按照招标程序制定招标采购计划、确定招标形式，有序开展招标工作，得1分，否则不得分；</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③按照政府采购法律法规及时发布招标采购项目信息并公示招标结果，得1分，否则不得分；</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④项目招标采购各项审批文件及资料完整合规，按照招标要求及时完成相关合同的签订，得1分，否则不得分。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26"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合同管理规范性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考核项目实施过程中各项合同其内容及要素是否明确、清晰。</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①合同签订：签订过程合法合规，签约双方与中标通知书相符、签约时间明确，得0.6分，否则不得分；</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②合同内容：各项合同内容完整明确，如履约期限、履约内容及双方权利义务和具体风险责任与措施等，得0.6分，否则不得分；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③严格按照约定履行合同，无合同纠纷，得0.6分，否则不得分；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④合同变更与终止：合同内容变更或终止按照相关程序执行且资料齐全，得0.2分，否则不得分。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26"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施工管理规范性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考核工程施工单位是否按照项目实施方案中的工程施工技术规范与要求等进行施工。</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①项目装修工程施工手续完整且条件具备，得1分，否则不得分；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②按照合同中的技术规范进行施工，施工过程中未有安全事故、环保事故发生，得1分，否则不得分。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监理管理规范性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考核监理工作的规范性，工程监理在项目时间管理、质量管理、风险管理方面的工作完成情况。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①工程监理根据合同规定对工程安全、质量、进度进行管理核查，得1分，否则不得分；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②及时提交工程监理报告并记录监理日志，内容完整且明确，得0.5分，否则不得分；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③对施工过程中发现的问题进行采取措施，并按要求督促施工单位及时整改，得0.5分，否则不得分。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26"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项目验收规范性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考核项目是否有规范的验收工作流程保障工程各项实施内容的质量，是否对各项验收中发现的问题进行及时整改。</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①依据国家及本单位相关验收文件进行工程质量及设备的验收工作，验收流程清晰，验收资料合规且完整，得1分，否则不得分；</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②对各项验收中发现的问题进行及时整改完善，并形成相关整改记录文件，得1分，否则不得分。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档案管理完整性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考核项目档案管理情况。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①建立项目档案，对项目资料进行归档整理，得1分，否则不得分；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②项目档案资料完整齐全、管理规范，得1分，否则不得分。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资金管理</w:t>
            </w:r>
          </w:p>
        </w:tc>
        <w:tc>
          <w:tcPr>
            <w:tcW w:w="293"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资金支出进度</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用以反映和考核资金支出是否按照项目实施工作进度和合同要求及时有序的支付。</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项目资金支付按照整体施工进度和合同约定及时有序的支付，得2分；每出现一项未按施工进度及合同约定及时支付资金的，扣0.5分，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资金使用合规性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项目资金使用是否符合相关的财务管理制度规定，用以反映和考核项目资金的规范运行情况。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①资金使用符合国家财经法规和财务管理制度以及有关专项资金管理办法的规定，得0.5分，否则不得分；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②资金的拨付有完整的审批程序和手续，得0.5分，否则不得分；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③资金使用符合项目预算批复或合同规定的用途，得0.5分，否则不得分；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④不存在截留、挤占、挪用、虚列支出等情况，得0.5分，否则不得分。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rPr>
              <w:t>财务管理规范性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反映和考核会计核算资料是否真实、完整、规范；项目实施单位对资金运行的控制情况。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①财务核算规范、符合行业要求，得1分，否则不得分；</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②会计信息真实、完整、凭证齐全，得1分，否则不得分。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32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产出</w:t>
            </w:r>
          </w:p>
        </w:tc>
        <w:tc>
          <w:tcPr>
            <w:tcW w:w="277"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34</w:t>
            </w:r>
          </w:p>
        </w:tc>
        <w:tc>
          <w:tcPr>
            <w:tcW w:w="44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数量</w:t>
            </w:r>
          </w:p>
        </w:tc>
        <w:tc>
          <w:tcPr>
            <w:tcW w:w="293"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10</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室内装修工程完工率</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社区老年日间照料中心室内装修改造完成情况。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室内装修工程完工率=实际改造内容/计划改造内容*100%；</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指标分值=室内装修工程完工率*指标满分值5分，指标得分不超过满分。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设备购置完成率</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社区老年日间照料中心电脑设备、办公家具、厨具及康复仪器等设备采购配置情况。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设备购置完成率=实际采购设备数量/计划采购设备数量*100%；</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指标分值=设备购置完成率*指标满分值5分，指标得分不超过满分。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质量</w:t>
            </w:r>
          </w:p>
        </w:tc>
        <w:tc>
          <w:tcPr>
            <w:tcW w:w="293"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10</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装修工程验收合格率</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p>
        </w:tc>
        <w:tc>
          <w:tcPr>
            <w:tcW w:w="845"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用以反映和考核社区老年日间照料中心室内装修改造工程验收质量合格情况。</w:t>
            </w:r>
          </w:p>
        </w:tc>
        <w:tc>
          <w:tcPr>
            <w:tcW w:w="2130"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①根据验收报告，室内装修工程验收合格率为100%，得2分；</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②现场检查3分，经现场勘查每发现一项不符合要求的，扣0.5分，扣完为止。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8"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采购设备质量合格率</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rPr>
              <w:t>5</w:t>
            </w:r>
          </w:p>
        </w:tc>
        <w:tc>
          <w:tcPr>
            <w:tcW w:w="845"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用以反映和考核为社区老年日间照料中心采购的电脑设备、办公家具、厨具及康复仪器等设备质量合格情况。</w:t>
            </w:r>
          </w:p>
        </w:tc>
        <w:tc>
          <w:tcPr>
            <w:tcW w:w="2130"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①根据验收报告，采购设备验收合格率为100%，得2分；</w:t>
            </w:r>
          </w:p>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②采购设备在实际使用过程中未出现质量问题，得3分，使用过程中每有一台出现质量故障问题的，扣0.5分，扣完为止。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时效</w:t>
            </w:r>
          </w:p>
        </w:tc>
        <w:tc>
          <w:tcPr>
            <w:tcW w:w="293"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8</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装修工程完工及时性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用以反映和考核社区老年日间照料中心室内装修工程改造完成及时情况。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装修工程按照实施方案计划及合同约定时限及时完成，得3分；每发现一项未按计划完成，但延期短未造成重要影响的，扣0.5分；延期时间较长且影响项目整体实施进度的，每发现一项，扣1分，扣完为止。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设备采购及时性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用以反映和考核社区老年日间照料中心配置的电脑设备、办公家具、厨具及康复仪器等设备采购及时性情况。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设备采购及时，得1.5分，否则不得分；供应商设备交付及时，得1.5分，否则不得分。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验收、竣工决算及时性</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用以反映和考核社区老年日间照料中心室内装修及设备购置项目验收、竣工决算及时情况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项目按照相关要求、规定及时进行工程完工及设备采购验收的，得3分；验收延期但时间短未造成重要影响，扣0.5分；延期验收时间较长且影响项目整体投入运营的，扣除1分。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32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成本</w:t>
            </w:r>
          </w:p>
        </w:tc>
        <w:tc>
          <w:tcPr>
            <w:tcW w:w="293"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成本节约率</w:t>
            </w:r>
          </w:p>
        </w:tc>
        <w:tc>
          <w:tcPr>
            <w:tcW w:w="261"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完成项目计划工作目标的实际节约成本与计划成本的比率，用以反映和考核项目的成本节约程度。</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成本节约率=[（计划成本-实际成本）/计划成本]×100%。</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实际成本：项目实施单位如期、保质、保量完成既定工作目标实际所耗费的支出。</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计划成本：项目实施单位为完成工作目标计划安排的支出，一般以项目预算为参考。</w:t>
            </w:r>
            <w:r>
              <w:rPr>
                <w:rFonts w:hint="eastAsia" w:ascii="宋体" w:hAnsi="宋体" w:eastAsia="宋体" w:cs="宋体"/>
                <w:color w:val="auto"/>
                <w:kern w:val="0"/>
                <w:sz w:val="24"/>
                <w:szCs w:val="24"/>
                <w:highlight w:val="none"/>
                <w:lang w:val="en-US" w:eastAsia="zh-CN"/>
              </w:rPr>
              <w:br w:type="textWrapping"/>
            </w:r>
            <w:r>
              <w:rPr>
                <w:rFonts w:hint="eastAsia" w:ascii="宋体" w:hAnsi="宋体" w:eastAsia="宋体" w:cs="宋体"/>
                <w:color w:val="auto"/>
                <w:kern w:val="0"/>
                <w:sz w:val="24"/>
                <w:szCs w:val="24"/>
                <w:highlight w:val="none"/>
                <w:lang w:val="en-US" w:eastAsia="zh-CN"/>
              </w:rPr>
              <w:t>成本节约率5%以上的，得6分；4%-5%以内的，得5分；3%-4%以内的，得4分；2%-3%以内的，得3分；1%-2%以内的，得2分；0%-1%的（不含0%）得1分；无节约的，不得分。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322" w:type="pct"/>
            <w:vMerge w:val="restart"/>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效益</w:t>
            </w:r>
          </w:p>
        </w:tc>
        <w:tc>
          <w:tcPr>
            <w:tcW w:w="277" w:type="pct"/>
            <w:vMerge w:val="restart"/>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32</w:t>
            </w:r>
          </w:p>
        </w:tc>
        <w:tc>
          <w:tcPr>
            <w:tcW w:w="44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社会效益</w:t>
            </w:r>
          </w:p>
        </w:tc>
        <w:tc>
          <w:tcPr>
            <w:tcW w:w="293"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14</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eastAsia="zh-CN" w:bidi="ar-SA"/>
              </w:rPr>
            </w:pPr>
            <w:r>
              <w:rPr>
                <w:rFonts w:hint="default" w:ascii="宋体" w:hAnsi="宋体" w:eastAsia="宋体" w:cs="宋体"/>
                <w:color w:val="auto"/>
                <w:kern w:val="0"/>
                <w:sz w:val="24"/>
                <w:szCs w:val="24"/>
                <w:highlight w:val="none"/>
                <w:lang w:val="en-US" w:eastAsia="zh-CN" w:bidi="ar-SA"/>
              </w:rPr>
              <w:t>加快社区养老服务基础设施建设</w:t>
            </w:r>
          </w:p>
        </w:tc>
        <w:tc>
          <w:tcPr>
            <w:tcW w:w="261"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项目实施后对</w:t>
            </w:r>
            <w:r>
              <w:rPr>
                <w:rFonts w:hint="default" w:ascii="宋体" w:hAnsi="宋体" w:eastAsia="宋体" w:cs="宋体"/>
                <w:color w:val="auto"/>
                <w:kern w:val="0"/>
                <w:sz w:val="24"/>
                <w:szCs w:val="24"/>
                <w:highlight w:val="none"/>
                <w:lang w:val="en-US" w:eastAsia="zh-CN" w:bidi="ar-SA"/>
              </w:rPr>
              <w:t>加快社区养老服务基础设施建设</w:t>
            </w:r>
            <w:r>
              <w:rPr>
                <w:rFonts w:hint="eastAsia" w:ascii="宋体" w:hAnsi="宋体" w:eastAsia="宋体" w:cs="宋体"/>
                <w:color w:val="auto"/>
                <w:kern w:val="0"/>
                <w:sz w:val="24"/>
                <w:szCs w:val="24"/>
                <w:highlight w:val="none"/>
                <w:lang w:val="en-US" w:eastAsia="zh-CN" w:bidi="ar-SA"/>
              </w:rPr>
              <w:t>产生</w:t>
            </w:r>
            <w:r>
              <w:rPr>
                <w:rFonts w:hint="eastAsia" w:ascii="宋体" w:hAnsi="宋体" w:eastAsia="宋体" w:cs="宋体"/>
                <w:color w:val="auto"/>
                <w:kern w:val="0"/>
                <w:sz w:val="24"/>
                <w:szCs w:val="24"/>
                <w:highlight w:val="none"/>
                <w:lang w:val="en-US" w:eastAsia="zh-CN"/>
              </w:rPr>
              <w:t>的作用。</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项目实施后，对</w:t>
            </w:r>
            <w:r>
              <w:rPr>
                <w:rFonts w:hint="default" w:ascii="宋体" w:hAnsi="宋体" w:eastAsia="宋体" w:cs="宋体"/>
                <w:color w:val="auto"/>
                <w:kern w:val="0"/>
                <w:sz w:val="24"/>
                <w:szCs w:val="24"/>
                <w:highlight w:val="none"/>
                <w:lang w:val="en-US" w:eastAsia="zh-CN" w:bidi="ar-SA"/>
              </w:rPr>
              <w:t>加快社区养老服务基础设施建设</w:t>
            </w:r>
            <w:r>
              <w:rPr>
                <w:rFonts w:hint="eastAsia" w:ascii="宋体" w:hAnsi="宋体" w:eastAsia="宋体" w:cs="宋体"/>
                <w:color w:val="auto"/>
                <w:kern w:val="0"/>
                <w:sz w:val="24"/>
                <w:szCs w:val="24"/>
                <w:highlight w:val="none"/>
                <w:lang w:val="en-US" w:eastAsia="zh-CN"/>
              </w:rPr>
              <w:t>作用非常明显的，得5分；作用较明显的，得3分；作用一般的，得1分，作用不明显或无作用的，不得分。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322" w:type="pct"/>
            <w:vMerge w:val="continue"/>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eastAsia="zh-CN"/>
              </w:rPr>
            </w:pPr>
          </w:p>
        </w:tc>
        <w:tc>
          <w:tcPr>
            <w:tcW w:w="277" w:type="pct"/>
            <w:vMerge w:val="continue"/>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改善社区养老服务条件与环境</w:t>
            </w:r>
          </w:p>
        </w:tc>
        <w:tc>
          <w:tcPr>
            <w:tcW w:w="261"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5</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项目实施后对</w:t>
            </w:r>
            <w:r>
              <w:rPr>
                <w:rFonts w:hint="eastAsia" w:ascii="宋体" w:hAnsi="宋体" w:eastAsia="宋体" w:cs="宋体"/>
                <w:color w:val="auto"/>
                <w:kern w:val="0"/>
                <w:sz w:val="24"/>
                <w:szCs w:val="24"/>
                <w:highlight w:val="none"/>
                <w:lang w:val="en-US" w:eastAsia="zh-CN" w:bidi="ar-SA"/>
              </w:rPr>
              <w:t>改善社区养老服务条件产生</w:t>
            </w:r>
            <w:r>
              <w:rPr>
                <w:rFonts w:hint="eastAsia" w:ascii="宋体" w:hAnsi="宋体" w:eastAsia="宋体" w:cs="宋体"/>
                <w:color w:val="auto"/>
                <w:kern w:val="0"/>
                <w:sz w:val="24"/>
                <w:szCs w:val="24"/>
                <w:highlight w:val="none"/>
                <w:lang w:val="en-US" w:eastAsia="zh-CN"/>
              </w:rPr>
              <w:t>的作用。</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rPr>
              <w:t>项目实施后，对</w:t>
            </w:r>
            <w:r>
              <w:rPr>
                <w:rFonts w:hint="eastAsia" w:ascii="宋体" w:hAnsi="宋体" w:eastAsia="宋体" w:cs="宋体"/>
                <w:color w:val="auto"/>
                <w:kern w:val="0"/>
                <w:sz w:val="24"/>
                <w:szCs w:val="24"/>
                <w:highlight w:val="none"/>
                <w:lang w:val="en-US" w:eastAsia="zh-CN" w:bidi="ar-SA"/>
              </w:rPr>
              <w:t>改善社区养老服务条件与环境</w:t>
            </w:r>
            <w:r>
              <w:rPr>
                <w:rFonts w:hint="eastAsia" w:ascii="宋体" w:hAnsi="宋体" w:eastAsia="宋体" w:cs="宋体"/>
                <w:color w:val="auto"/>
                <w:kern w:val="0"/>
                <w:sz w:val="24"/>
                <w:szCs w:val="24"/>
                <w:highlight w:val="none"/>
                <w:lang w:val="en-US" w:eastAsia="zh-CN"/>
              </w:rPr>
              <w:t>作用非常明显的，得5分；作用较明显的，得3分；作用一般的，得1分，作用不明显或无作用的，不得分。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322" w:type="pct"/>
            <w:vMerge w:val="continue"/>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提高社区养老服务能力</w:t>
            </w:r>
          </w:p>
        </w:tc>
        <w:tc>
          <w:tcPr>
            <w:tcW w:w="261"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项目实施后对提高社区养老服务能力</w:t>
            </w:r>
            <w:r>
              <w:rPr>
                <w:rFonts w:hint="eastAsia" w:ascii="宋体" w:hAnsi="宋体" w:eastAsia="宋体" w:cs="宋体"/>
                <w:color w:val="auto"/>
                <w:kern w:val="0"/>
                <w:sz w:val="24"/>
                <w:szCs w:val="24"/>
                <w:highlight w:val="none"/>
                <w:lang w:val="en-US" w:eastAsia="zh-CN" w:bidi="ar-SA"/>
              </w:rPr>
              <w:t>产生</w:t>
            </w:r>
            <w:r>
              <w:rPr>
                <w:rFonts w:hint="eastAsia" w:ascii="宋体" w:hAnsi="宋体" w:eastAsia="宋体" w:cs="宋体"/>
                <w:color w:val="auto"/>
                <w:kern w:val="0"/>
                <w:sz w:val="24"/>
                <w:szCs w:val="24"/>
                <w:highlight w:val="none"/>
                <w:lang w:val="en-US" w:eastAsia="zh-CN"/>
              </w:rPr>
              <w:t>的作用。</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项目实施后，对提高社区养老服务能力作用非常明显的，得4分；作用较明显的，得2.5分；作用一般的，得1,5分，作用不明显或无作用的，不得分。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2" w:hRule="atLeast"/>
          <w:jc w:val="center"/>
        </w:trPr>
        <w:tc>
          <w:tcPr>
            <w:tcW w:w="322" w:type="pct"/>
            <w:vMerge w:val="continue"/>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可持续影响</w:t>
            </w:r>
          </w:p>
        </w:tc>
        <w:tc>
          <w:tcPr>
            <w:tcW w:w="293"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8</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完善养老服务体系</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default"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rPr>
              <w:t>项目实施后对完善养老服务体系</w:t>
            </w:r>
            <w:r>
              <w:rPr>
                <w:rFonts w:hint="eastAsia" w:ascii="宋体" w:hAnsi="宋体" w:eastAsia="宋体" w:cs="宋体"/>
                <w:color w:val="auto"/>
                <w:kern w:val="0"/>
                <w:sz w:val="24"/>
                <w:szCs w:val="24"/>
                <w:highlight w:val="none"/>
                <w:lang w:val="en-US" w:eastAsia="zh-CN" w:bidi="ar-SA"/>
              </w:rPr>
              <w:t>产生的可持续影响作用。</w:t>
            </w:r>
          </w:p>
        </w:tc>
        <w:tc>
          <w:tcPr>
            <w:tcW w:w="2130" w:type="pct"/>
            <w:noWrap/>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项目实施后，对完善养老服务体系</w:t>
            </w:r>
            <w:r>
              <w:rPr>
                <w:rFonts w:hint="eastAsia" w:ascii="宋体" w:hAnsi="宋体" w:eastAsia="宋体" w:cs="宋体"/>
                <w:color w:val="auto"/>
                <w:kern w:val="0"/>
                <w:sz w:val="24"/>
                <w:szCs w:val="24"/>
                <w:highlight w:val="none"/>
                <w:lang w:val="en-US" w:eastAsia="zh-CN" w:bidi="ar-SA"/>
              </w:rPr>
              <w:t>产生的可持续影响作用</w:t>
            </w:r>
            <w:r>
              <w:rPr>
                <w:rFonts w:hint="eastAsia" w:ascii="宋体" w:hAnsi="宋体" w:eastAsia="宋体" w:cs="宋体"/>
                <w:color w:val="auto"/>
                <w:kern w:val="0"/>
                <w:sz w:val="24"/>
                <w:szCs w:val="24"/>
                <w:highlight w:val="none"/>
                <w:lang w:val="en-US" w:eastAsia="zh-CN"/>
              </w:rPr>
              <w:t>非常积极的，按照实际情况给予满分100%-80%（含）的得分；可持续影响较积极的，按照实际情况给予满分80%-60%（含）的得分；可持续影响作用一般的，按照实际情况给予满分60%-0%（含）的得分。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1" w:hRule="atLeast"/>
          <w:jc w:val="center"/>
        </w:trPr>
        <w:tc>
          <w:tcPr>
            <w:tcW w:w="322" w:type="pct"/>
            <w:vMerge w:val="continue"/>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rPr>
              <w:t>推动养老事业发展</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default"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rPr>
              <w:t>项目实施后对推动养老事业发展产生的可持续影响作用。</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项目实施后，对推动养老事业发展</w:t>
            </w:r>
            <w:r>
              <w:rPr>
                <w:rFonts w:hint="eastAsia" w:ascii="宋体" w:hAnsi="宋体" w:eastAsia="宋体" w:cs="宋体"/>
                <w:color w:val="auto"/>
                <w:kern w:val="0"/>
                <w:sz w:val="24"/>
                <w:szCs w:val="24"/>
                <w:highlight w:val="none"/>
                <w:lang w:val="en-US" w:eastAsia="zh-CN" w:bidi="ar-SA"/>
              </w:rPr>
              <w:t>产生的可持续影响作用</w:t>
            </w:r>
            <w:r>
              <w:rPr>
                <w:rFonts w:hint="eastAsia" w:ascii="宋体" w:hAnsi="宋体" w:eastAsia="宋体" w:cs="宋体"/>
                <w:color w:val="auto"/>
                <w:kern w:val="0"/>
                <w:sz w:val="24"/>
                <w:szCs w:val="24"/>
                <w:highlight w:val="none"/>
                <w:lang w:val="en-US" w:eastAsia="zh-CN"/>
              </w:rPr>
              <w:t>非常积极的，按照实际情况给予满分100%-80%（含）的得分；可持续影响较积极的，按照实际情况给予满分80%-60%（含）的得分；可持续影响作用一般的，按照实际情况给予满分60%-0%（含）的得分。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322" w:type="pct"/>
            <w:vMerge w:val="continue"/>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满意度</w:t>
            </w:r>
          </w:p>
        </w:tc>
        <w:tc>
          <w:tcPr>
            <w:tcW w:w="293" w:type="pct"/>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rPr>
            </w:pPr>
            <w:r>
              <w:rPr>
                <w:rFonts w:hint="eastAsia" w:ascii="宋体" w:hAnsi="宋体" w:eastAsia="宋体" w:cs="宋体"/>
                <w:color w:val="auto"/>
                <w:kern w:val="0"/>
                <w:sz w:val="24"/>
                <w:szCs w:val="24"/>
                <w:highlight w:val="none"/>
                <w:lang w:val="en-US" w:eastAsia="zh-CN"/>
              </w:rPr>
              <w:t>10</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社区群众满意度</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8</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开展受益对象满意度问卷调查，了解社区群众对项目实施的满意情况。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根据问卷调查情况，满意度≥90%，得8分；满意度不足90%，按满意比例得分。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322" w:type="pct"/>
            <w:vMerge w:val="continue"/>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277" w:type="pct"/>
            <w:vMerge w:val="continue"/>
            <w:noWrap/>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p>
        </w:tc>
        <w:tc>
          <w:tcPr>
            <w:tcW w:w="442"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293" w:type="pct"/>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工作人员满意度</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开展该中心工作人员问卷调查，了解工作人员对项目实施的意见以及满意情况。</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val="0"/>
              <w:spacing w:line="576" w:lineRule="exact"/>
              <w:ind w:left="0" w:leftChars="0" w:firstLine="0" w:firstLineChars="0"/>
              <w:jc w:val="left"/>
              <w:textAlignment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根据问卷调查情况，满意度≥90%，得2分；85分≤满意度＜90分，得1.5分；80分≤满意度＜85分，得1分；75分≤满意度＜80分，得0.5分；满意度＜60分不得分。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322"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合 计</w:t>
            </w:r>
          </w:p>
        </w:tc>
        <w:tc>
          <w:tcPr>
            <w:tcW w:w="277"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100</w:t>
            </w:r>
          </w:p>
        </w:tc>
        <w:tc>
          <w:tcPr>
            <w:tcW w:w="442"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w:t>
            </w:r>
          </w:p>
        </w:tc>
        <w:tc>
          <w:tcPr>
            <w:tcW w:w="293"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100</w:t>
            </w:r>
          </w:p>
        </w:tc>
        <w:tc>
          <w:tcPr>
            <w:tcW w:w="426"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w:t>
            </w:r>
          </w:p>
        </w:tc>
        <w:tc>
          <w:tcPr>
            <w:tcW w:w="261"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100</w:t>
            </w:r>
          </w:p>
        </w:tc>
        <w:tc>
          <w:tcPr>
            <w:tcW w:w="84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w:t>
            </w:r>
          </w:p>
        </w:tc>
        <w:tc>
          <w:tcPr>
            <w:tcW w:w="2130"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color w:val="auto"/>
                <w:kern w:val="0"/>
                <w:sz w:val="24"/>
                <w:szCs w:val="24"/>
                <w:highlight w:val="none"/>
                <w:lang w:bidi="ar"/>
              </w:rPr>
            </w:pPr>
            <w:r>
              <w:rPr>
                <w:rFonts w:hint="eastAsia" w:ascii="宋体" w:hAnsi="宋体" w:eastAsia="宋体" w:cs="宋体"/>
                <w:b/>
                <w:color w:val="auto"/>
                <w:kern w:val="0"/>
                <w:sz w:val="24"/>
                <w:szCs w:val="24"/>
                <w:highlight w:val="none"/>
                <w:lang w:val="en-US" w:eastAsia="zh-CN" w:bidi="ar"/>
              </w:rPr>
              <w:t>—</w:t>
            </w:r>
          </w:p>
        </w:tc>
      </w:tr>
    </w:tbl>
    <w:p>
      <w:pPr>
        <w:pageBreakBefore w:val="0"/>
        <w:shd w:val="clear" w:color="auto" w:fill="auto"/>
        <w:overflowPunct/>
        <w:topLinePunct w:val="0"/>
        <w:bidi w:val="0"/>
        <w:spacing w:line="576" w:lineRule="exact"/>
        <w:ind w:left="0" w:leftChars="0"/>
        <w:rPr>
          <w:color w:val="auto"/>
          <w:highlight w:val="none"/>
        </w:rPr>
        <w:sectPr>
          <w:pgSz w:w="16838" w:h="11906" w:orient="landscape"/>
          <w:pgMar w:top="2098" w:right="1474" w:bottom="1984" w:left="1587" w:header="851" w:footer="722" w:gutter="0"/>
          <w:pgBorders>
            <w:top w:val="none" w:sz="0" w:space="0"/>
            <w:left w:val="none" w:sz="0" w:space="0"/>
            <w:bottom w:val="none" w:sz="0" w:space="0"/>
            <w:right w:val="none" w:sz="0" w:space="0"/>
          </w:pgBorders>
          <w:pgNumType w:fmt="numberInDash"/>
          <w:cols w:space="720" w:num="1"/>
          <w:docGrid w:type="lines" w:linePitch="435" w:charSpace="0"/>
        </w:sectPr>
      </w:pP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outlineLvl w:val="0"/>
        <w:rPr>
          <w:rFonts w:hint="eastAsia" w:ascii="楷体" w:hAnsi="楷体" w:eastAsia="楷体" w:cs="宋体"/>
          <w:b/>
          <w:color w:val="auto"/>
          <w:szCs w:val="28"/>
          <w:highlight w:val="none"/>
        </w:rPr>
      </w:pPr>
      <w:bookmarkStart w:id="575" w:name="_Toc337"/>
      <w:bookmarkStart w:id="576" w:name="_Toc23376"/>
      <w:bookmarkStart w:id="577" w:name="_Toc26244"/>
      <w:bookmarkStart w:id="578" w:name="_Toc29543"/>
      <w:r>
        <w:rPr>
          <w:rFonts w:hint="eastAsia" w:ascii="楷体" w:hAnsi="楷体" w:eastAsia="楷体" w:cs="宋体"/>
          <w:b/>
          <w:color w:val="auto"/>
          <w:szCs w:val="28"/>
          <w:highlight w:val="none"/>
        </w:rPr>
        <w:t>附件</w:t>
      </w:r>
      <w:r>
        <w:rPr>
          <w:rFonts w:hint="eastAsia" w:ascii="楷体" w:hAnsi="楷体" w:eastAsia="楷体" w:cs="宋体"/>
          <w:b/>
          <w:color w:val="auto"/>
          <w:szCs w:val="28"/>
          <w:highlight w:val="none"/>
          <w:lang w:val="en-US" w:eastAsia="zh-CN"/>
        </w:rPr>
        <w:t>2</w:t>
      </w:r>
      <w:r>
        <w:rPr>
          <w:rFonts w:hint="eastAsia" w:ascii="楷体" w:hAnsi="楷体" w:eastAsia="楷体" w:cs="宋体"/>
          <w:b/>
          <w:color w:val="auto"/>
          <w:szCs w:val="28"/>
          <w:highlight w:val="none"/>
        </w:rPr>
        <w:t xml:space="preserve"> </w:t>
      </w:r>
      <w:r>
        <w:rPr>
          <w:rFonts w:hint="eastAsia" w:ascii="楷体" w:hAnsi="楷体" w:eastAsia="楷体" w:cs="宋体"/>
          <w:b/>
          <w:color w:val="auto"/>
          <w:szCs w:val="28"/>
          <w:highlight w:val="none"/>
          <w:lang w:eastAsia="zh-CN"/>
        </w:rPr>
        <w:t>项目基本情况表</w:t>
      </w:r>
      <w:bookmarkEnd w:id="575"/>
      <w:bookmarkEnd w:id="576"/>
      <w:bookmarkEnd w:id="577"/>
      <w:bookmarkEnd w:id="578"/>
    </w:p>
    <w:p>
      <w:pPr>
        <w:pageBreakBefore w:val="0"/>
        <w:shd w:val="clear" w:color="auto" w:fill="auto"/>
        <w:overflowPunct/>
        <w:topLinePunct w:val="0"/>
        <w:bidi w:val="0"/>
        <w:spacing w:line="576" w:lineRule="exact"/>
        <w:ind w:left="0" w:leftChars="0"/>
        <w:rPr>
          <w:rFonts w:hint="eastAsia" w:eastAsia="仿宋_GB2312" w:cs="Times New Roman"/>
          <w:color w:val="auto"/>
          <w:highlight w:val="none"/>
          <w:lang w:eastAsia="zh-CN"/>
        </w:rPr>
      </w:pPr>
      <w:r>
        <w:rPr>
          <w:rFonts w:hint="eastAsia" w:eastAsia="仿宋_GB2312" w:cs="Times New Roman"/>
          <w:color w:val="auto"/>
          <w:highlight w:val="none"/>
          <w:lang w:eastAsia="zh-CN"/>
        </w:rPr>
        <w:drawing>
          <wp:anchor distT="0" distB="0" distL="114935" distR="114935" simplePos="0" relativeHeight="251660288" behindDoc="0" locked="0" layoutInCell="1" allowOverlap="1">
            <wp:simplePos x="0" y="0"/>
            <wp:positionH relativeFrom="column">
              <wp:posOffset>681355</wp:posOffset>
            </wp:positionH>
            <wp:positionV relativeFrom="page">
              <wp:posOffset>1714500</wp:posOffset>
            </wp:positionV>
            <wp:extent cx="7383780" cy="4662170"/>
            <wp:effectExtent l="0" t="0" r="7620" b="5080"/>
            <wp:wrapSquare wrapText="bothSides"/>
            <wp:docPr id="208" name="图片 403" descr="扫描全能王 2021-11-30 16.1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403" descr="扫描全能王 2021-11-30 16.16_1"/>
                    <pic:cNvPicPr>
                      <a:picLocks noChangeAspect="1"/>
                    </pic:cNvPicPr>
                  </pic:nvPicPr>
                  <pic:blipFill>
                    <a:blip r:embed="rId110"/>
                    <a:srcRect t="2211" b="9064"/>
                    <a:stretch>
                      <a:fillRect/>
                    </a:stretch>
                  </pic:blipFill>
                  <pic:spPr>
                    <a:xfrm>
                      <a:off x="0" y="0"/>
                      <a:ext cx="7383780" cy="4662170"/>
                    </a:xfrm>
                    <a:prstGeom prst="rect">
                      <a:avLst/>
                    </a:prstGeom>
                    <a:noFill/>
                    <a:ln>
                      <a:noFill/>
                    </a:ln>
                  </pic:spPr>
                </pic:pic>
              </a:graphicData>
            </a:graphic>
          </wp:anchor>
        </w:drawing>
      </w:r>
    </w:p>
    <w:p>
      <w:pPr>
        <w:pageBreakBefore w:val="0"/>
        <w:shd w:val="clear" w:color="auto" w:fill="auto"/>
        <w:overflowPunct/>
        <w:topLinePunct w:val="0"/>
        <w:bidi w:val="0"/>
        <w:spacing w:line="576" w:lineRule="exact"/>
        <w:ind w:left="0" w:leftChars="0"/>
        <w:rPr>
          <w:rFonts w:hint="eastAsia" w:eastAsia="仿宋_GB2312" w:cs="Times New Roman"/>
          <w:color w:val="auto"/>
          <w:highlight w:val="none"/>
          <w:lang w:eastAsia="zh-CN"/>
        </w:rPr>
      </w:pPr>
    </w:p>
    <w:p>
      <w:pPr>
        <w:pageBreakBefore w:val="0"/>
        <w:shd w:val="clear" w:color="auto" w:fill="auto"/>
        <w:overflowPunct/>
        <w:topLinePunct w:val="0"/>
        <w:bidi w:val="0"/>
        <w:spacing w:line="576" w:lineRule="exact"/>
        <w:ind w:left="0" w:leftChars="0"/>
        <w:rPr>
          <w:rFonts w:hint="eastAsia"/>
          <w:color w:val="auto"/>
          <w:highlight w:val="none"/>
        </w:rPr>
        <w:sectPr>
          <w:footerReference r:id="rId29" w:type="default"/>
          <w:pgSz w:w="16838" w:h="11906" w:orient="landscape"/>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outlineLvl w:val="0"/>
        <w:rPr>
          <w:rFonts w:hint="eastAsia" w:ascii="楷体" w:hAnsi="楷体" w:eastAsia="楷体" w:cs="宋体"/>
          <w:b/>
          <w:color w:val="auto"/>
          <w:szCs w:val="28"/>
          <w:highlight w:val="none"/>
        </w:rPr>
      </w:pPr>
      <w:bookmarkStart w:id="579" w:name="_Toc20101"/>
      <w:bookmarkStart w:id="580" w:name="_Toc26428"/>
      <w:bookmarkStart w:id="581" w:name="_Toc7990"/>
      <w:bookmarkStart w:id="582" w:name="_Toc11336"/>
      <w:r>
        <w:rPr>
          <w:rFonts w:hint="eastAsia" w:ascii="楷体" w:hAnsi="楷体" w:eastAsia="楷体" w:cs="宋体"/>
          <w:b/>
          <w:color w:val="auto"/>
          <w:szCs w:val="28"/>
          <w:highlight w:val="none"/>
        </w:rPr>
        <w:t>附件</w:t>
      </w:r>
      <w:r>
        <w:rPr>
          <w:rFonts w:hint="eastAsia" w:ascii="楷体" w:hAnsi="楷体" w:eastAsia="楷体" w:cs="宋体"/>
          <w:b/>
          <w:color w:val="auto"/>
          <w:szCs w:val="28"/>
          <w:highlight w:val="none"/>
          <w:lang w:val="en-US" w:eastAsia="zh-CN"/>
        </w:rPr>
        <w:t>3</w:t>
      </w:r>
      <w:r>
        <w:rPr>
          <w:rFonts w:hint="eastAsia" w:ascii="楷体" w:hAnsi="楷体" w:eastAsia="楷体" w:cs="宋体"/>
          <w:b/>
          <w:color w:val="auto"/>
          <w:szCs w:val="28"/>
          <w:highlight w:val="none"/>
        </w:rPr>
        <w:t xml:space="preserve"> </w:t>
      </w:r>
      <w:r>
        <w:rPr>
          <w:rFonts w:hint="eastAsia" w:ascii="楷体" w:hAnsi="楷体" w:eastAsia="楷体" w:cs="宋体"/>
          <w:b/>
          <w:color w:val="auto"/>
          <w:szCs w:val="28"/>
          <w:highlight w:val="none"/>
          <w:lang w:eastAsia="zh-CN"/>
        </w:rPr>
        <w:t>资金基本情况表</w:t>
      </w:r>
      <w:bookmarkEnd w:id="579"/>
      <w:bookmarkEnd w:id="580"/>
      <w:bookmarkEnd w:id="581"/>
    </w:p>
    <w:p>
      <w:pPr>
        <w:pageBreakBefore w:val="0"/>
        <w:shd w:val="clear" w:color="auto" w:fill="auto"/>
        <w:overflowPunct/>
        <w:topLinePunct w:val="0"/>
        <w:bidi w:val="0"/>
        <w:spacing w:line="576" w:lineRule="exact"/>
        <w:ind w:left="0" w:leftChars="0"/>
        <w:rPr>
          <w:rFonts w:hint="eastAsia" w:ascii="楷体" w:hAnsi="楷体" w:eastAsia="楷体" w:cs="宋体"/>
          <w:b/>
          <w:color w:val="auto"/>
          <w:szCs w:val="28"/>
          <w:highlight w:val="none"/>
        </w:rPr>
        <w:sectPr>
          <w:pgSz w:w="16838" w:h="11906" w:orient="landscape"/>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楷体" w:hAnsi="楷体" w:eastAsia="楷体" w:cs="宋体"/>
          <w:b/>
          <w:color w:val="auto"/>
          <w:szCs w:val="28"/>
          <w:highlight w:val="none"/>
        </w:rPr>
        <w:drawing>
          <wp:anchor distT="0" distB="0" distL="114300" distR="114300" simplePos="0" relativeHeight="251661312" behindDoc="0" locked="0" layoutInCell="1" allowOverlap="1">
            <wp:simplePos x="0" y="0"/>
            <wp:positionH relativeFrom="column">
              <wp:posOffset>596900</wp:posOffset>
            </wp:positionH>
            <wp:positionV relativeFrom="paragraph">
              <wp:posOffset>271145</wp:posOffset>
            </wp:positionV>
            <wp:extent cx="7539355" cy="4557395"/>
            <wp:effectExtent l="0" t="0" r="4445" b="14605"/>
            <wp:wrapSquare wrapText="bothSides"/>
            <wp:docPr id="207" name="图片 404" descr="扫描全能王 2021-11-30 16.1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404" descr="扫描全能王 2021-11-30 16.16_2"/>
                    <pic:cNvPicPr>
                      <a:picLocks noChangeAspect="1"/>
                    </pic:cNvPicPr>
                  </pic:nvPicPr>
                  <pic:blipFill>
                    <a:blip r:embed="rId111"/>
                    <a:srcRect t="7838" b="5618"/>
                    <a:stretch>
                      <a:fillRect/>
                    </a:stretch>
                  </pic:blipFill>
                  <pic:spPr>
                    <a:xfrm>
                      <a:off x="0" y="0"/>
                      <a:ext cx="7539355" cy="4557395"/>
                    </a:xfrm>
                    <a:prstGeom prst="rect">
                      <a:avLst/>
                    </a:prstGeom>
                    <a:noFill/>
                    <a:ln>
                      <a:noFill/>
                    </a:ln>
                  </pic:spPr>
                </pic:pic>
              </a:graphicData>
            </a:graphic>
          </wp:anchor>
        </w:drawing>
      </w:r>
      <w:r>
        <w:rPr>
          <w:rFonts w:hint="eastAsia" w:ascii="楷体" w:hAnsi="楷体" w:eastAsia="楷体" w:cs="宋体"/>
          <w:b/>
          <w:color w:val="auto"/>
          <w:szCs w:val="28"/>
          <w:highlight w:val="none"/>
        </w:rPr>
        <w:br w:type="page"/>
      </w:r>
      <w:r>
        <w:rPr>
          <w:rFonts w:hint="eastAsia" w:ascii="楷体" w:hAnsi="楷体" w:eastAsia="楷体" w:cs="宋体"/>
          <w:b/>
          <w:color w:val="auto"/>
          <w:szCs w:val="28"/>
          <w:highlight w:val="none"/>
        </w:rPr>
        <w:drawing>
          <wp:anchor distT="0" distB="0" distL="114300" distR="114300" simplePos="0" relativeHeight="251662336" behindDoc="0" locked="0" layoutInCell="1" allowOverlap="1">
            <wp:simplePos x="0" y="0"/>
            <wp:positionH relativeFrom="column">
              <wp:posOffset>565150</wp:posOffset>
            </wp:positionH>
            <wp:positionV relativeFrom="paragraph">
              <wp:posOffset>339090</wp:posOffset>
            </wp:positionV>
            <wp:extent cx="7436485" cy="4740910"/>
            <wp:effectExtent l="0" t="0" r="12065" b="2540"/>
            <wp:wrapSquare wrapText="bothSides"/>
            <wp:docPr id="206" name="图片 405" descr="扫描全能王 2021-11-30 16.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405" descr="扫描全能王 2021-11-30 16.16_3"/>
                    <pic:cNvPicPr>
                      <a:picLocks noChangeAspect="1"/>
                    </pic:cNvPicPr>
                  </pic:nvPicPr>
                  <pic:blipFill>
                    <a:blip r:embed="rId112"/>
                    <a:srcRect t="2824" b="7050"/>
                    <a:stretch>
                      <a:fillRect/>
                    </a:stretch>
                  </pic:blipFill>
                  <pic:spPr>
                    <a:xfrm>
                      <a:off x="0" y="0"/>
                      <a:ext cx="7436485" cy="4740910"/>
                    </a:xfrm>
                    <a:prstGeom prst="rect">
                      <a:avLst/>
                    </a:prstGeom>
                    <a:noFill/>
                    <a:ln>
                      <a:noFill/>
                    </a:ln>
                  </pic:spPr>
                </pic:pic>
              </a:graphicData>
            </a:graphic>
          </wp:anchor>
        </w:drawing>
      </w:r>
      <w:r>
        <w:rPr>
          <w:rFonts w:hint="eastAsia" w:ascii="楷体" w:hAnsi="楷体" w:eastAsia="楷体" w:cs="宋体"/>
          <w:b/>
          <w:color w:val="auto"/>
          <w:szCs w:val="28"/>
          <w:highlight w:val="none"/>
        </w:rPr>
        <w:br w:type="page"/>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outlineLvl w:val="0"/>
        <w:rPr>
          <w:rFonts w:hint="eastAsia" w:ascii="楷体" w:hAnsi="楷体" w:eastAsia="楷体" w:cs="宋体"/>
          <w:b/>
          <w:color w:val="auto"/>
          <w:szCs w:val="28"/>
          <w:highlight w:val="none"/>
          <w:lang w:eastAsia="zh-CN"/>
        </w:rPr>
      </w:pPr>
      <w:bookmarkStart w:id="583" w:name="_Toc2648"/>
      <w:bookmarkStart w:id="584" w:name="_Toc3699"/>
      <w:bookmarkStart w:id="585" w:name="_Toc15093"/>
      <w:r>
        <w:rPr>
          <w:rFonts w:hint="eastAsia" w:ascii="楷体" w:hAnsi="楷体" w:eastAsia="楷体" w:cs="宋体"/>
          <w:b/>
          <w:color w:val="auto"/>
          <w:szCs w:val="28"/>
          <w:highlight w:val="none"/>
        </w:rPr>
        <w:t>附件</w:t>
      </w:r>
      <w:r>
        <w:rPr>
          <w:rFonts w:hint="eastAsia" w:ascii="楷体" w:hAnsi="楷体" w:eastAsia="楷体" w:cs="宋体"/>
          <w:b/>
          <w:color w:val="auto"/>
          <w:szCs w:val="28"/>
          <w:highlight w:val="none"/>
          <w:lang w:val="en-US" w:eastAsia="zh-CN"/>
        </w:rPr>
        <w:t>4</w:t>
      </w:r>
      <w:r>
        <w:rPr>
          <w:rFonts w:hint="eastAsia" w:ascii="楷体" w:hAnsi="楷体" w:eastAsia="楷体" w:cs="宋体"/>
          <w:b/>
          <w:color w:val="auto"/>
          <w:szCs w:val="28"/>
          <w:highlight w:val="none"/>
        </w:rPr>
        <w:t xml:space="preserve"> </w:t>
      </w:r>
      <w:r>
        <w:rPr>
          <w:rFonts w:hint="eastAsia" w:ascii="楷体" w:hAnsi="楷体" w:eastAsia="楷体" w:cs="宋体"/>
          <w:b/>
          <w:color w:val="auto"/>
          <w:szCs w:val="28"/>
          <w:highlight w:val="none"/>
          <w:lang w:eastAsia="zh-CN"/>
        </w:rPr>
        <w:t>问卷调查满意度分析</w:t>
      </w:r>
      <w:bookmarkEnd w:id="582"/>
      <w:bookmarkEnd w:id="583"/>
      <w:bookmarkEnd w:id="584"/>
      <w:bookmarkEnd w:id="585"/>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kern w:val="0"/>
          <w:sz w:val="28"/>
          <w:szCs w:val="28"/>
          <w:highlight w:val="none"/>
          <w:lang w:val="en-US" w:eastAsia="zh-CN"/>
        </w:rPr>
      </w:pPr>
      <w:r>
        <w:rPr>
          <w:rFonts w:hint="eastAsia" w:ascii="宋体" w:hAnsi="宋体" w:eastAsia="宋体" w:cs="宋体"/>
          <w:b/>
          <w:color w:val="auto"/>
          <w:kern w:val="0"/>
          <w:sz w:val="28"/>
          <w:szCs w:val="28"/>
          <w:highlight w:val="none"/>
          <w:lang w:val="en-US" w:eastAsia="zh-CN"/>
        </w:rPr>
        <w:t>问卷1 社区居民对老年日间照料中心满意度调查问卷汇总统计</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color w:val="auto"/>
          <w:kern w:val="0"/>
          <w:sz w:val="32"/>
          <w:highlight w:val="none"/>
        </w:rPr>
      </w:pPr>
      <w:r>
        <w:rPr>
          <w:rFonts w:ascii="Times New Roman" w:hAnsi="Times New Roman" w:eastAsia="Times New Roman" w:cs="Times New Roman"/>
          <w:b w:val="0"/>
          <w:color w:val="auto"/>
          <w:kern w:val="0"/>
          <w:sz w:val="24"/>
          <w:highlight w:val="none"/>
        </w:rPr>
        <w:t>Q1：您的性别是？[单选题]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21"/>
        <w:gridCol w:w="1082"/>
        <w:gridCol w:w="465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男</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70</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638175" cy="114300"/>
                  <wp:effectExtent l="0" t="0" r="9525" b="0"/>
                  <wp:docPr id="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1"/>
                          <pic:cNvPicPr>
                            <a:picLocks noChangeAspect="1"/>
                          </pic:cNvPicPr>
                        </pic:nvPicPr>
                        <pic:blipFill>
                          <a:blip r:embed="rId113"/>
                          <a:stretch>
                            <a:fillRect/>
                          </a:stretch>
                        </pic:blipFill>
                        <pic:spPr>
                          <a:xfrm>
                            <a:off x="0" y="0"/>
                            <a:ext cx="6381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714375" cy="114300"/>
                  <wp:effectExtent l="0" t="0" r="9525" b="0"/>
                  <wp:docPr id="30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2"/>
                          <pic:cNvPicPr>
                            <a:picLocks noChangeAspect="1"/>
                          </pic:cNvPicPr>
                        </pic:nvPicPr>
                        <pic:blipFill>
                          <a:blip r:embed="rId114"/>
                          <a:stretch>
                            <a:fillRect/>
                          </a:stretch>
                        </pic:blipFill>
                        <pic:spPr>
                          <a:xfrm>
                            <a:off x="0" y="0"/>
                            <a:ext cx="7143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47.3%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女</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78</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704850" cy="114300"/>
                  <wp:effectExtent l="0" t="0" r="0" b="0"/>
                  <wp:docPr id="3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
                          <pic:cNvPicPr>
                            <a:picLocks noChangeAspect="1"/>
                          </pic:cNvPicPr>
                        </pic:nvPicPr>
                        <pic:blipFill>
                          <a:blip r:embed="rId115"/>
                          <a:stretch>
                            <a:fillRect/>
                          </a:stretch>
                        </pic:blipFill>
                        <pic:spPr>
                          <a:xfrm>
                            <a:off x="0" y="0"/>
                            <a:ext cx="7048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647700" cy="114300"/>
                  <wp:effectExtent l="0" t="0" r="0" b="0"/>
                  <wp:docPr id="3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4"/>
                          <pic:cNvPicPr>
                            <a:picLocks noChangeAspect="1"/>
                          </pic:cNvPicPr>
                        </pic:nvPicPr>
                        <pic:blipFill>
                          <a:blip r:embed="rId116"/>
                          <a:stretch>
                            <a:fillRect/>
                          </a:stretch>
                        </pic:blipFill>
                        <pic:spPr>
                          <a:xfrm>
                            <a:off x="0" y="0"/>
                            <a:ext cx="6477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52.7%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Q2：您的年龄区间是？[单选题]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20岁以下</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2</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9525" cy="114300"/>
                  <wp:effectExtent l="0" t="0" r="9525" b="0"/>
                  <wp:docPr id="30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5"/>
                          <pic:cNvPicPr>
                            <a:picLocks noChangeAspect="1"/>
                          </pic:cNvPicPr>
                        </pic:nvPicPr>
                        <pic:blipFill>
                          <a:blip r:embed="rId117"/>
                          <a:stretch>
                            <a:fillRect/>
                          </a:stretch>
                        </pic:blipFill>
                        <pic:spPr>
                          <a:xfrm>
                            <a:off x="0" y="0"/>
                            <a:ext cx="95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343025" cy="114300"/>
                  <wp:effectExtent l="0" t="0" r="9525" b="0"/>
                  <wp:docPr id="30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6"/>
                          <pic:cNvPicPr>
                            <a:picLocks noChangeAspect="1"/>
                          </pic:cNvPicPr>
                        </pic:nvPicPr>
                        <pic:blipFill>
                          <a:blip r:embed="rId118"/>
                          <a:stretch>
                            <a:fillRect/>
                          </a:stretch>
                        </pic:blipFill>
                        <pic:spPr>
                          <a:xfrm>
                            <a:off x="0" y="0"/>
                            <a:ext cx="13430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1.35%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21-30</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23825" cy="114300"/>
                  <wp:effectExtent l="0" t="0" r="9525" b="0"/>
                  <wp:docPr id="3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7"/>
                          <pic:cNvPicPr>
                            <a:picLocks noChangeAspect="1"/>
                          </pic:cNvPicPr>
                        </pic:nvPicPr>
                        <pic:blipFill>
                          <a:blip r:embed="rId119"/>
                          <a:stretch>
                            <a:fillRect/>
                          </a:stretch>
                        </pic:blipFill>
                        <pic:spPr>
                          <a:xfrm>
                            <a:off x="0" y="0"/>
                            <a:ext cx="1238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228725" cy="114300"/>
                  <wp:effectExtent l="0" t="0" r="9525" b="0"/>
                  <wp:docPr id="3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8"/>
                          <pic:cNvPicPr>
                            <a:picLocks noChangeAspect="1"/>
                          </pic:cNvPicPr>
                        </pic:nvPicPr>
                        <pic:blipFill>
                          <a:blip r:embed="rId120"/>
                          <a:stretch>
                            <a:fillRect/>
                          </a:stretch>
                        </pic:blipFill>
                        <pic:spPr>
                          <a:xfrm>
                            <a:off x="0" y="0"/>
                            <a:ext cx="12287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9.46%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31-40</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35</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314325" cy="114300"/>
                  <wp:effectExtent l="0" t="0" r="9525" b="0"/>
                  <wp:docPr id="3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9"/>
                          <pic:cNvPicPr>
                            <a:picLocks noChangeAspect="1"/>
                          </pic:cNvPicPr>
                        </pic:nvPicPr>
                        <pic:blipFill>
                          <a:blip r:embed="rId121"/>
                          <a:stretch>
                            <a:fillRect/>
                          </a:stretch>
                        </pic:blipFill>
                        <pic:spPr>
                          <a:xfrm>
                            <a:off x="0" y="0"/>
                            <a:ext cx="3143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038225" cy="114300"/>
                  <wp:effectExtent l="0" t="0" r="9525" b="0"/>
                  <wp:docPr id="3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0"/>
                          <pic:cNvPicPr>
                            <a:picLocks noChangeAspect="1"/>
                          </pic:cNvPicPr>
                        </pic:nvPicPr>
                        <pic:blipFill>
                          <a:blip r:embed="rId122"/>
                          <a:stretch>
                            <a:fillRect/>
                          </a:stretch>
                        </pic:blipFill>
                        <pic:spPr>
                          <a:xfrm>
                            <a:off x="0" y="0"/>
                            <a:ext cx="10382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23.65%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41-50</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33</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295275" cy="114300"/>
                  <wp:effectExtent l="0" t="0" r="9525" b="0"/>
                  <wp:docPr id="3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11"/>
                          <pic:cNvPicPr>
                            <a:picLocks noChangeAspect="1"/>
                          </pic:cNvPicPr>
                        </pic:nvPicPr>
                        <pic:blipFill>
                          <a:blip r:embed="rId123"/>
                          <a:stretch>
                            <a:fillRect/>
                          </a:stretch>
                        </pic:blipFill>
                        <pic:spPr>
                          <a:xfrm>
                            <a:off x="0" y="0"/>
                            <a:ext cx="2952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057275" cy="114300"/>
                  <wp:effectExtent l="0" t="0" r="9525" b="0"/>
                  <wp:docPr id="3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12"/>
                          <pic:cNvPicPr>
                            <a:picLocks noChangeAspect="1"/>
                          </pic:cNvPicPr>
                        </pic:nvPicPr>
                        <pic:blipFill>
                          <a:blip r:embed="rId124"/>
                          <a:stretch>
                            <a:fillRect/>
                          </a:stretch>
                        </pic:blipFill>
                        <pic:spPr>
                          <a:xfrm>
                            <a:off x="0" y="0"/>
                            <a:ext cx="10572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22.3%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50岁以上</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64</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581025" cy="114300"/>
                  <wp:effectExtent l="0" t="0" r="9525" b="0"/>
                  <wp:docPr id="3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3"/>
                          <pic:cNvPicPr>
                            <a:picLocks noChangeAspect="1"/>
                          </pic:cNvPicPr>
                        </pic:nvPicPr>
                        <pic:blipFill>
                          <a:blip r:embed="rId77"/>
                          <a:stretch>
                            <a:fillRect/>
                          </a:stretch>
                        </pic:blipFill>
                        <pic:spPr>
                          <a:xfrm>
                            <a:off x="0" y="0"/>
                            <a:ext cx="5810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771525" cy="114300"/>
                  <wp:effectExtent l="0" t="0" r="9525" b="0"/>
                  <wp:docPr id="3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4"/>
                          <pic:cNvPicPr>
                            <a:picLocks noChangeAspect="1"/>
                          </pic:cNvPicPr>
                        </pic:nvPicPr>
                        <pic:blipFill>
                          <a:blip r:embed="rId78"/>
                          <a:stretch>
                            <a:fillRect/>
                          </a:stretch>
                        </pic:blipFill>
                        <pic:spPr>
                          <a:xfrm>
                            <a:off x="0" y="0"/>
                            <a:ext cx="7715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43.24%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Q3：您的文化程度是？[单选题]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文盲或半文盲</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3</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9050" cy="114300"/>
                  <wp:effectExtent l="0" t="0" r="0" b="0"/>
                  <wp:docPr id="3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5"/>
                          <pic:cNvPicPr>
                            <a:picLocks noChangeAspect="1"/>
                          </pic:cNvPicPr>
                        </pic:nvPicPr>
                        <pic:blipFill>
                          <a:blip r:embed="rId125"/>
                          <a:stretch>
                            <a:fillRect/>
                          </a:stretch>
                        </pic:blipFill>
                        <pic:spPr>
                          <a:xfrm>
                            <a:off x="0" y="0"/>
                            <a:ext cx="190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333500" cy="114300"/>
                  <wp:effectExtent l="0" t="0" r="0" b="0"/>
                  <wp:docPr id="3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6"/>
                          <pic:cNvPicPr>
                            <a:picLocks noChangeAspect="1"/>
                          </pic:cNvPicPr>
                        </pic:nvPicPr>
                        <pic:blipFill>
                          <a:blip r:embed="rId126"/>
                          <a:stretch>
                            <a:fillRect/>
                          </a:stretch>
                        </pic:blipFill>
                        <pic:spPr>
                          <a:xfrm>
                            <a:off x="0" y="0"/>
                            <a:ext cx="13335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2.03%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小学</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6</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47625" cy="114300"/>
                  <wp:effectExtent l="0" t="0" r="9525" b="0"/>
                  <wp:docPr id="3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7"/>
                          <pic:cNvPicPr>
                            <a:picLocks noChangeAspect="1"/>
                          </pic:cNvPicPr>
                        </pic:nvPicPr>
                        <pic:blipFill>
                          <a:blip r:embed="rId127"/>
                          <a:stretch>
                            <a:fillRect/>
                          </a:stretch>
                        </pic:blipFill>
                        <pic:spPr>
                          <a:xfrm>
                            <a:off x="0" y="0"/>
                            <a:ext cx="476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304925" cy="114300"/>
                  <wp:effectExtent l="0" t="0" r="9525" b="0"/>
                  <wp:docPr id="3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8"/>
                          <pic:cNvPicPr>
                            <a:picLocks noChangeAspect="1"/>
                          </pic:cNvPicPr>
                        </pic:nvPicPr>
                        <pic:blipFill>
                          <a:blip r:embed="rId128"/>
                          <a:stretch>
                            <a:fillRect/>
                          </a:stretch>
                        </pic:blipFill>
                        <pic:spPr>
                          <a:xfrm>
                            <a:off x="0" y="0"/>
                            <a:ext cx="13049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4.05%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初中</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27</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238125" cy="114300"/>
                  <wp:effectExtent l="0" t="0" r="9525" b="0"/>
                  <wp:docPr id="3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9"/>
                          <pic:cNvPicPr>
                            <a:picLocks noChangeAspect="1"/>
                          </pic:cNvPicPr>
                        </pic:nvPicPr>
                        <pic:blipFill>
                          <a:blip r:embed="rId129"/>
                          <a:stretch>
                            <a:fillRect/>
                          </a:stretch>
                        </pic:blipFill>
                        <pic:spPr>
                          <a:xfrm>
                            <a:off x="0" y="0"/>
                            <a:ext cx="2381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114425" cy="114300"/>
                  <wp:effectExtent l="0" t="0" r="9525" b="0"/>
                  <wp:docPr id="26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0"/>
                          <pic:cNvPicPr>
                            <a:picLocks noChangeAspect="1"/>
                          </pic:cNvPicPr>
                        </pic:nvPicPr>
                        <pic:blipFill>
                          <a:blip r:embed="rId130"/>
                          <a:stretch>
                            <a:fillRect/>
                          </a:stretch>
                        </pic:blipFill>
                        <pic:spPr>
                          <a:xfrm>
                            <a:off x="0" y="0"/>
                            <a:ext cx="11144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18.24%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高中</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34</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304800" cy="114300"/>
                  <wp:effectExtent l="0" t="0" r="0" b="0"/>
                  <wp:docPr id="2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1"/>
                          <pic:cNvPicPr>
                            <a:picLocks noChangeAspect="1"/>
                          </pic:cNvPicPr>
                        </pic:nvPicPr>
                        <pic:blipFill>
                          <a:blip r:embed="rId131"/>
                          <a:stretch>
                            <a:fillRect/>
                          </a:stretch>
                        </pic:blipFill>
                        <pic:spPr>
                          <a:xfrm>
                            <a:off x="0" y="0"/>
                            <a:ext cx="3048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047750" cy="114300"/>
                  <wp:effectExtent l="0" t="0" r="0" b="0"/>
                  <wp:docPr id="2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2"/>
                          <pic:cNvPicPr>
                            <a:picLocks noChangeAspect="1"/>
                          </pic:cNvPicPr>
                        </pic:nvPicPr>
                        <pic:blipFill>
                          <a:blip r:embed="rId132"/>
                          <a:stretch>
                            <a:fillRect/>
                          </a:stretch>
                        </pic:blipFill>
                        <pic:spPr>
                          <a:xfrm>
                            <a:off x="0" y="0"/>
                            <a:ext cx="10477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22.97%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大专及以上</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78</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704850" cy="114300"/>
                  <wp:effectExtent l="0" t="0" r="0" b="0"/>
                  <wp:docPr id="26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3"/>
                          <pic:cNvPicPr>
                            <a:picLocks noChangeAspect="1"/>
                          </pic:cNvPicPr>
                        </pic:nvPicPr>
                        <pic:blipFill>
                          <a:blip r:embed="rId115"/>
                          <a:stretch>
                            <a:fillRect/>
                          </a:stretch>
                        </pic:blipFill>
                        <pic:spPr>
                          <a:xfrm>
                            <a:off x="0" y="0"/>
                            <a:ext cx="7048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647700" cy="114300"/>
                  <wp:effectExtent l="0" t="0" r="0" b="0"/>
                  <wp:docPr id="27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4"/>
                          <pic:cNvPicPr>
                            <a:picLocks noChangeAspect="1"/>
                          </pic:cNvPicPr>
                        </pic:nvPicPr>
                        <pic:blipFill>
                          <a:blip r:embed="rId116"/>
                          <a:stretch>
                            <a:fillRect/>
                          </a:stretch>
                        </pic:blipFill>
                        <pic:spPr>
                          <a:xfrm>
                            <a:off x="0" y="0"/>
                            <a:ext cx="6477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52.7%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Q4：您的婚姻状况是？[单选题]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70"/>
        <w:gridCol w:w="1066"/>
        <w:gridCol w:w="472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已婚</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103</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933450" cy="114300"/>
                  <wp:effectExtent l="0" t="0" r="0" b="0"/>
                  <wp:docPr id="2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5"/>
                          <pic:cNvPicPr>
                            <a:picLocks noChangeAspect="1"/>
                          </pic:cNvPicPr>
                        </pic:nvPicPr>
                        <pic:blipFill>
                          <a:blip r:embed="rId133"/>
                          <a:stretch>
                            <a:fillRect/>
                          </a:stretch>
                        </pic:blipFill>
                        <pic:spPr>
                          <a:xfrm>
                            <a:off x="0" y="0"/>
                            <a:ext cx="9334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419100" cy="114300"/>
                  <wp:effectExtent l="0" t="0" r="0" b="0"/>
                  <wp:docPr id="2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6"/>
                          <pic:cNvPicPr>
                            <a:picLocks noChangeAspect="1"/>
                          </pic:cNvPicPr>
                        </pic:nvPicPr>
                        <pic:blipFill>
                          <a:blip r:embed="rId134"/>
                          <a:stretch>
                            <a:fillRect/>
                          </a:stretch>
                        </pic:blipFill>
                        <pic:spPr>
                          <a:xfrm>
                            <a:off x="0" y="0"/>
                            <a:ext cx="4191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69.59%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未婚</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19</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71450" cy="114300"/>
                  <wp:effectExtent l="0" t="0" r="0" b="0"/>
                  <wp:docPr id="2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
                          <pic:cNvPicPr>
                            <a:picLocks noChangeAspect="1"/>
                          </pic:cNvPicPr>
                        </pic:nvPicPr>
                        <pic:blipFill>
                          <a:blip r:embed="rId87"/>
                          <a:stretch>
                            <a:fillRect/>
                          </a:stretch>
                        </pic:blipFill>
                        <pic:spPr>
                          <a:xfrm>
                            <a:off x="0" y="0"/>
                            <a:ext cx="1714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181100" cy="114300"/>
                  <wp:effectExtent l="0" t="0" r="0" b="0"/>
                  <wp:docPr id="27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8"/>
                          <pic:cNvPicPr>
                            <a:picLocks noChangeAspect="1"/>
                          </pic:cNvPicPr>
                        </pic:nvPicPr>
                        <pic:blipFill>
                          <a:blip r:embed="rId88"/>
                          <a:stretch>
                            <a:fillRect/>
                          </a:stretch>
                        </pic:blipFill>
                        <pic:spPr>
                          <a:xfrm>
                            <a:off x="0" y="0"/>
                            <a:ext cx="11811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12.84%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离异</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21</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90500" cy="114300"/>
                  <wp:effectExtent l="0" t="0" r="0" b="0"/>
                  <wp:docPr id="2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9"/>
                          <pic:cNvPicPr>
                            <a:picLocks noChangeAspect="1"/>
                          </pic:cNvPicPr>
                        </pic:nvPicPr>
                        <pic:blipFill>
                          <a:blip r:embed="rId135"/>
                          <a:stretch>
                            <a:fillRect/>
                          </a:stretch>
                        </pic:blipFill>
                        <pic:spPr>
                          <a:xfrm>
                            <a:off x="0" y="0"/>
                            <a:ext cx="1905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162050" cy="114300"/>
                  <wp:effectExtent l="0" t="0" r="0" b="0"/>
                  <wp:docPr id="2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30"/>
                          <pic:cNvPicPr>
                            <a:picLocks noChangeAspect="1"/>
                          </pic:cNvPicPr>
                        </pic:nvPicPr>
                        <pic:blipFill>
                          <a:blip r:embed="rId136"/>
                          <a:stretch>
                            <a:fillRect/>
                          </a:stretch>
                        </pic:blipFill>
                        <pic:spPr>
                          <a:xfrm>
                            <a:off x="0" y="0"/>
                            <a:ext cx="11620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14.19%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丧偶</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38100" cy="114300"/>
                  <wp:effectExtent l="0" t="0" r="0" b="0"/>
                  <wp:docPr id="27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31"/>
                          <pic:cNvPicPr>
                            <a:picLocks noChangeAspect="1"/>
                          </pic:cNvPicPr>
                        </pic:nvPicPr>
                        <pic:blipFill>
                          <a:blip r:embed="rId137"/>
                          <a:stretch>
                            <a:fillRect/>
                          </a:stretch>
                        </pic:blipFill>
                        <pic:spPr>
                          <a:xfrm>
                            <a:off x="0" y="0"/>
                            <a:ext cx="381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314450" cy="114300"/>
                  <wp:effectExtent l="0" t="0" r="0" b="0"/>
                  <wp:docPr id="27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32"/>
                          <pic:cNvPicPr>
                            <a:picLocks noChangeAspect="1"/>
                          </pic:cNvPicPr>
                        </pic:nvPicPr>
                        <pic:blipFill>
                          <a:blip r:embed="rId138"/>
                          <a:stretch>
                            <a:fillRect/>
                          </a:stretch>
                        </pic:blipFill>
                        <pic:spPr>
                          <a:xfrm>
                            <a:off x="0" y="0"/>
                            <a:ext cx="13144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3.38%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Q5：您现在的家庭总收入是( ) 元/月？[单选题]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1000以下</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17</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52400" cy="114300"/>
                  <wp:effectExtent l="0" t="0" r="0" b="0"/>
                  <wp:docPr id="27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33"/>
                          <pic:cNvPicPr>
                            <a:picLocks noChangeAspect="1"/>
                          </pic:cNvPicPr>
                        </pic:nvPicPr>
                        <pic:blipFill>
                          <a:blip r:embed="rId139"/>
                          <a:stretch>
                            <a:fillRect/>
                          </a:stretch>
                        </pic:blipFill>
                        <pic:spPr>
                          <a:xfrm>
                            <a:off x="0" y="0"/>
                            <a:ext cx="1524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200150" cy="114300"/>
                  <wp:effectExtent l="0" t="0" r="0" b="0"/>
                  <wp:docPr id="28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34"/>
                          <pic:cNvPicPr>
                            <a:picLocks noChangeAspect="1"/>
                          </pic:cNvPicPr>
                        </pic:nvPicPr>
                        <pic:blipFill>
                          <a:blip r:embed="rId140"/>
                          <a:stretch>
                            <a:fillRect/>
                          </a:stretch>
                        </pic:blipFill>
                        <pic:spPr>
                          <a:xfrm>
                            <a:off x="0" y="0"/>
                            <a:ext cx="12001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11.49%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1000-3000</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27</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238125" cy="114300"/>
                  <wp:effectExtent l="0" t="0" r="9525" b="0"/>
                  <wp:docPr id="28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35"/>
                          <pic:cNvPicPr>
                            <a:picLocks noChangeAspect="1"/>
                          </pic:cNvPicPr>
                        </pic:nvPicPr>
                        <pic:blipFill>
                          <a:blip r:embed="rId129"/>
                          <a:stretch>
                            <a:fillRect/>
                          </a:stretch>
                        </pic:blipFill>
                        <pic:spPr>
                          <a:xfrm>
                            <a:off x="0" y="0"/>
                            <a:ext cx="2381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114425" cy="114300"/>
                  <wp:effectExtent l="0" t="0" r="9525" b="0"/>
                  <wp:docPr id="28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36"/>
                          <pic:cNvPicPr>
                            <a:picLocks noChangeAspect="1"/>
                          </pic:cNvPicPr>
                        </pic:nvPicPr>
                        <pic:blipFill>
                          <a:blip r:embed="rId130"/>
                          <a:stretch>
                            <a:fillRect/>
                          </a:stretch>
                        </pic:blipFill>
                        <pic:spPr>
                          <a:xfrm>
                            <a:off x="0" y="0"/>
                            <a:ext cx="11144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18.24%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3000-5000</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45</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409575" cy="114300"/>
                  <wp:effectExtent l="0" t="0" r="9525" b="0"/>
                  <wp:docPr id="28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37"/>
                          <pic:cNvPicPr>
                            <a:picLocks noChangeAspect="1"/>
                          </pic:cNvPicPr>
                        </pic:nvPicPr>
                        <pic:blipFill>
                          <a:blip r:embed="rId141"/>
                          <a:stretch>
                            <a:fillRect/>
                          </a:stretch>
                        </pic:blipFill>
                        <pic:spPr>
                          <a:xfrm>
                            <a:off x="0" y="0"/>
                            <a:ext cx="4095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942975" cy="114300"/>
                  <wp:effectExtent l="0" t="0" r="9525" b="0"/>
                  <wp:docPr id="28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38"/>
                          <pic:cNvPicPr>
                            <a:picLocks noChangeAspect="1"/>
                          </pic:cNvPicPr>
                        </pic:nvPicPr>
                        <pic:blipFill>
                          <a:blip r:embed="rId142"/>
                          <a:stretch>
                            <a:fillRect/>
                          </a:stretch>
                        </pic:blipFill>
                        <pic:spPr>
                          <a:xfrm>
                            <a:off x="0" y="0"/>
                            <a:ext cx="9429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30.41%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5000以上</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59</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533400" cy="114300"/>
                  <wp:effectExtent l="0" t="0" r="0" b="0"/>
                  <wp:docPr id="33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9"/>
                          <pic:cNvPicPr>
                            <a:picLocks noChangeAspect="1"/>
                          </pic:cNvPicPr>
                        </pic:nvPicPr>
                        <pic:blipFill>
                          <a:blip r:embed="rId143"/>
                          <a:stretch>
                            <a:fillRect/>
                          </a:stretch>
                        </pic:blipFill>
                        <pic:spPr>
                          <a:xfrm>
                            <a:off x="0" y="0"/>
                            <a:ext cx="5334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819150" cy="114300"/>
                  <wp:effectExtent l="0" t="0" r="0" b="0"/>
                  <wp:docPr id="33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40"/>
                          <pic:cNvPicPr>
                            <a:picLocks noChangeAspect="1"/>
                          </pic:cNvPicPr>
                        </pic:nvPicPr>
                        <pic:blipFill>
                          <a:blip r:embed="rId144"/>
                          <a:stretch>
                            <a:fillRect/>
                          </a:stretch>
                        </pic:blipFill>
                        <pic:spPr>
                          <a:xfrm>
                            <a:off x="0" y="0"/>
                            <a:ext cx="8191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39.86%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Q6：您现在的家庭总支出是( )元/月？[单选题]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70"/>
        <w:gridCol w:w="1066"/>
        <w:gridCol w:w="472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1000以下</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13</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14300" cy="114300"/>
                  <wp:effectExtent l="0" t="0" r="0" b="0"/>
                  <wp:docPr id="33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41"/>
                          <pic:cNvPicPr>
                            <a:picLocks noChangeAspect="1"/>
                          </pic:cNvPicPr>
                        </pic:nvPicPr>
                        <pic:blipFill>
                          <a:blip r:embed="rId95"/>
                          <a:stretch>
                            <a:fillRect/>
                          </a:stretch>
                        </pic:blipFill>
                        <pic:spPr>
                          <a:xfrm>
                            <a:off x="0" y="0"/>
                            <a:ext cx="1143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238250" cy="114300"/>
                  <wp:effectExtent l="0" t="0" r="0" b="0"/>
                  <wp:docPr id="33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42"/>
                          <pic:cNvPicPr>
                            <a:picLocks noChangeAspect="1"/>
                          </pic:cNvPicPr>
                        </pic:nvPicPr>
                        <pic:blipFill>
                          <a:blip r:embed="rId96"/>
                          <a:stretch>
                            <a:fillRect/>
                          </a:stretch>
                        </pic:blipFill>
                        <pic:spPr>
                          <a:xfrm>
                            <a:off x="0" y="0"/>
                            <a:ext cx="12382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8.78%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1000-3000</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57</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514350" cy="114300"/>
                  <wp:effectExtent l="0" t="0" r="0" b="0"/>
                  <wp:docPr id="33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43"/>
                          <pic:cNvPicPr>
                            <a:picLocks noChangeAspect="1"/>
                          </pic:cNvPicPr>
                        </pic:nvPicPr>
                        <pic:blipFill>
                          <a:blip r:embed="rId145"/>
                          <a:stretch>
                            <a:fillRect/>
                          </a:stretch>
                        </pic:blipFill>
                        <pic:spPr>
                          <a:xfrm>
                            <a:off x="0" y="0"/>
                            <a:ext cx="5143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838200" cy="114300"/>
                  <wp:effectExtent l="0" t="0" r="0" b="0"/>
                  <wp:docPr id="33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44"/>
                          <pic:cNvPicPr>
                            <a:picLocks noChangeAspect="1"/>
                          </pic:cNvPicPr>
                        </pic:nvPicPr>
                        <pic:blipFill>
                          <a:blip r:embed="rId146"/>
                          <a:stretch>
                            <a:fillRect/>
                          </a:stretch>
                        </pic:blipFill>
                        <pic:spPr>
                          <a:xfrm>
                            <a:off x="0" y="0"/>
                            <a:ext cx="8382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38.51%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3000-5000</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46</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419100" cy="114300"/>
                  <wp:effectExtent l="0" t="0" r="0" b="0"/>
                  <wp:docPr id="33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45"/>
                          <pic:cNvPicPr>
                            <a:picLocks noChangeAspect="1"/>
                          </pic:cNvPicPr>
                        </pic:nvPicPr>
                        <pic:blipFill>
                          <a:blip r:embed="rId147"/>
                          <a:stretch>
                            <a:fillRect/>
                          </a:stretch>
                        </pic:blipFill>
                        <pic:spPr>
                          <a:xfrm>
                            <a:off x="0" y="0"/>
                            <a:ext cx="4191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933450" cy="114300"/>
                  <wp:effectExtent l="0" t="0" r="0" b="0"/>
                  <wp:docPr id="33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46"/>
                          <pic:cNvPicPr>
                            <a:picLocks noChangeAspect="1"/>
                          </pic:cNvPicPr>
                        </pic:nvPicPr>
                        <pic:blipFill>
                          <a:blip r:embed="rId148"/>
                          <a:stretch>
                            <a:fillRect/>
                          </a:stretch>
                        </pic:blipFill>
                        <pic:spPr>
                          <a:xfrm>
                            <a:off x="0" y="0"/>
                            <a:ext cx="9334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31.08%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5000以上</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32</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285750" cy="114300"/>
                  <wp:effectExtent l="0" t="0" r="0" b="0"/>
                  <wp:docPr id="33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47"/>
                          <pic:cNvPicPr>
                            <a:picLocks noChangeAspect="1"/>
                          </pic:cNvPicPr>
                        </pic:nvPicPr>
                        <pic:blipFill>
                          <a:blip r:embed="rId149"/>
                          <a:stretch>
                            <a:fillRect/>
                          </a:stretch>
                        </pic:blipFill>
                        <pic:spPr>
                          <a:xfrm>
                            <a:off x="0" y="0"/>
                            <a:ext cx="2857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066800" cy="114300"/>
                  <wp:effectExtent l="0" t="0" r="0" b="0"/>
                  <wp:docPr id="33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48"/>
                          <pic:cNvPicPr>
                            <a:picLocks noChangeAspect="1"/>
                          </pic:cNvPicPr>
                        </pic:nvPicPr>
                        <pic:blipFill>
                          <a:blip r:embed="rId150"/>
                          <a:stretch>
                            <a:fillRect/>
                          </a:stretch>
                        </pic:blipFill>
                        <pic:spPr>
                          <a:xfrm>
                            <a:off x="0" y="0"/>
                            <a:ext cx="10668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21.62%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Q7：您的家中是否有需要赡养的老人？[单选题]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721"/>
        <w:gridCol w:w="975"/>
        <w:gridCol w:w="436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是</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94</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857250" cy="114300"/>
                  <wp:effectExtent l="0" t="0" r="0" b="0"/>
                  <wp:docPr id="34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49"/>
                          <pic:cNvPicPr>
                            <a:picLocks noChangeAspect="1"/>
                          </pic:cNvPicPr>
                        </pic:nvPicPr>
                        <pic:blipFill>
                          <a:blip r:embed="rId151"/>
                          <a:stretch>
                            <a:fillRect/>
                          </a:stretch>
                        </pic:blipFill>
                        <pic:spPr>
                          <a:xfrm>
                            <a:off x="0" y="0"/>
                            <a:ext cx="8572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495300" cy="114300"/>
                  <wp:effectExtent l="0" t="0" r="0" b="0"/>
                  <wp:docPr id="34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50"/>
                          <pic:cNvPicPr>
                            <a:picLocks noChangeAspect="1"/>
                          </pic:cNvPicPr>
                        </pic:nvPicPr>
                        <pic:blipFill>
                          <a:blip r:embed="rId152"/>
                          <a:stretch>
                            <a:fillRect/>
                          </a:stretch>
                        </pic:blipFill>
                        <pic:spPr>
                          <a:xfrm>
                            <a:off x="0" y="0"/>
                            <a:ext cx="4953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63.51%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否(请直接跳到第10题)</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54</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485775" cy="114300"/>
                  <wp:effectExtent l="0" t="0" r="9525" b="0"/>
                  <wp:docPr id="34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51"/>
                          <pic:cNvPicPr>
                            <a:picLocks noChangeAspect="1"/>
                          </pic:cNvPicPr>
                        </pic:nvPicPr>
                        <pic:blipFill>
                          <a:blip r:embed="rId71"/>
                          <a:stretch>
                            <a:fillRect/>
                          </a:stretch>
                        </pic:blipFill>
                        <pic:spPr>
                          <a:xfrm>
                            <a:off x="0" y="0"/>
                            <a:ext cx="4857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866775" cy="114300"/>
                  <wp:effectExtent l="0" t="0" r="9525" b="0"/>
                  <wp:docPr id="34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52"/>
                          <pic:cNvPicPr>
                            <a:picLocks noChangeAspect="1"/>
                          </pic:cNvPicPr>
                        </pic:nvPicPr>
                        <pic:blipFill>
                          <a:blip r:embed="rId72"/>
                          <a:stretch>
                            <a:fillRect/>
                          </a:stretch>
                        </pic:blipFill>
                        <pic:spPr>
                          <a:xfrm>
                            <a:off x="0" y="0"/>
                            <a:ext cx="8667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36.49%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Q8：您现在家庭的人均养老支出是 ( ) 元/月？[单选题]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500以下</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15</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33350" cy="114300"/>
                  <wp:effectExtent l="0" t="0" r="0" b="0"/>
                  <wp:docPr id="34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53"/>
                          <pic:cNvPicPr>
                            <a:picLocks noChangeAspect="1"/>
                          </pic:cNvPicPr>
                        </pic:nvPicPr>
                        <pic:blipFill>
                          <a:blip r:embed="rId153"/>
                          <a:stretch>
                            <a:fillRect/>
                          </a:stretch>
                        </pic:blipFill>
                        <pic:spPr>
                          <a:xfrm>
                            <a:off x="0" y="0"/>
                            <a:ext cx="1333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219200" cy="114300"/>
                  <wp:effectExtent l="0" t="0" r="0" b="0"/>
                  <wp:docPr id="34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54"/>
                          <pic:cNvPicPr>
                            <a:picLocks noChangeAspect="1"/>
                          </pic:cNvPicPr>
                        </pic:nvPicPr>
                        <pic:blipFill>
                          <a:blip r:embed="rId154"/>
                          <a:stretch>
                            <a:fillRect/>
                          </a:stretch>
                        </pic:blipFill>
                        <pic:spPr>
                          <a:xfrm>
                            <a:off x="0" y="0"/>
                            <a:ext cx="12192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10.14%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500-1000</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44</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400050" cy="114300"/>
                  <wp:effectExtent l="0" t="0" r="0" b="0"/>
                  <wp:docPr id="34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55"/>
                          <pic:cNvPicPr>
                            <a:picLocks noChangeAspect="1"/>
                          </pic:cNvPicPr>
                        </pic:nvPicPr>
                        <pic:blipFill>
                          <a:blip r:embed="rId155"/>
                          <a:stretch>
                            <a:fillRect/>
                          </a:stretch>
                        </pic:blipFill>
                        <pic:spPr>
                          <a:xfrm>
                            <a:off x="0" y="0"/>
                            <a:ext cx="4000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952500" cy="114300"/>
                  <wp:effectExtent l="0" t="0" r="0" b="0"/>
                  <wp:docPr id="34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56"/>
                          <pic:cNvPicPr>
                            <a:picLocks noChangeAspect="1"/>
                          </pic:cNvPicPr>
                        </pic:nvPicPr>
                        <pic:blipFill>
                          <a:blip r:embed="rId156"/>
                          <a:stretch>
                            <a:fillRect/>
                          </a:stretch>
                        </pic:blipFill>
                        <pic:spPr>
                          <a:xfrm>
                            <a:off x="0" y="0"/>
                            <a:ext cx="9525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29.73%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1000-1500</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31</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276225" cy="114300"/>
                  <wp:effectExtent l="0" t="0" r="9525" b="0"/>
                  <wp:docPr id="34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57"/>
                          <pic:cNvPicPr>
                            <a:picLocks noChangeAspect="1"/>
                          </pic:cNvPicPr>
                        </pic:nvPicPr>
                        <pic:blipFill>
                          <a:blip r:embed="rId157"/>
                          <a:stretch>
                            <a:fillRect/>
                          </a:stretch>
                        </pic:blipFill>
                        <pic:spPr>
                          <a:xfrm>
                            <a:off x="0" y="0"/>
                            <a:ext cx="2762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076325" cy="114300"/>
                  <wp:effectExtent l="0" t="0" r="9525" b="0"/>
                  <wp:docPr id="24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58"/>
                          <pic:cNvPicPr>
                            <a:picLocks noChangeAspect="1"/>
                          </pic:cNvPicPr>
                        </pic:nvPicPr>
                        <pic:blipFill>
                          <a:blip r:embed="rId158"/>
                          <a:stretch>
                            <a:fillRect/>
                          </a:stretch>
                        </pic:blipFill>
                        <pic:spPr>
                          <a:xfrm>
                            <a:off x="0" y="0"/>
                            <a:ext cx="10763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20.95%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1500以上</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58</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523875" cy="114300"/>
                  <wp:effectExtent l="0" t="0" r="9525" b="0"/>
                  <wp:docPr id="24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59"/>
                          <pic:cNvPicPr>
                            <a:picLocks noChangeAspect="1"/>
                          </pic:cNvPicPr>
                        </pic:nvPicPr>
                        <pic:blipFill>
                          <a:blip r:embed="rId159"/>
                          <a:stretch>
                            <a:fillRect/>
                          </a:stretch>
                        </pic:blipFill>
                        <pic:spPr>
                          <a:xfrm>
                            <a:off x="0" y="0"/>
                            <a:ext cx="5238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828675" cy="114300"/>
                  <wp:effectExtent l="0" t="0" r="9525" b="0"/>
                  <wp:docPr id="24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60"/>
                          <pic:cNvPicPr>
                            <a:picLocks noChangeAspect="1"/>
                          </pic:cNvPicPr>
                        </pic:nvPicPr>
                        <pic:blipFill>
                          <a:blip r:embed="rId160"/>
                          <a:stretch>
                            <a:fillRect/>
                          </a:stretch>
                        </pic:blipFill>
                        <pic:spPr>
                          <a:xfrm>
                            <a:off x="0" y="0"/>
                            <a:ext cx="8286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39.19%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Q9：您家里老人的日常生活由谁来照顾？[单选题]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老人自理</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57</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514350" cy="114300"/>
                  <wp:effectExtent l="0" t="0" r="0" b="0"/>
                  <wp:docPr id="25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61"/>
                          <pic:cNvPicPr>
                            <a:picLocks noChangeAspect="1"/>
                          </pic:cNvPicPr>
                        </pic:nvPicPr>
                        <pic:blipFill>
                          <a:blip r:embed="rId145"/>
                          <a:stretch>
                            <a:fillRect/>
                          </a:stretch>
                        </pic:blipFill>
                        <pic:spPr>
                          <a:xfrm>
                            <a:off x="0" y="0"/>
                            <a:ext cx="5143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838200" cy="114300"/>
                  <wp:effectExtent l="0" t="0" r="0" b="0"/>
                  <wp:docPr id="25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62"/>
                          <pic:cNvPicPr>
                            <a:picLocks noChangeAspect="1"/>
                          </pic:cNvPicPr>
                        </pic:nvPicPr>
                        <pic:blipFill>
                          <a:blip r:embed="rId146"/>
                          <a:stretch>
                            <a:fillRect/>
                          </a:stretch>
                        </pic:blipFill>
                        <pic:spPr>
                          <a:xfrm>
                            <a:off x="0" y="0"/>
                            <a:ext cx="8382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38.51%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老伴相互照料</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25</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219075" cy="114300"/>
                  <wp:effectExtent l="0" t="0" r="9525" b="0"/>
                  <wp:docPr id="25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63"/>
                          <pic:cNvPicPr>
                            <a:picLocks noChangeAspect="1"/>
                          </pic:cNvPicPr>
                        </pic:nvPicPr>
                        <pic:blipFill>
                          <a:blip r:embed="rId161"/>
                          <a:stretch>
                            <a:fillRect/>
                          </a:stretch>
                        </pic:blipFill>
                        <pic:spPr>
                          <a:xfrm>
                            <a:off x="0" y="0"/>
                            <a:ext cx="2190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133475" cy="114300"/>
                  <wp:effectExtent l="0" t="0" r="9525" b="0"/>
                  <wp:docPr id="25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64"/>
                          <pic:cNvPicPr>
                            <a:picLocks noChangeAspect="1"/>
                          </pic:cNvPicPr>
                        </pic:nvPicPr>
                        <pic:blipFill>
                          <a:blip r:embed="rId162"/>
                          <a:stretch>
                            <a:fillRect/>
                          </a:stretch>
                        </pic:blipFill>
                        <pic:spPr>
                          <a:xfrm>
                            <a:off x="0" y="0"/>
                            <a:ext cx="11334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16.89%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老人的子女</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58</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523875" cy="114300"/>
                  <wp:effectExtent l="0" t="0" r="9525" b="0"/>
                  <wp:docPr id="25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65"/>
                          <pic:cNvPicPr>
                            <a:picLocks noChangeAspect="1"/>
                          </pic:cNvPicPr>
                        </pic:nvPicPr>
                        <pic:blipFill>
                          <a:blip r:embed="rId159"/>
                          <a:stretch>
                            <a:fillRect/>
                          </a:stretch>
                        </pic:blipFill>
                        <pic:spPr>
                          <a:xfrm>
                            <a:off x="0" y="0"/>
                            <a:ext cx="5238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828675" cy="114300"/>
                  <wp:effectExtent l="0" t="0" r="9525" b="0"/>
                  <wp:docPr id="255"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66"/>
                          <pic:cNvPicPr>
                            <a:picLocks noChangeAspect="1"/>
                          </pic:cNvPicPr>
                        </pic:nvPicPr>
                        <pic:blipFill>
                          <a:blip r:embed="rId160"/>
                          <a:stretch>
                            <a:fillRect/>
                          </a:stretch>
                        </pic:blipFill>
                        <pic:spPr>
                          <a:xfrm>
                            <a:off x="0" y="0"/>
                            <a:ext cx="8286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39.19%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其他亲友</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7</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57150" cy="114300"/>
                  <wp:effectExtent l="0" t="0" r="0" b="0"/>
                  <wp:docPr id="25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67"/>
                          <pic:cNvPicPr>
                            <a:picLocks noChangeAspect="1"/>
                          </pic:cNvPicPr>
                        </pic:nvPicPr>
                        <pic:blipFill>
                          <a:blip r:embed="rId99"/>
                          <a:stretch>
                            <a:fillRect/>
                          </a:stretch>
                        </pic:blipFill>
                        <pic:spPr>
                          <a:xfrm>
                            <a:off x="0" y="0"/>
                            <a:ext cx="571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295400" cy="114300"/>
                  <wp:effectExtent l="0" t="0" r="0" b="0"/>
                  <wp:docPr id="25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68"/>
                          <pic:cNvPicPr>
                            <a:picLocks noChangeAspect="1"/>
                          </pic:cNvPicPr>
                        </pic:nvPicPr>
                        <pic:blipFill>
                          <a:blip r:embed="rId100"/>
                          <a:stretch>
                            <a:fillRect/>
                          </a:stretch>
                        </pic:blipFill>
                        <pic:spPr>
                          <a:xfrm>
                            <a:off x="0" y="0"/>
                            <a:ext cx="12954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4.73%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保姆</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352550" cy="114300"/>
                  <wp:effectExtent l="0" t="0" r="0" b="0"/>
                  <wp:docPr id="25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69"/>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0.68%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社区中专业工作者</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0</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352550" cy="114300"/>
                  <wp:effectExtent l="0" t="0" r="0" b="0"/>
                  <wp:docPr id="25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70"/>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Q10： 您是否了解日间照料中心？[单选题]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79"/>
        <w:gridCol w:w="1019"/>
        <w:gridCol w:w="456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十分了解</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51</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457200" cy="114300"/>
                  <wp:effectExtent l="0" t="0" r="0" b="0"/>
                  <wp:docPr id="26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71"/>
                          <pic:cNvPicPr>
                            <a:picLocks noChangeAspect="1"/>
                          </pic:cNvPicPr>
                        </pic:nvPicPr>
                        <pic:blipFill>
                          <a:blip r:embed="rId164"/>
                          <a:stretch>
                            <a:fillRect/>
                          </a:stretch>
                        </pic:blipFill>
                        <pic:spPr>
                          <a:xfrm>
                            <a:off x="0" y="0"/>
                            <a:ext cx="4572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895350" cy="114300"/>
                  <wp:effectExtent l="0" t="0" r="0" b="0"/>
                  <wp:docPr id="26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72"/>
                          <pic:cNvPicPr>
                            <a:picLocks noChangeAspect="1"/>
                          </pic:cNvPicPr>
                        </pic:nvPicPr>
                        <pic:blipFill>
                          <a:blip r:embed="rId165"/>
                          <a:stretch>
                            <a:fillRect/>
                          </a:stretch>
                        </pic:blipFill>
                        <pic:spPr>
                          <a:xfrm>
                            <a:off x="0" y="0"/>
                            <a:ext cx="8953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34.46%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听说过，但不太了解</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83</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752475" cy="114300"/>
                  <wp:effectExtent l="0" t="0" r="9525" b="0"/>
                  <wp:docPr id="26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73"/>
                          <pic:cNvPicPr>
                            <a:picLocks noChangeAspect="1"/>
                          </pic:cNvPicPr>
                        </pic:nvPicPr>
                        <pic:blipFill>
                          <a:blip r:embed="rId166"/>
                          <a:stretch>
                            <a:fillRect/>
                          </a:stretch>
                        </pic:blipFill>
                        <pic:spPr>
                          <a:xfrm>
                            <a:off x="0" y="0"/>
                            <a:ext cx="7524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600075" cy="114300"/>
                  <wp:effectExtent l="0" t="0" r="9525" b="0"/>
                  <wp:docPr id="263"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74"/>
                          <pic:cNvPicPr>
                            <a:picLocks noChangeAspect="1"/>
                          </pic:cNvPicPr>
                        </pic:nvPicPr>
                        <pic:blipFill>
                          <a:blip r:embed="rId167"/>
                          <a:stretch>
                            <a:fillRect/>
                          </a:stretch>
                        </pic:blipFill>
                        <pic:spPr>
                          <a:xfrm>
                            <a:off x="0" y="0"/>
                            <a:ext cx="6000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56.08%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从没听过，不了解</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23825" cy="114300"/>
                  <wp:effectExtent l="0" t="0" r="9525" b="0"/>
                  <wp:docPr id="26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75"/>
                          <pic:cNvPicPr>
                            <a:picLocks noChangeAspect="1"/>
                          </pic:cNvPicPr>
                        </pic:nvPicPr>
                        <pic:blipFill>
                          <a:blip r:embed="rId119"/>
                          <a:stretch>
                            <a:fillRect/>
                          </a:stretch>
                        </pic:blipFill>
                        <pic:spPr>
                          <a:xfrm>
                            <a:off x="0" y="0"/>
                            <a:ext cx="1238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228725" cy="114300"/>
                  <wp:effectExtent l="0" t="0" r="9525" b="0"/>
                  <wp:docPr id="265"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76"/>
                          <pic:cNvPicPr>
                            <a:picLocks noChangeAspect="1"/>
                          </pic:cNvPicPr>
                        </pic:nvPicPr>
                        <pic:blipFill>
                          <a:blip r:embed="rId120"/>
                          <a:stretch>
                            <a:fillRect/>
                          </a:stretch>
                        </pic:blipFill>
                        <pic:spPr>
                          <a:xfrm>
                            <a:off x="0" y="0"/>
                            <a:ext cx="12287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9.46%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Q11：您是否会选择让老年人进入日间照料中心？[单选题]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是</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89</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809625" cy="114300"/>
                  <wp:effectExtent l="0" t="0" r="9525" b="0"/>
                  <wp:docPr id="28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77"/>
                          <pic:cNvPicPr>
                            <a:picLocks noChangeAspect="1"/>
                          </pic:cNvPicPr>
                        </pic:nvPicPr>
                        <pic:blipFill>
                          <a:blip r:embed="rId168"/>
                          <a:stretch>
                            <a:fillRect/>
                          </a:stretch>
                        </pic:blipFill>
                        <pic:spPr>
                          <a:xfrm>
                            <a:off x="0" y="0"/>
                            <a:ext cx="8096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542925" cy="114300"/>
                  <wp:effectExtent l="0" t="0" r="9525" b="0"/>
                  <wp:docPr id="28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78"/>
                          <pic:cNvPicPr>
                            <a:picLocks noChangeAspect="1"/>
                          </pic:cNvPicPr>
                        </pic:nvPicPr>
                        <pic:blipFill>
                          <a:blip r:embed="rId169"/>
                          <a:stretch>
                            <a:fillRect/>
                          </a:stretch>
                        </pic:blipFill>
                        <pic:spPr>
                          <a:xfrm>
                            <a:off x="0" y="0"/>
                            <a:ext cx="5429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60.14%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否</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59</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533400" cy="114300"/>
                  <wp:effectExtent l="0" t="0" r="0" b="0"/>
                  <wp:docPr id="287"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79"/>
                          <pic:cNvPicPr>
                            <a:picLocks noChangeAspect="1"/>
                          </pic:cNvPicPr>
                        </pic:nvPicPr>
                        <pic:blipFill>
                          <a:blip r:embed="rId143"/>
                          <a:stretch>
                            <a:fillRect/>
                          </a:stretch>
                        </pic:blipFill>
                        <pic:spPr>
                          <a:xfrm>
                            <a:off x="0" y="0"/>
                            <a:ext cx="5334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819150" cy="114300"/>
                  <wp:effectExtent l="0" t="0" r="0" b="0"/>
                  <wp:docPr id="28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80"/>
                          <pic:cNvPicPr>
                            <a:picLocks noChangeAspect="1"/>
                          </pic:cNvPicPr>
                        </pic:nvPicPr>
                        <pic:blipFill>
                          <a:blip r:embed="rId144"/>
                          <a:stretch>
                            <a:fillRect/>
                          </a:stretch>
                        </pic:blipFill>
                        <pic:spPr>
                          <a:xfrm>
                            <a:off x="0" y="0"/>
                            <a:ext cx="8191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39.86%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Q12：针对上题的回答，您优先考虑的因素是？[单选题]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环境</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25</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219075" cy="114300"/>
                  <wp:effectExtent l="0" t="0" r="9525" b="0"/>
                  <wp:docPr id="289"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81"/>
                          <pic:cNvPicPr>
                            <a:picLocks noChangeAspect="1"/>
                          </pic:cNvPicPr>
                        </pic:nvPicPr>
                        <pic:blipFill>
                          <a:blip r:embed="rId161"/>
                          <a:stretch>
                            <a:fillRect/>
                          </a:stretch>
                        </pic:blipFill>
                        <pic:spPr>
                          <a:xfrm>
                            <a:off x="0" y="0"/>
                            <a:ext cx="2190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133475" cy="114300"/>
                  <wp:effectExtent l="0" t="0" r="9525" b="0"/>
                  <wp:docPr id="29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82"/>
                          <pic:cNvPicPr>
                            <a:picLocks noChangeAspect="1"/>
                          </pic:cNvPicPr>
                        </pic:nvPicPr>
                        <pic:blipFill>
                          <a:blip r:embed="rId162"/>
                          <a:stretch>
                            <a:fillRect/>
                          </a:stretch>
                        </pic:blipFill>
                        <pic:spPr>
                          <a:xfrm>
                            <a:off x="0" y="0"/>
                            <a:ext cx="11334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16.89%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价格</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32</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285750" cy="114300"/>
                  <wp:effectExtent l="0" t="0" r="0" b="0"/>
                  <wp:docPr id="291"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83"/>
                          <pic:cNvPicPr>
                            <a:picLocks noChangeAspect="1"/>
                          </pic:cNvPicPr>
                        </pic:nvPicPr>
                        <pic:blipFill>
                          <a:blip r:embed="rId149"/>
                          <a:stretch>
                            <a:fillRect/>
                          </a:stretch>
                        </pic:blipFill>
                        <pic:spPr>
                          <a:xfrm>
                            <a:off x="0" y="0"/>
                            <a:ext cx="2857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066800" cy="114300"/>
                  <wp:effectExtent l="0" t="0" r="0" b="0"/>
                  <wp:docPr id="29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84"/>
                          <pic:cNvPicPr>
                            <a:picLocks noChangeAspect="1"/>
                          </pic:cNvPicPr>
                        </pic:nvPicPr>
                        <pic:blipFill>
                          <a:blip r:embed="rId150"/>
                          <a:stretch>
                            <a:fillRect/>
                          </a:stretch>
                        </pic:blipFill>
                        <pic:spPr>
                          <a:xfrm>
                            <a:off x="0" y="0"/>
                            <a:ext cx="10668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21.62%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服务</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67</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609600" cy="114300"/>
                  <wp:effectExtent l="0" t="0" r="0" b="0"/>
                  <wp:docPr id="29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85"/>
                          <pic:cNvPicPr>
                            <a:picLocks noChangeAspect="1"/>
                          </pic:cNvPicPr>
                        </pic:nvPicPr>
                        <pic:blipFill>
                          <a:blip r:embed="rId170"/>
                          <a:stretch>
                            <a:fillRect/>
                          </a:stretch>
                        </pic:blipFill>
                        <pic:spPr>
                          <a:xfrm>
                            <a:off x="0" y="0"/>
                            <a:ext cx="6096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742950" cy="114300"/>
                  <wp:effectExtent l="0" t="0" r="0" b="0"/>
                  <wp:docPr id="29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86"/>
                          <pic:cNvPicPr>
                            <a:picLocks noChangeAspect="1"/>
                          </pic:cNvPicPr>
                        </pic:nvPicPr>
                        <pic:blipFill>
                          <a:blip r:embed="rId171"/>
                          <a:stretch>
                            <a:fillRect/>
                          </a:stretch>
                        </pic:blipFill>
                        <pic:spPr>
                          <a:xfrm>
                            <a:off x="0" y="0"/>
                            <a:ext cx="7429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45.27%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其他</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24</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219075" cy="114300"/>
                  <wp:effectExtent l="0" t="0" r="9525" b="0"/>
                  <wp:docPr id="29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87"/>
                          <pic:cNvPicPr>
                            <a:picLocks noChangeAspect="1"/>
                          </pic:cNvPicPr>
                        </pic:nvPicPr>
                        <pic:blipFill>
                          <a:blip r:embed="rId161"/>
                          <a:stretch>
                            <a:fillRect/>
                          </a:stretch>
                        </pic:blipFill>
                        <pic:spPr>
                          <a:xfrm>
                            <a:off x="0" y="0"/>
                            <a:ext cx="2190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133475" cy="114300"/>
                  <wp:effectExtent l="0" t="0" r="9525" b="0"/>
                  <wp:docPr id="29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88"/>
                          <pic:cNvPicPr>
                            <a:picLocks noChangeAspect="1"/>
                          </pic:cNvPicPr>
                        </pic:nvPicPr>
                        <pic:blipFill>
                          <a:blip r:embed="rId162"/>
                          <a:stretch>
                            <a:fillRect/>
                          </a:stretch>
                        </pic:blipFill>
                        <pic:spPr>
                          <a:xfrm>
                            <a:off x="0" y="0"/>
                            <a:ext cx="11334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16.22%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Q13：您认为合理的家庭人均养老费用支出是 元/月？[单选题]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500以下</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15</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33350" cy="114300"/>
                  <wp:effectExtent l="0" t="0" r="0" b="0"/>
                  <wp:docPr id="29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89"/>
                          <pic:cNvPicPr>
                            <a:picLocks noChangeAspect="1"/>
                          </pic:cNvPicPr>
                        </pic:nvPicPr>
                        <pic:blipFill>
                          <a:blip r:embed="rId153"/>
                          <a:stretch>
                            <a:fillRect/>
                          </a:stretch>
                        </pic:blipFill>
                        <pic:spPr>
                          <a:xfrm>
                            <a:off x="0" y="0"/>
                            <a:ext cx="1333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219200" cy="114300"/>
                  <wp:effectExtent l="0" t="0" r="0" b="0"/>
                  <wp:docPr id="29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90"/>
                          <pic:cNvPicPr>
                            <a:picLocks noChangeAspect="1"/>
                          </pic:cNvPicPr>
                        </pic:nvPicPr>
                        <pic:blipFill>
                          <a:blip r:embed="rId154"/>
                          <a:stretch>
                            <a:fillRect/>
                          </a:stretch>
                        </pic:blipFill>
                        <pic:spPr>
                          <a:xfrm>
                            <a:off x="0" y="0"/>
                            <a:ext cx="12192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10.14%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500-1000</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40</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361950" cy="114300"/>
                  <wp:effectExtent l="0" t="0" r="0" b="0"/>
                  <wp:docPr id="29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91"/>
                          <pic:cNvPicPr>
                            <a:picLocks noChangeAspect="1"/>
                          </pic:cNvPicPr>
                        </pic:nvPicPr>
                        <pic:blipFill>
                          <a:blip r:embed="rId172"/>
                          <a:stretch>
                            <a:fillRect/>
                          </a:stretch>
                        </pic:blipFill>
                        <pic:spPr>
                          <a:xfrm>
                            <a:off x="0" y="0"/>
                            <a:ext cx="3619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990600" cy="114300"/>
                  <wp:effectExtent l="0" t="0" r="0" b="0"/>
                  <wp:docPr id="30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92"/>
                          <pic:cNvPicPr>
                            <a:picLocks noChangeAspect="1"/>
                          </pic:cNvPicPr>
                        </pic:nvPicPr>
                        <pic:blipFill>
                          <a:blip r:embed="rId173"/>
                          <a:stretch>
                            <a:fillRect/>
                          </a:stretch>
                        </pic:blipFill>
                        <pic:spPr>
                          <a:xfrm>
                            <a:off x="0" y="0"/>
                            <a:ext cx="9906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27.03%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1000-1500</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47</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428625" cy="114300"/>
                  <wp:effectExtent l="0" t="0" r="9525" b="0"/>
                  <wp:docPr id="30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93"/>
                          <pic:cNvPicPr>
                            <a:picLocks noChangeAspect="1"/>
                          </pic:cNvPicPr>
                        </pic:nvPicPr>
                        <pic:blipFill>
                          <a:blip r:embed="rId174"/>
                          <a:stretch>
                            <a:fillRect/>
                          </a:stretch>
                        </pic:blipFill>
                        <pic:spPr>
                          <a:xfrm>
                            <a:off x="0" y="0"/>
                            <a:ext cx="4286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923925" cy="114300"/>
                  <wp:effectExtent l="0" t="0" r="9525" b="0"/>
                  <wp:docPr id="302"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94"/>
                          <pic:cNvPicPr>
                            <a:picLocks noChangeAspect="1"/>
                          </pic:cNvPicPr>
                        </pic:nvPicPr>
                        <pic:blipFill>
                          <a:blip r:embed="rId175"/>
                          <a:stretch>
                            <a:fillRect/>
                          </a:stretch>
                        </pic:blipFill>
                        <pic:spPr>
                          <a:xfrm>
                            <a:off x="0" y="0"/>
                            <a:ext cx="9239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31.76%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1500以上</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46</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419100" cy="114300"/>
                  <wp:effectExtent l="0" t="0" r="0" b="0"/>
                  <wp:docPr id="303"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95"/>
                          <pic:cNvPicPr>
                            <a:picLocks noChangeAspect="1"/>
                          </pic:cNvPicPr>
                        </pic:nvPicPr>
                        <pic:blipFill>
                          <a:blip r:embed="rId147"/>
                          <a:stretch>
                            <a:fillRect/>
                          </a:stretch>
                        </pic:blipFill>
                        <pic:spPr>
                          <a:xfrm>
                            <a:off x="0" y="0"/>
                            <a:ext cx="4191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933450" cy="114300"/>
                  <wp:effectExtent l="0" t="0" r="0" b="0"/>
                  <wp:docPr id="22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96"/>
                          <pic:cNvPicPr>
                            <a:picLocks noChangeAspect="1"/>
                          </pic:cNvPicPr>
                        </pic:nvPicPr>
                        <pic:blipFill>
                          <a:blip r:embed="rId148"/>
                          <a:stretch>
                            <a:fillRect/>
                          </a:stretch>
                        </pic:blipFill>
                        <pic:spPr>
                          <a:xfrm>
                            <a:off x="0" y="0"/>
                            <a:ext cx="9334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31.08%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Q14：您认为社区日间照料中心的养老经费应该由谁支付？[单选题]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061"/>
        <w:gridCol w:w="913"/>
        <w:gridCol w:w="408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政府</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20</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80975" cy="114300"/>
                  <wp:effectExtent l="0" t="0" r="9525" b="0"/>
                  <wp:docPr id="229"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97"/>
                          <pic:cNvPicPr>
                            <a:picLocks noChangeAspect="1"/>
                          </pic:cNvPicPr>
                        </pic:nvPicPr>
                        <pic:blipFill>
                          <a:blip r:embed="rId176"/>
                          <a:stretch>
                            <a:fillRect/>
                          </a:stretch>
                        </pic:blipFill>
                        <pic:spPr>
                          <a:xfrm>
                            <a:off x="0" y="0"/>
                            <a:ext cx="1809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171575" cy="114300"/>
                  <wp:effectExtent l="0" t="0" r="9525" b="0"/>
                  <wp:docPr id="230"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98"/>
                          <pic:cNvPicPr>
                            <a:picLocks noChangeAspect="1"/>
                          </pic:cNvPicPr>
                        </pic:nvPicPr>
                        <pic:blipFill>
                          <a:blip r:embed="rId177"/>
                          <a:stretch>
                            <a:fillRect/>
                          </a:stretch>
                        </pic:blipFill>
                        <pic:spPr>
                          <a:xfrm>
                            <a:off x="0" y="0"/>
                            <a:ext cx="11715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13.51%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个人</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17</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52400" cy="114300"/>
                  <wp:effectExtent l="0" t="0" r="0" b="0"/>
                  <wp:docPr id="231"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99"/>
                          <pic:cNvPicPr>
                            <a:picLocks noChangeAspect="1"/>
                          </pic:cNvPicPr>
                        </pic:nvPicPr>
                        <pic:blipFill>
                          <a:blip r:embed="rId139"/>
                          <a:stretch>
                            <a:fillRect/>
                          </a:stretch>
                        </pic:blipFill>
                        <pic:spPr>
                          <a:xfrm>
                            <a:off x="0" y="0"/>
                            <a:ext cx="1524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200150" cy="114300"/>
                  <wp:effectExtent l="0" t="0" r="0" b="0"/>
                  <wp:docPr id="23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00"/>
                          <pic:cNvPicPr>
                            <a:picLocks noChangeAspect="1"/>
                          </pic:cNvPicPr>
                        </pic:nvPicPr>
                        <pic:blipFill>
                          <a:blip r:embed="rId140"/>
                          <a:stretch>
                            <a:fillRect/>
                          </a:stretch>
                        </pic:blipFill>
                        <pic:spPr>
                          <a:xfrm>
                            <a:off x="0" y="0"/>
                            <a:ext cx="12001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11.49%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企业</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0</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352550" cy="114300"/>
                  <wp:effectExtent l="0" t="0" r="0" b="0"/>
                  <wp:docPr id="233"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101"/>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政府、企业、个人共同支付</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111</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1009650" cy="114300"/>
                  <wp:effectExtent l="0" t="0" r="0" b="0"/>
                  <wp:docPr id="23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102"/>
                          <pic:cNvPicPr>
                            <a:picLocks noChangeAspect="1"/>
                          </pic:cNvPicPr>
                        </pic:nvPicPr>
                        <pic:blipFill>
                          <a:blip r:embed="rId178"/>
                          <a:stretch>
                            <a:fillRect/>
                          </a:stretch>
                        </pic:blipFill>
                        <pic:spPr>
                          <a:xfrm>
                            <a:off x="0" y="0"/>
                            <a:ext cx="10096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342900" cy="114300"/>
                  <wp:effectExtent l="0" t="0" r="0" b="0"/>
                  <wp:docPr id="23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03"/>
                          <pic:cNvPicPr>
                            <a:picLocks noChangeAspect="1"/>
                          </pic:cNvPicPr>
                        </pic:nvPicPr>
                        <pic:blipFill>
                          <a:blip r:embed="rId179"/>
                          <a:stretch>
                            <a:fillRect/>
                          </a:stretch>
                        </pic:blipFill>
                        <pic:spPr>
                          <a:xfrm>
                            <a:off x="0" y="0"/>
                            <a:ext cx="3429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75%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Q15：您对日间照料中心的设施、服务等方面是否满意？[单选题]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061"/>
        <w:gridCol w:w="913"/>
        <w:gridCol w:w="408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十分满意</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45</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409575" cy="114300"/>
                  <wp:effectExtent l="0" t="0" r="9525" b="0"/>
                  <wp:docPr id="23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04"/>
                          <pic:cNvPicPr>
                            <a:picLocks noChangeAspect="1"/>
                          </pic:cNvPicPr>
                        </pic:nvPicPr>
                        <pic:blipFill>
                          <a:blip r:embed="rId141"/>
                          <a:stretch>
                            <a:fillRect/>
                          </a:stretch>
                        </pic:blipFill>
                        <pic:spPr>
                          <a:xfrm>
                            <a:off x="0" y="0"/>
                            <a:ext cx="4095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942975" cy="114300"/>
                  <wp:effectExtent l="0" t="0" r="9525" b="0"/>
                  <wp:docPr id="237"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05"/>
                          <pic:cNvPicPr>
                            <a:picLocks noChangeAspect="1"/>
                          </pic:cNvPicPr>
                        </pic:nvPicPr>
                        <pic:blipFill>
                          <a:blip r:embed="rId142"/>
                          <a:stretch>
                            <a:fillRect/>
                          </a:stretch>
                        </pic:blipFill>
                        <pic:spPr>
                          <a:xfrm>
                            <a:off x="0" y="0"/>
                            <a:ext cx="9429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30.41%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比较满意，但还有进步空间</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98</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895350" cy="114300"/>
                  <wp:effectExtent l="0" t="0" r="0" b="0"/>
                  <wp:docPr id="238"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06"/>
                          <pic:cNvPicPr>
                            <a:picLocks noChangeAspect="1"/>
                          </pic:cNvPicPr>
                        </pic:nvPicPr>
                        <pic:blipFill>
                          <a:blip r:embed="rId180"/>
                          <a:stretch>
                            <a:fillRect/>
                          </a:stretch>
                        </pic:blipFill>
                        <pic:spPr>
                          <a:xfrm>
                            <a:off x="0" y="0"/>
                            <a:ext cx="8953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457200" cy="114300"/>
                  <wp:effectExtent l="0" t="0" r="0" b="0"/>
                  <wp:docPr id="239"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07"/>
                          <pic:cNvPicPr>
                            <a:picLocks noChangeAspect="1"/>
                          </pic:cNvPicPr>
                        </pic:nvPicPr>
                        <pic:blipFill>
                          <a:blip r:embed="rId181"/>
                          <a:stretch>
                            <a:fillRect/>
                          </a:stretch>
                        </pic:blipFill>
                        <pic:spPr>
                          <a:xfrm>
                            <a:off x="0" y="0"/>
                            <a:ext cx="4572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66.22%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不满意</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5</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38100" cy="114300"/>
                  <wp:effectExtent l="0" t="0" r="0" b="0"/>
                  <wp:docPr id="24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08"/>
                          <pic:cNvPicPr>
                            <a:picLocks noChangeAspect="1"/>
                          </pic:cNvPicPr>
                        </pic:nvPicPr>
                        <pic:blipFill>
                          <a:blip r:embed="rId137"/>
                          <a:stretch>
                            <a:fillRect/>
                          </a:stretch>
                        </pic:blipFill>
                        <pic:spPr>
                          <a:xfrm>
                            <a:off x="0" y="0"/>
                            <a:ext cx="381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314450" cy="114300"/>
                  <wp:effectExtent l="0" t="0" r="0" b="0"/>
                  <wp:docPr id="24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09"/>
                          <pic:cNvPicPr>
                            <a:picLocks noChangeAspect="1"/>
                          </pic:cNvPicPr>
                        </pic:nvPicPr>
                        <pic:blipFill>
                          <a:blip r:embed="rId138"/>
                          <a:stretch>
                            <a:fillRect/>
                          </a:stretch>
                        </pic:blipFill>
                        <pic:spPr>
                          <a:xfrm>
                            <a:off x="0" y="0"/>
                            <a:ext cx="13144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3.38%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Q16：您觉得社区老年人日间照料中心应提供哪些方面的服务？[多选题]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家政服务</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83</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752475" cy="114300"/>
                  <wp:effectExtent l="0" t="0" r="9525" b="0"/>
                  <wp:docPr id="242"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110"/>
                          <pic:cNvPicPr>
                            <a:picLocks noChangeAspect="1"/>
                          </pic:cNvPicPr>
                        </pic:nvPicPr>
                        <pic:blipFill>
                          <a:blip r:embed="rId166"/>
                          <a:stretch>
                            <a:fillRect/>
                          </a:stretch>
                        </pic:blipFill>
                        <pic:spPr>
                          <a:xfrm>
                            <a:off x="0" y="0"/>
                            <a:ext cx="7524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600075" cy="114300"/>
                  <wp:effectExtent l="0" t="0" r="9525" b="0"/>
                  <wp:docPr id="24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11"/>
                          <pic:cNvPicPr>
                            <a:picLocks noChangeAspect="1"/>
                          </pic:cNvPicPr>
                        </pic:nvPicPr>
                        <pic:blipFill>
                          <a:blip r:embed="rId167"/>
                          <a:stretch>
                            <a:fillRect/>
                          </a:stretch>
                        </pic:blipFill>
                        <pic:spPr>
                          <a:xfrm>
                            <a:off x="0" y="0"/>
                            <a:ext cx="6000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56.08%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身体检查</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107</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971550" cy="114300"/>
                  <wp:effectExtent l="0" t="0" r="0" b="0"/>
                  <wp:docPr id="24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12"/>
                          <pic:cNvPicPr>
                            <a:picLocks noChangeAspect="1"/>
                          </pic:cNvPicPr>
                        </pic:nvPicPr>
                        <pic:blipFill>
                          <a:blip r:embed="rId182"/>
                          <a:stretch>
                            <a:fillRect/>
                          </a:stretch>
                        </pic:blipFill>
                        <pic:spPr>
                          <a:xfrm>
                            <a:off x="0" y="0"/>
                            <a:ext cx="9715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381000" cy="114300"/>
                  <wp:effectExtent l="0" t="0" r="0" b="0"/>
                  <wp:docPr id="245"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13"/>
                          <pic:cNvPicPr>
                            <a:picLocks noChangeAspect="1"/>
                          </pic:cNvPicPr>
                        </pic:nvPicPr>
                        <pic:blipFill>
                          <a:blip r:embed="rId183"/>
                          <a:stretch>
                            <a:fillRect/>
                          </a:stretch>
                        </pic:blipFill>
                        <pic:spPr>
                          <a:xfrm>
                            <a:off x="0" y="0"/>
                            <a:ext cx="3810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72.3%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心理辅导</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77</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695325" cy="114300"/>
                  <wp:effectExtent l="0" t="0" r="9525" b="0"/>
                  <wp:docPr id="246"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114"/>
                          <pic:cNvPicPr>
                            <a:picLocks noChangeAspect="1"/>
                          </pic:cNvPicPr>
                        </pic:nvPicPr>
                        <pic:blipFill>
                          <a:blip r:embed="rId184"/>
                          <a:stretch>
                            <a:fillRect/>
                          </a:stretch>
                        </pic:blipFill>
                        <pic:spPr>
                          <a:xfrm>
                            <a:off x="0" y="0"/>
                            <a:ext cx="6953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657225" cy="114300"/>
                  <wp:effectExtent l="0" t="0" r="9525" b="0"/>
                  <wp:docPr id="209"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15"/>
                          <pic:cNvPicPr>
                            <a:picLocks noChangeAspect="1"/>
                          </pic:cNvPicPr>
                        </pic:nvPicPr>
                        <pic:blipFill>
                          <a:blip r:embed="rId185"/>
                          <a:stretch>
                            <a:fillRect/>
                          </a:stretch>
                        </pic:blipFill>
                        <pic:spPr>
                          <a:xfrm>
                            <a:off x="0" y="0"/>
                            <a:ext cx="6572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52.03%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娱乐活动</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95</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866775" cy="114300"/>
                  <wp:effectExtent l="0" t="0" r="9525" b="0"/>
                  <wp:docPr id="210"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16"/>
                          <pic:cNvPicPr>
                            <a:picLocks noChangeAspect="1"/>
                          </pic:cNvPicPr>
                        </pic:nvPicPr>
                        <pic:blipFill>
                          <a:blip r:embed="rId186"/>
                          <a:stretch>
                            <a:fillRect/>
                          </a:stretch>
                        </pic:blipFill>
                        <pic:spPr>
                          <a:xfrm>
                            <a:off x="0" y="0"/>
                            <a:ext cx="8667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485775" cy="114300"/>
                  <wp:effectExtent l="0" t="0" r="9525" b="0"/>
                  <wp:docPr id="211"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17"/>
                          <pic:cNvPicPr>
                            <a:picLocks noChangeAspect="1"/>
                          </pic:cNvPicPr>
                        </pic:nvPicPr>
                        <pic:blipFill>
                          <a:blip r:embed="rId187"/>
                          <a:stretch>
                            <a:fillRect/>
                          </a:stretch>
                        </pic:blipFill>
                        <pic:spPr>
                          <a:xfrm>
                            <a:off x="0" y="0"/>
                            <a:ext cx="4857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64.19%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医疗保健</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109</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990600" cy="114300"/>
                  <wp:effectExtent l="0" t="0" r="0" b="0"/>
                  <wp:docPr id="212"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18"/>
                          <pic:cNvPicPr>
                            <a:picLocks noChangeAspect="1"/>
                          </pic:cNvPicPr>
                        </pic:nvPicPr>
                        <pic:blipFill>
                          <a:blip r:embed="rId188"/>
                          <a:stretch>
                            <a:fillRect/>
                          </a:stretch>
                        </pic:blipFill>
                        <pic:spPr>
                          <a:xfrm>
                            <a:off x="0" y="0"/>
                            <a:ext cx="9906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361950" cy="114300"/>
                  <wp:effectExtent l="0" t="0" r="0" b="0"/>
                  <wp:docPr id="213"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19"/>
                          <pic:cNvPicPr>
                            <a:picLocks noChangeAspect="1"/>
                          </pic:cNvPicPr>
                        </pic:nvPicPr>
                        <pic:blipFill>
                          <a:blip r:embed="rId189"/>
                          <a:stretch>
                            <a:fillRect/>
                          </a:stretch>
                        </pic:blipFill>
                        <pic:spPr>
                          <a:xfrm>
                            <a:off x="0" y="0"/>
                            <a:ext cx="3619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73.65%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其他</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35</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314325" cy="114300"/>
                  <wp:effectExtent l="0" t="0" r="9525" b="0"/>
                  <wp:docPr id="21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20"/>
                          <pic:cNvPicPr>
                            <a:picLocks noChangeAspect="1"/>
                          </pic:cNvPicPr>
                        </pic:nvPicPr>
                        <pic:blipFill>
                          <a:blip r:embed="rId121"/>
                          <a:stretch>
                            <a:fillRect/>
                          </a:stretch>
                        </pic:blipFill>
                        <pic:spPr>
                          <a:xfrm>
                            <a:off x="0" y="0"/>
                            <a:ext cx="3143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038225" cy="114300"/>
                  <wp:effectExtent l="0" t="0" r="9525" b="0"/>
                  <wp:docPr id="215"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21"/>
                          <pic:cNvPicPr>
                            <a:picLocks noChangeAspect="1"/>
                          </pic:cNvPicPr>
                        </pic:nvPicPr>
                        <pic:blipFill>
                          <a:blip r:embed="rId122"/>
                          <a:stretch>
                            <a:fillRect/>
                          </a:stretch>
                        </pic:blipFill>
                        <pic:spPr>
                          <a:xfrm>
                            <a:off x="0" y="0"/>
                            <a:ext cx="103822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23.65%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Q17：您认为社区日间照料中心应在哪些方面加以改进？[多选题]</w:t>
      </w:r>
    </w:p>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b w:val="0"/>
          <w:color w:val="auto"/>
          <w:kern w:val="0"/>
          <w:sz w:val="24"/>
          <w:highlight w:val="none"/>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选项</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小计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基础设施</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78</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704850" cy="114300"/>
                  <wp:effectExtent l="0" t="0" r="0" b="0"/>
                  <wp:docPr id="216"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22"/>
                          <pic:cNvPicPr>
                            <a:picLocks noChangeAspect="1"/>
                          </pic:cNvPicPr>
                        </pic:nvPicPr>
                        <pic:blipFill>
                          <a:blip r:embed="rId115"/>
                          <a:stretch>
                            <a:fillRect/>
                          </a:stretch>
                        </pic:blipFill>
                        <pic:spPr>
                          <a:xfrm>
                            <a:off x="0" y="0"/>
                            <a:ext cx="7048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647700" cy="114300"/>
                  <wp:effectExtent l="0" t="0" r="0" b="0"/>
                  <wp:docPr id="217"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23"/>
                          <pic:cNvPicPr>
                            <a:picLocks noChangeAspect="1"/>
                          </pic:cNvPicPr>
                        </pic:nvPicPr>
                        <pic:blipFill>
                          <a:blip r:embed="rId116"/>
                          <a:stretch>
                            <a:fillRect/>
                          </a:stretch>
                        </pic:blipFill>
                        <pic:spPr>
                          <a:xfrm>
                            <a:off x="0" y="0"/>
                            <a:ext cx="6477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52.7%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工作人员专业素质</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99</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895350" cy="114300"/>
                  <wp:effectExtent l="0" t="0" r="0" b="0"/>
                  <wp:docPr id="218"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24"/>
                          <pic:cNvPicPr>
                            <a:picLocks noChangeAspect="1"/>
                          </pic:cNvPicPr>
                        </pic:nvPicPr>
                        <pic:blipFill>
                          <a:blip r:embed="rId180"/>
                          <a:stretch>
                            <a:fillRect/>
                          </a:stretch>
                        </pic:blipFill>
                        <pic:spPr>
                          <a:xfrm>
                            <a:off x="0" y="0"/>
                            <a:ext cx="8953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457200" cy="114300"/>
                  <wp:effectExtent l="0" t="0" r="0" b="0"/>
                  <wp:docPr id="21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25"/>
                          <pic:cNvPicPr>
                            <a:picLocks noChangeAspect="1"/>
                          </pic:cNvPicPr>
                        </pic:nvPicPr>
                        <pic:blipFill>
                          <a:blip r:embed="rId181"/>
                          <a:stretch>
                            <a:fillRect/>
                          </a:stretch>
                        </pic:blipFill>
                        <pic:spPr>
                          <a:xfrm>
                            <a:off x="0" y="0"/>
                            <a:ext cx="4572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66.89%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娱乐活动种类</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66</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600075" cy="114300"/>
                  <wp:effectExtent l="0" t="0" r="9525" b="0"/>
                  <wp:docPr id="220"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26"/>
                          <pic:cNvPicPr>
                            <a:picLocks noChangeAspect="1"/>
                          </pic:cNvPicPr>
                        </pic:nvPicPr>
                        <pic:blipFill>
                          <a:blip r:embed="rId190"/>
                          <a:stretch>
                            <a:fillRect/>
                          </a:stretch>
                        </pic:blipFill>
                        <pic:spPr>
                          <a:xfrm>
                            <a:off x="0" y="0"/>
                            <a:ext cx="6000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752475" cy="114300"/>
                  <wp:effectExtent l="0" t="0" r="9525" b="0"/>
                  <wp:docPr id="221"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27"/>
                          <pic:cNvPicPr>
                            <a:picLocks noChangeAspect="1"/>
                          </pic:cNvPicPr>
                        </pic:nvPicPr>
                        <pic:blipFill>
                          <a:blip r:embed="rId191"/>
                          <a:stretch>
                            <a:fillRect/>
                          </a:stretch>
                        </pic:blipFill>
                        <pic:spPr>
                          <a:xfrm>
                            <a:off x="0" y="0"/>
                            <a:ext cx="7524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44.59%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饮食条件</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100</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904875" cy="114300"/>
                  <wp:effectExtent l="0" t="0" r="9525" b="0"/>
                  <wp:docPr id="22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28"/>
                          <pic:cNvPicPr>
                            <a:picLocks noChangeAspect="1"/>
                          </pic:cNvPicPr>
                        </pic:nvPicPr>
                        <pic:blipFill>
                          <a:blip r:embed="rId192"/>
                          <a:stretch>
                            <a:fillRect/>
                          </a:stretch>
                        </pic:blipFill>
                        <pic:spPr>
                          <a:xfrm>
                            <a:off x="0" y="0"/>
                            <a:ext cx="9048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447675" cy="114300"/>
                  <wp:effectExtent l="0" t="0" r="9525" b="0"/>
                  <wp:docPr id="223"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29"/>
                          <pic:cNvPicPr>
                            <a:picLocks noChangeAspect="1"/>
                          </pic:cNvPicPr>
                        </pic:nvPicPr>
                        <pic:blipFill>
                          <a:blip r:embed="rId193"/>
                          <a:stretch>
                            <a:fillRect/>
                          </a:stretch>
                        </pic:blipFill>
                        <pic:spPr>
                          <a:xfrm>
                            <a:off x="0" y="0"/>
                            <a:ext cx="447675"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67.57%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安全设施</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82</w:t>
            </w:r>
          </w:p>
        </w:tc>
        <w:tc>
          <w:tcPr>
            <w:tcW w:w="0" w:type="auto"/>
            <w:shd w:val="clear" w:color="auto" w:fill="FFFFFF"/>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742950" cy="114300"/>
                  <wp:effectExtent l="0" t="0" r="0" b="0"/>
                  <wp:docPr id="22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30"/>
                          <pic:cNvPicPr>
                            <a:picLocks noChangeAspect="1"/>
                          </pic:cNvPicPr>
                        </pic:nvPicPr>
                        <pic:blipFill>
                          <a:blip r:embed="rId194"/>
                          <a:stretch>
                            <a:fillRect/>
                          </a:stretch>
                        </pic:blipFill>
                        <pic:spPr>
                          <a:xfrm>
                            <a:off x="0" y="0"/>
                            <a:ext cx="7429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609600" cy="114300"/>
                  <wp:effectExtent l="0" t="0" r="0" b="0"/>
                  <wp:docPr id="225"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31"/>
                          <pic:cNvPicPr>
                            <a:picLocks noChangeAspect="1"/>
                          </pic:cNvPicPr>
                        </pic:nvPicPr>
                        <pic:blipFill>
                          <a:blip r:embed="rId195"/>
                          <a:stretch>
                            <a:fillRect/>
                          </a:stretch>
                        </pic:blipFill>
                        <pic:spPr>
                          <a:xfrm>
                            <a:off x="0" y="0"/>
                            <a:ext cx="6096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55.41%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其他</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26</w:t>
            </w:r>
          </w:p>
        </w:tc>
        <w:tc>
          <w:tcPr>
            <w:tcW w:w="0" w:type="auto"/>
            <w:shd w:val="clear" w:color="auto" w:fill="F9F9F9"/>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drawing>
                <wp:inline distT="0" distB="0" distL="114300" distR="114300">
                  <wp:extent cx="228600" cy="114300"/>
                  <wp:effectExtent l="0" t="0" r="0" b="0"/>
                  <wp:docPr id="226"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32"/>
                          <pic:cNvPicPr>
                            <a:picLocks noChangeAspect="1"/>
                          </pic:cNvPicPr>
                        </pic:nvPicPr>
                        <pic:blipFill>
                          <a:blip r:embed="rId73"/>
                          <a:stretch>
                            <a:fillRect/>
                          </a:stretch>
                        </pic:blipFill>
                        <pic:spPr>
                          <a:xfrm>
                            <a:off x="0" y="0"/>
                            <a:ext cx="22860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drawing>
                <wp:inline distT="0" distB="0" distL="114300" distR="114300">
                  <wp:extent cx="1123950" cy="114300"/>
                  <wp:effectExtent l="0" t="0" r="0" b="0"/>
                  <wp:docPr id="227"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33"/>
                          <pic:cNvPicPr>
                            <a:picLocks noChangeAspect="1"/>
                          </pic:cNvPicPr>
                        </pic:nvPicPr>
                        <pic:blipFill>
                          <a:blip r:embed="rId74"/>
                          <a:stretch>
                            <a:fillRect/>
                          </a:stretch>
                        </pic:blipFill>
                        <pic:spPr>
                          <a:xfrm>
                            <a:off x="0" y="0"/>
                            <a:ext cx="1123950" cy="114300"/>
                          </a:xfrm>
                          <a:prstGeom prst="rect">
                            <a:avLst/>
                          </a:prstGeom>
                          <a:noFill/>
                          <a:ln>
                            <a:noFill/>
                          </a:ln>
                        </pic:spPr>
                      </pic:pic>
                    </a:graphicData>
                  </a:graphic>
                </wp:inline>
              </w:drawing>
            </w:r>
            <w:r>
              <w:rPr>
                <w:rFonts w:ascii="Times New Roman" w:hAnsi="Times New Roman" w:eastAsia="Times New Roman" w:cs="Times New Roman"/>
                <w:color w:val="auto"/>
                <w:kern w:val="0"/>
                <w:sz w:val="24"/>
                <w:highlight w:val="none"/>
              </w:rPr>
              <w:t>17.57%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本题有效填写人次</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center"/>
              <w:rPr>
                <w:rFonts w:ascii="Times New Roman" w:hAnsi="Times New Roman" w:eastAsia="Times New Roman" w:cs="Times New Roman"/>
                <w:color w:val="auto"/>
                <w:kern w:val="0"/>
                <w:sz w:val="24"/>
                <w:highlight w:val="none"/>
              </w:rPr>
            </w:pPr>
            <w:r>
              <w:rPr>
                <w:rFonts w:ascii="Times New Roman" w:hAnsi="Times New Roman" w:eastAsia="Times New Roman" w:cs="Times New Roman"/>
                <w:color w:val="auto"/>
                <w:kern w:val="0"/>
                <w:sz w:val="24"/>
                <w:highlight w:val="none"/>
              </w:rPr>
              <w:t>148</w:t>
            </w:r>
          </w:p>
        </w:tc>
        <w:tc>
          <w:tcPr>
            <w:tcW w:w="0" w:type="auto"/>
            <w:shd w:val="clear" w:color="auto" w:fill="E0E0E0"/>
            <w:noWrap w:val="0"/>
            <w:vAlign w:val="center"/>
          </w:tcPr>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tc>
      </w:tr>
    </w:tbl>
    <w:p>
      <w:pPr>
        <w:pageBreakBefore w:val="0"/>
        <w:widowControl/>
        <w:shd w:val="clear" w:color="auto" w:fill="auto"/>
        <w:overflowPunct/>
        <w:topLinePunct w:val="0"/>
        <w:bidi w:val="0"/>
        <w:spacing w:line="576" w:lineRule="exact"/>
        <w:ind w:left="0" w:leftChars="0" w:firstLine="0" w:firstLineChars="0"/>
        <w:jc w:val="left"/>
        <w:rPr>
          <w:rFonts w:ascii="Times New Roman" w:hAnsi="Times New Roman" w:eastAsia="Times New Roman" w:cs="Times New Roman"/>
          <w:color w:val="auto"/>
          <w:kern w:val="0"/>
          <w:sz w:val="24"/>
          <w:highlight w:val="none"/>
        </w:rPr>
      </w:pPr>
    </w:p>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ascii="Times New Roman" w:hAnsi="Times New Roman" w:eastAsia="Times New Roman" w:cs="Times New Roman"/>
          <w:color w:val="auto"/>
          <w:kern w:val="0"/>
          <w:sz w:val="24"/>
          <w:highlight w:val="none"/>
        </w:rPr>
      </w:pPr>
      <w:r>
        <w:rPr>
          <w:rFonts w:ascii="Times New Roman" w:hAnsi="Times New Roman" w:eastAsia="Times New Roman" w:cs="Times New Roman"/>
          <w:b w:val="0"/>
          <w:color w:val="auto"/>
          <w:kern w:val="0"/>
          <w:sz w:val="24"/>
          <w:highlight w:val="none"/>
        </w:rPr>
        <w:t>Q18：您认为日间照料中心最需要改进内容的是什么?[填空题]</w:t>
      </w:r>
    </w:p>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ascii="Times New Roman" w:hAnsi="Times New Roman" w:eastAsia="Times New Roman" w:cs="Times New Roman"/>
          <w:b w:val="0"/>
          <w:color w:val="auto"/>
          <w:kern w:val="0"/>
          <w:sz w:val="24"/>
          <w:highlight w:val="none"/>
        </w:rPr>
      </w:pPr>
    </w:p>
    <w:tbl>
      <w:tblPr>
        <w:tblStyle w:val="13"/>
        <w:tblpPr w:leftFromText="180" w:rightFromText="180" w:vertAnchor="text" w:tblpXSpec="center" w:tblpY="1"/>
        <w:tblOverlap w:val="never"/>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03"/>
        <w:gridCol w:w="74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b w:val="0"/>
                <w:bCs w:val="0"/>
                <w:color w:val="auto"/>
                <w:kern w:val="0"/>
                <w:sz w:val="24"/>
                <w:highlight w:val="none"/>
              </w:rPr>
            </w:pPr>
            <w:r>
              <w:rPr>
                <w:rFonts w:hint="eastAsia" w:ascii="Times New Roman" w:hAnsi="Times New Roman" w:eastAsia="Times New Roman" w:cs="Times New Roman"/>
                <w:b w:val="0"/>
                <w:bCs w:val="0"/>
                <w:color w:val="auto"/>
                <w:kern w:val="0"/>
                <w:sz w:val="24"/>
                <w:highlight w:val="none"/>
              </w:rPr>
              <w:t>序号</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b w:val="0"/>
                <w:bCs w:val="0"/>
                <w:color w:val="auto"/>
                <w:kern w:val="0"/>
                <w:sz w:val="24"/>
                <w:highlight w:val="none"/>
              </w:rPr>
            </w:pPr>
            <w:r>
              <w:rPr>
                <w:rFonts w:hint="eastAsia" w:ascii="Times New Roman" w:hAnsi="Times New Roman" w:eastAsia="Times New Roman" w:cs="Times New Roman"/>
                <w:b w:val="0"/>
                <w:bCs w:val="0"/>
                <w:color w:val="auto"/>
                <w:kern w:val="0"/>
                <w:sz w:val="24"/>
                <w:highlight w:val="none"/>
              </w:rPr>
              <w:t>答案文本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5</w:t>
            </w:r>
          </w:p>
        </w:tc>
        <w:tc>
          <w:tcPr>
            <w:tcW w:w="0" w:type="auto"/>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服务质量</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9</w:t>
            </w:r>
          </w:p>
        </w:tc>
        <w:tc>
          <w:tcPr>
            <w:tcW w:w="0" w:type="auto"/>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伙食的改善</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10</w:t>
            </w:r>
          </w:p>
        </w:tc>
        <w:tc>
          <w:tcPr>
            <w:tcW w:w="0" w:type="auto"/>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需要配备足够的专业工作人员</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0" w:type="auto"/>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13</w:t>
            </w:r>
          </w:p>
        </w:tc>
        <w:tc>
          <w:tcPr>
            <w:tcW w:w="0" w:type="auto"/>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安全设施，</w:t>
            </w:r>
            <w:r>
              <w:rPr>
                <w:rFonts w:hint="eastAsia" w:ascii="Times New Roman" w:hAnsi="Times New Roman" w:eastAsia="宋体" w:cs="Times New Roman"/>
                <w:color w:val="auto"/>
                <w:kern w:val="0"/>
                <w:sz w:val="24"/>
                <w:highlight w:val="none"/>
                <w:lang w:eastAsia="zh-CN"/>
              </w:rPr>
              <w:t>基础设施。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14</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管理专业化，服务精细化！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15</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价格，服务</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17</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管理专业化，服务精细化！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19</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暂无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21</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23</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工作人员的素质</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24</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28</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主要是有爱心，有责任心，人性化老人们感受到党和政府的无微不至的关怀，使志人感受到家和亲人的温暖。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33</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34</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对老人的关怀</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35</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没听说过，需要宣传</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36</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对老人服务的满意度和加强硬件设施齐全</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37</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对老人的耐心</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1"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46</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全社会的共建共享机制建设；与家庭照料形成有效互补方面；有针对性开展需求调研，体现量身定制性；服务质量提升等方面。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47</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饮食，娱乐</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49</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54</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心理辅导关注</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59</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61</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64</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关爱</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68</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老人医疗服务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70</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责任心</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71</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饮食质量及卫生条件等。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75</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工作人员素质</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76</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78</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服务态度</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80</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价格和服务，要对老人一视同仁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82</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饮食</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85</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基础设施</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86</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丰富多彩的业余文化生活！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87</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暂无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88</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娱乐活动，医疗保健</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89</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没有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91</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服务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92</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¦基础设施</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93</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工作人员的专业素质，环境卫生，饮食质量还有待提高改善。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94</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服务质量、综合设施的齐全</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95</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没有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98</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扩大范围</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102</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老人去日间照料中心，能方便快捷。以免途中意外。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103</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lang w:eastAsia="zh-CN"/>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105</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因人而异</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108</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没有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110</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软硬件都要优化</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115</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117</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提高服务质量及饭菜质量</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120</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家人的关坏</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122</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123</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医疗保健</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126</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基础设施，安全第一，工作人员服务态度</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127</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人员素质，开设清真</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128</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129</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考虑少数民族</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132</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服务质量</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133</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提高对老人的全方面服务到位。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135</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服务，价格</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136</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对老人像亲人</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138</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工作人员素质</w:t>
            </w:r>
            <w:r>
              <w:rPr>
                <w:rFonts w:hint="eastAsia" w:ascii="Times New Roman" w:hAnsi="Times New Roman" w:eastAsia="宋体" w:cs="Times New Roman"/>
                <w:color w:val="auto"/>
                <w:kern w:val="0"/>
                <w:sz w:val="24"/>
                <w:highlight w:val="none"/>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142</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143</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提高服务质量。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jc w:val="center"/>
        </w:trPr>
        <w:tc>
          <w:tcPr>
            <w:tcW w:w="885"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center"/>
              <w:textAlignment w:val="auto"/>
              <w:rPr>
                <w:rFonts w:hint="eastAsia" w:ascii="Times New Roman" w:hAnsi="Times New Roman" w:eastAsia="Times New Roman" w:cs="Times New Roman"/>
                <w:color w:val="auto"/>
                <w:kern w:val="0"/>
                <w:sz w:val="24"/>
                <w:highlight w:val="none"/>
              </w:rPr>
            </w:pPr>
            <w:r>
              <w:rPr>
                <w:rFonts w:hint="eastAsia" w:ascii="Times New Roman" w:hAnsi="Times New Roman" w:eastAsia="Times New Roman" w:cs="Times New Roman"/>
                <w:color w:val="auto"/>
                <w:kern w:val="0"/>
                <w:sz w:val="24"/>
                <w:highlight w:val="none"/>
              </w:rPr>
              <w:t>145</w:t>
            </w:r>
          </w:p>
        </w:tc>
        <w:tc>
          <w:tcPr>
            <w:tcW w:w="4114" w:type="pct"/>
            <w:tcBorders>
              <w:top w:val="nil"/>
              <w:left w:val="nil"/>
              <w:bottom w:val="nil"/>
              <w:right w:val="nil"/>
              <w:tl2br w:val="nil"/>
              <w:tr2bl w:val="nil"/>
            </w:tcBorders>
            <w:noWrap w:val="0"/>
            <w:vAlign w:val="center"/>
          </w:tcPr>
          <w:p>
            <w:pPr>
              <w:keepNext w:val="0"/>
              <w:keepLines w:val="0"/>
              <w:pageBreakBefore w:val="0"/>
              <w:widowControl/>
              <w:shd w:val="clear" w:color="auto" w:fill="auto"/>
              <w:kinsoku/>
              <w:wordWrap/>
              <w:overflowPunct/>
              <w:topLinePunct w:val="0"/>
              <w:autoSpaceDE/>
              <w:autoSpaceDN/>
              <w:bidi w:val="0"/>
              <w:adjustRightInd/>
              <w:snapToGrid/>
              <w:spacing w:line="416" w:lineRule="exact"/>
              <w:ind w:left="0" w:leftChars="0" w:firstLine="0" w:firstLineChars="0"/>
              <w:jc w:val="left"/>
              <w:textAlignment w:val="auto"/>
              <w:rPr>
                <w:rFonts w:hint="eastAsia" w:ascii="Times New Roman" w:hAnsi="Times New Roman" w:eastAsia="宋体" w:cs="Times New Roman"/>
                <w:color w:val="auto"/>
                <w:kern w:val="0"/>
                <w:sz w:val="24"/>
                <w:highlight w:val="none"/>
                <w:lang w:eastAsia="zh-CN"/>
              </w:rPr>
            </w:pPr>
            <w:r>
              <w:rPr>
                <w:rFonts w:hint="eastAsia" w:ascii="Times New Roman" w:hAnsi="Times New Roman" w:eastAsia="Times New Roman" w:cs="Times New Roman"/>
                <w:color w:val="auto"/>
                <w:kern w:val="0"/>
                <w:sz w:val="24"/>
                <w:highlight w:val="none"/>
              </w:rPr>
              <w:t>工作人员专业素养等有待提高</w:t>
            </w:r>
            <w:r>
              <w:rPr>
                <w:rFonts w:hint="eastAsia" w:ascii="Times New Roman" w:hAnsi="Times New Roman" w:eastAsia="宋体" w:cs="Times New Roman"/>
                <w:color w:val="auto"/>
                <w:kern w:val="0"/>
                <w:sz w:val="24"/>
                <w:highlight w:val="none"/>
                <w:lang w:eastAsia="zh-CN"/>
              </w:rPr>
              <w:t>。</w:t>
            </w:r>
          </w:p>
        </w:tc>
      </w:tr>
    </w:tbl>
    <w:p>
      <w:pPr>
        <w:keepNext w:val="0"/>
        <w:keepLines w:val="0"/>
        <w:pageBreakBefore w:val="0"/>
        <w:shd w:val="clear" w:color="auto" w:fill="auto"/>
        <w:kinsoku/>
        <w:wordWrap/>
        <w:overflowPunct/>
        <w:topLinePunct w:val="0"/>
        <w:autoSpaceDE/>
        <w:autoSpaceDN/>
        <w:bidi w:val="0"/>
        <w:adjustRightInd/>
        <w:snapToGrid/>
        <w:spacing w:line="416" w:lineRule="exact"/>
        <w:ind w:left="0" w:leftChars="0"/>
        <w:textAlignment w:val="auto"/>
        <w:rPr>
          <w:rFonts w:hint="eastAsia" w:cs="Times New Roman"/>
          <w:color w:val="auto"/>
          <w:highlight w:val="none"/>
          <w:lang w:eastAsia="zh-CN"/>
        </w:rPr>
      </w:pPr>
      <w:r>
        <w:rPr>
          <w:rFonts w:hint="eastAsia" w:ascii="Times New Roman" w:hAnsi="Times New Roman" w:eastAsia="宋体" w:cs="Times New Roman"/>
          <w:b w:val="0"/>
          <w:color w:val="auto"/>
          <w:kern w:val="0"/>
          <w:sz w:val="24"/>
          <w:highlight w:val="none"/>
          <w:lang w:eastAsia="zh-CN"/>
        </w:rPr>
        <w:br w:type="page"/>
      </w:r>
    </w:p>
    <w:p>
      <w:pPr>
        <w:pageBreakBefore w:val="0"/>
        <w:shd w:val="clear" w:color="auto" w:fill="auto"/>
        <w:overflowPunct/>
        <w:topLinePunct w:val="0"/>
        <w:bidi w:val="0"/>
        <w:spacing w:line="576" w:lineRule="exact"/>
        <w:ind w:left="0" w:leftChars="0" w:firstLine="0" w:firstLineChars="0"/>
        <w:jc w:val="center"/>
        <w:rPr>
          <w:rFonts w:hint="eastAsia" w:ascii="方正小标宋简体" w:hAnsi="方正小标宋简体" w:eastAsia="方正小标宋简体" w:cs="方正小标宋简体"/>
          <w:color w:val="auto"/>
          <w:sz w:val="30"/>
          <w:szCs w:val="30"/>
          <w:highlight w:val="none"/>
        </w:rPr>
      </w:pPr>
      <w:r>
        <w:rPr>
          <w:rFonts w:hint="eastAsia" w:ascii="宋体" w:hAnsi="宋体" w:eastAsia="宋体" w:cs="宋体"/>
          <w:b/>
          <w:color w:val="auto"/>
          <w:kern w:val="0"/>
          <w:sz w:val="28"/>
          <w:szCs w:val="28"/>
          <w:highlight w:val="none"/>
          <w:lang w:val="en-US" w:eastAsia="zh-CN"/>
        </w:rPr>
        <w:t>问卷2 老年人日间照料中心负责人满意度调查问卷统计情况</w:t>
      </w:r>
    </w:p>
    <w:p>
      <w:pPr>
        <w:pageBreakBefore w:val="0"/>
        <w:shd w:val="clear" w:color="auto" w:fill="auto"/>
        <w:overflowPunct/>
        <w:topLinePunct w:val="0"/>
        <w:bidi w:val="0"/>
        <w:spacing w:line="576" w:lineRule="exact"/>
        <w:ind w:left="0" w:leftChars="0"/>
        <w:rPr>
          <w:rFonts w:hint="eastAsia"/>
          <w:color w:val="auto"/>
          <w:highlight w:val="none"/>
        </w:rPr>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楷体" w:hAnsi="楷体" w:eastAsia="楷体" w:cs="宋体"/>
          <w:b/>
          <w:color w:val="auto"/>
          <w:szCs w:val="28"/>
          <w:highlight w:val="none"/>
        </w:rPr>
        <w:drawing>
          <wp:anchor distT="0" distB="0" distL="114300" distR="114300" simplePos="0" relativeHeight="251663360" behindDoc="0" locked="0" layoutInCell="1" allowOverlap="1">
            <wp:simplePos x="0" y="0"/>
            <wp:positionH relativeFrom="column">
              <wp:posOffset>43180</wp:posOffset>
            </wp:positionH>
            <wp:positionV relativeFrom="paragraph">
              <wp:posOffset>109220</wp:posOffset>
            </wp:positionV>
            <wp:extent cx="5255895" cy="7504430"/>
            <wp:effectExtent l="0" t="0" r="1905" b="1270"/>
            <wp:wrapSquare wrapText="bothSides"/>
            <wp:docPr id="323" name="图片 406" descr="扫描全能王 2021-11-30 16.1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406" descr="扫描全能王 2021-11-30 16.16_4"/>
                    <pic:cNvPicPr>
                      <a:picLocks noChangeAspect="1"/>
                    </pic:cNvPicPr>
                  </pic:nvPicPr>
                  <pic:blipFill>
                    <a:blip r:embed="rId196"/>
                    <a:stretch>
                      <a:fillRect/>
                    </a:stretch>
                  </pic:blipFill>
                  <pic:spPr>
                    <a:xfrm>
                      <a:off x="0" y="0"/>
                      <a:ext cx="5255895" cy="7504430"/>
                    </a:xfrm>
                    <a:prstGeom prst="rect">
                      <a:avLst/>
                    </a:prstGeom>
                    <a:noFill/>
                    <a:ln>
                      <a:noFill/>
                    </a:ln>
                  </pic:spPr>
                </pic:pic>
              </a:graphicData>
            </a:graphic>
          </wp:anchor>
        </w:drawing>
      </w:r>
      <w:r>
        <w:rPr>
          <w:rFonts w:hint="eastAsia" w:ascii="楷体" w:hAnsi="楷体" w:eastAsia="楷体" w:cs="宋体"/>
          <w:b/>
          <w:color w:val="auto"/>
          <w:szCs w:val="28"/>
          <w:highlight w:val="none"/>
        </w:rPr>
        <w:br w:type="page"/>
      </w:r>
      <w:r>
        <w:rPr>
          <w:rFonts w:hint="eastAsia" w:cs="Times New Roman"/>
          <w:color w:val="auto"/>
          <w:highlight w:val="none"/>
        </w:rPr>
        <w:drawing>
          <wp:anchor distT="0" distB="0" distL="114300" distR="114300" simplePos="0" relativeHeight="251664384" behindDoc="0" locked="0" layoutInCell="1" allowOverlap="1">
            <wp:simplePos x="0" y="0"/>
            <wp:positionH relativeFrom="column">
              <wp:posOffset>13970</wp:posOffset>
            </wp:positionH>
            <wp:positionV relativeFrom="paragraph">
              <wp:posOffset>361315</wp:posOffset>
            </wp:positionV>
            <wp:extent cx="5270500" cy="7604125"/>
            <wp:effectExtent l="0" t="0" r="6350" b="15875"/>
            <wp:wrapSquare wrapText="bothSides"/>
            <wp:docPr id="324" name="图片 407" descr="扫描全能王 2021-11-30 16.16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407" descr="扫描全能王 2021-11-30 16.16_5"/>
                    <pic:cNvPicPr>
                      <a:picLocks noChangeAspect="1"/>
                    </pic:cNvPicPr>
                  </pic:nvPicPr>
                  <pic:blipFill>
                    <a:blip r:embed="rId197"/>
                    <a:stretch>
                      <a:fillRect/>
                    </a:stretch>
                  </pic:blipFill>
                  <pic:spPr>
                    <a:xfrm>
                      <a:off x="0" y="0"/>
                      <a:ext cx="5270500" cy="7604125"/>
                    </a:xfrm>
                    <a:prstGeom prst="rect">
                      <a:avLst/>
                    </a:prstGeom>
                    <a:noFill/>
                    <a:ln>
                      <a:noFill/>
                    </a:ln>
                  </pic:spPr>
                </pic:pic>
              </a:graphicData>
            </a:graphic>
          </wp:anchor>
        </w:drawing>
      </w:r>
      <w:r>
        <w:rPr>
          <w:rFonts w:hint="eastAsia" w:cs="Times New Roman"/>
          <w:color w:val="auto"/>
          <w:highlight w:val="none"/>
        </w:rPr>
        <w:br w:type="page"/>
      </w:r>
      <w:r>
        <w:rPr>
          <w:rFonts w:hint="eastAsia" w:cs="Times New Roman"/>
          <w:color w:val="auto"/>
          <w:highlight w:val="none"/>
        </w:rPr>
        <w:drawing>
          <wp:anchor distT="0" distB="0" distL="114300" distR="114300" simplePos="0" relativeHeight="251665408" behindDoc="0" locked="0" layoutInCell="1" allowOverlap="1">
            <wp:simplePos x="0" y="0"/>
            <wp:positionH relativeFrom="column">
              <wp:posOffset>37465</wp:posOffset>
            </wp:positionH>
            <wp:positionV relativeFrom="paragraph">
              <wp:posOffset>358775</wp:posOffset>
            </wp:positionV>
            <wp:extent cx="5270500" cy="7523480"/>
            <wp:effectExtent l="0" t="0" r="6350" b="1270"/>
            <wp:wrapSquare wrapText="bothSides"/>
            <wp:docPr id="325" name="图片 409" descr="扫描全能王 2021-11-30 16.16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409" descr="扫描全能王 2021-11-30 16.16_6"/>
                    <pic:cNvPicPr>
                      <a:picLocks noChangeAspect="1"/>
                    </pic:cNvPicPr>
                  </pic:nvPicPr>
                  <pic:blipFill>
                    <a:blip r:embed="rId198"/>
                    <a:stretch>
                      <a:fillRect/>
                    </a:stretch>
                  </pic:blipFill>
                  <pic:spPr>
                    <a:xfrm>
                      <a:off x="0" y="0"/>
                      <a:ext cx="5270500" cy="7523480"/>
                    </a:xfrm>
                    <a:prstGeom prst="rect">
                      <a:avLst/>
                    </a:prstGeom>
                    <a:noFill/>
                    <a:ln>
                      <a:noFill/>
                    </a:ln>
                  </pic:spPr>
                </pic:pic>
              </a:graphicData>
            </a:graphic>
          </wp:anchor>
        </w:drawing>
      </w:r>
      <w:r>
        <w:rPr>
          <w:rFonts w:hint="eastAsia" w:cs="Times New Roman"/>
          <w:color w:val="auto"/>
          <w:highlight w:val="none"/>
        </w:rPr>
        <w:br w:type="page"/>
      </w:r>
      <w:r>
        <w:rPr>
          <w:rFonts w:hint="eastAsia" w:cs="Times New Roman"/>
          <w:color w:val="auto"/>
          <w:highlight w:val="none"/>
        </w:rPr>
        <w:drawing>
          <wp:anchor distT="0" distB="0" distL="114300" distR="114300" simplePos="0" relativeHeight="251666432" behindDoc="0" locked="0" layoutInCell="1" allowOverlap="1">
            <wp:simplePos x="0" y="0"/>
            <wp:positionH relativeFrom="column">
              <wp:posOffset>-45720</wp:posOffset>
            </wp:positionH>
            <wp:positionV relativeFrom="paragraph">
              <wp:posOffset>368300</wp:posOffset>
            </wp:positionV>
            <wp:extent cx="5253355" cy="7615555"/>
            <wp:effectExtent l="0" t="0" r="4445" b="4445"/>
            <wp:wrapSquare wrapText="bothSides"/>
            <wp:docPr id="326" name="图片 410" descr="扫描全能王 2021-11-30 16.16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410" descr="扫描全能王 2021-11-30 16.16_7"/>
                    <pic:cNvPicPr>
                      <a:picLocks noChangeAspect="1"/>
                    </pic:cNvPicPr>
                  </pic:nvPicPr>
                  <pic:blipFill>
                    <a:blip r:embed="rId199"/>
                    <a:stretch>
                      <a:fillRect/>
                    </a:stretch>
                  </pic:blipFill>
                  <pic:spPr>
                    <a:xfrm>
                      <a:off x="0" y="0"/>
                      <a:ext cx="5253355" cy="7615555"/>
                    </a:xfrm>
                    <a:prstGeom prst="rect">
                      <a:avLst/>
                    </a:prstGeom>
                    <a:noFill/>
                    <a:ln>
                      <a:noFill/>
                    </a:ln>
                  </pic:spPr>
                </pic:pic>
              </a:graphicData>
            </a:graphic>
          </wp:anchor>
        </w:drawing>
      </w:r>
      <w:r>
        <w:rPr>
          <w:rFonts w:hint="eastAsia" w:cs="Times New Roman"/>
          <w:color w:val="auto"/>
          <w:highlight w:val="none"/>
        </w:rPr>
        <w:br w:type="page"/>
      </w:r>
      <w:r>
        <w:rPr>
          <w:rFonts w:hint="eastAsia" w:eastAsia="仿宋_GB2312" w:cs="Times New Roman"/>
          <w:color w:val="auto"/>
          <w:highlight w:val="none"/>
          <w:lang w:eastAsia="zh-CN"/>
        </w:rPr>
        <w:drawing>
          <wp:anchor distT="0" distB="0" distL="114300" distR="114300" simplePos="0" relativeHeight="251667456" behindDoc="0" locked="0" layoutInCell="1" allowOverlap="1">
            <wp:simplePos x="0" y="0"/>
            <wp:positionH relativeFrom="column">
              <wp:posOffset>22860</wp:posOffset>
            </wp:positionH>
            <wp:positionV relativeFrom="paragraph">
              <wp:posOffset>371475</wp:posOffset>
            </wp:positionV>
            <wp:extent cx="5259070" cy="7381875"/>
            <wp:effectExtent l="0" t="0" r="17780" b="9525"/>
            <wp:wrapSquare wrapText="bothSides"/>
            <wp:docPr id="327" name="图片 411" descr="扫描全能王 2021-11-30 16.16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411" descr="扫描全能王 2021-11-30 16.16_8"/>
                    <pic:cNvPicPr>
                      <a:picLocks noChangeAspect="1"/>
                    </pic:cNvPicPr>
                  </pic:nvPicPr>
                  <pic:blipFill>
                    <a:blip r:embed="rId200"/>
                    <a:stretch>
                      <a:fillRect/>
                    </a:stretch>
                  </pic:blipFill>
                  <pic:spPr>
                    <a:xfrm>
                      <a:off x="0" y="0"/>
                      <a:ext cx="5259070" cy="7381875"/>
                    </a:xfrm>
                    <a:prstGeom prst="rect">
                      <a:avLst/>
                    </a:prstGeom>
                    <a:noFill/>
                    <a:ln>
                      <a:noFill/>
                    </a:ln>
                  </pic:spPr>
                </pic:pic>
              </a:graphicData>
            </a:graphic>
          </wp:anchor>
        </w:drawing>
      </w:r>
      <w:r>
        <w:rPr>
          <w:rFonts w:hint="eastAsia" w:cs="Times New Roman"/>
          <w:color w:val="auto"/>
          <w:highlight w:val="none"/>
        </w:rPr>
        <w:br w:type="page"/>
      </w:r>
      <w:r>
        <w:rPr>
          <w:rFonts w:hint="eastAsia" w:cs="Times New Roman"/>
          <w:color w:val="auto"/>
          <w:highlight w:val="none"/>
        </w:rPr>
        <w:drawing>
          <wp:anchor distT="0" distB="0" distL="114300" distR="114300" simplePos="0" relativeHeight="251668480" behindDoc="0" locked="0" layoutInCell="1" allowOverlap="1">
            <wp:simplePos x="0" y="0"/>
            <wp:positionH relativeFrom="column">
              <wp:posOffset>-20320</wp:posOffset>
            </wp:positionH>
            <wp:positionV relativeFrom="paragraph">
              <wp:posOffset>375285</wp:posOffset>
            </wp:positionV>
            <wp:extent cx="5272405" cy="7454900"/>
            <wp:effectExtent l="0" t="0" r="4445" b="12700"/>
            <wp:wrapSquare wrapText="bothSides"/>
            <wp:docPr id="328" name="图片 412" descr="扫描全能王 2021-11-30 16.16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412" descr="扫描全能王 2021-11-30 16.16_9"/>
                    <pic:cNvPicPr>
                      <a:picLocks noChangeAspect="1"/>
                    </pic:cNvPicPr>
                  </pic:nvPicPr>
                  <pic:blipFill>
                    <a:blip r:embed="rId201"/>
                    <a:stretch>
                      <a:fillRect/>
                    </a:stretch>
                  </pic:blipFill>
                  <pic:spPr>
                    <a:xfrm>
                      <a:off x="0" y="0"/>
                      <a:ext cx="5272405" cy="7454900"/>
                    </a:xfrm>
                    <a:prstGeom prst="rect">
                      <a:avLst/>
                    </a:prstGeom>
                    <a:noFill/>
                    <a:ln>
                      <a:noFill/>
                    </a:ln>
                  </pic:spPr>
                </pic:pic>
              </a:graphicData>
            </a:graphic>
          </wp:anchor>
        </w:drawing>
      </w:r>
      <w:r>
        <w:rPr>
          <w:rFonts w:hint="eastAsia" w:cs="Times New Roman"/>
          <w:color w:val="auto"/>
          <w:highlight w:val="none"/>
        </w:rPr>
        <w:br w:type="page"/>
      </w:r>
    </w:p>
    <w:p>
      <w:pPr>
        <w:keepNext w:val="0"/>
        <w:keepLines w:val="0"/>
        <w:pageBreakBefore w:val="0"/>
        <w:widowControl w:val="0"/>
        <w:shd w:val="clear" w:color="auto" w:fill="auto"/>
        <w:kinsoku/>
        <w:overflowPunct/>
        <w:topLinePunct w:val="0"/>
        <w:autoSpaceDE/>
        <w:autoSpaceDN/>
        <w:bidi w:val="0"/>
        <w:spacing w:line="576" w:lineRule="exact"/>
        <w:ind w:left="0" w:leftChars="0" w:firstLine="0" w:firstLineChars="0"/>
        <w:jc w:val="left"/>
        <w:outlineLvl w:val="0"/>
        <w:rPr>
          <w:rFonts w:hint="eastAsia" w:ascii="楷体" w:hAnsi="楷体" w:eastAsia="楷体" w:cs="宋体"/>
          <w:b/>
          <w:color w:val="auto"/>
          <w:szCs w:val="28"/>
          <w:highlight w:val="none"/>
          <w:lang w:val="en-US" w:eastAsia="zh-CN"/>
        </w:rPr>
      </w:pPr>
      <w:bookmarkStart w:id="586" w:name="_Toc5403"/>
      <w:bookmarkStart w:id="587" w:name="_Toc26672"/>
      <w:bookmarkStart w:id="588" w:name="_Toc28284"/>
      <w:r>
        <w:rPr>
          <w:rFonts w:hint="eastAsia" w:ascii="楷体" w:hAnsi="楷体" w:eastAsia="楷体" w:cs="宋体"/>
          <w:b/>
          <w:color w:val="auto"/>
          <w:szCs w:val="28"/>
          <w:highlight w:val="none"/>
          <w:lang w:val="en-US" w:eastAsia="zh-CN"/>
        </w:rPr>
        <w:t>附件5 主评人资质证书</w:t>
      </w:r>
      <w:bookmarkEnd w:id="586"/>
      <w:bookmarkEnd w:id="587"/>
      <w:bookmarkEnd w:id="588"/>
    </w:p>
    <w:p>
      <w:pPr>
        <w:pageBreakBefore w:val="0"/>
        <w:shd w:val="clear" w:color="auto" w:fill="auto"/>
        <w:overflowPunct/>
        <w:topLinePunct w:val="0"/>
        <w:bidi w:val="0"/>
        <w:spacing w:line="576" w:lineRule="exact"/>
        <w:ind w:left="0" w:leftChars="0"/>
        <w:rPr>
          <w:rFonts w:hint="eastAsia" w:eastAsia="仿宋_GB2312" w:cs="Times New Roman"/>
          <w:color w:val="auto"/>
          <w:highlight w:val="none"/>
          <w:lang w:eastAsia="zh-CN"/>
        </w:rPr>
      </w:pPr>
      <w:r>
        <w:rPr>
          <w:rFonts w:hint="eastAsia" w:eastAsia="仿宋_GB2312" w:cs="Times New Roman"/>
          <w:color w:val="auto"/>
          <w:highlight w:val="none"/>
          <w:lang w:eastAsia="zh-CN"/>
        </w:rPr>
        <w:drawing>
          <wp:anchor distT="0" distB="0" distL="114300" distR="114300" simplePos="0" relativeHeight="251669504" behindDoc="0" locked="0" layoutInCell="1" allowOverlap="1">
            <wp:simplePos x="0" y="0"/>
            <wp:positionH relativeFrom="column">
              <wp:posOffset>156845</wp:posOffset>
            </wp:positionH>
            <wp:positionV relativeFrom="paragraph">
              <wp:posOffset>243205</wp:posOffset>
            </wp:positionV>
            <wp:extent cx="5101590" cy="4755515"/>
            <wp:effectExtent l="0" t="0" r="6985" b="3810"/>
            <wp:wrapSquare wrapText="bothSides"/>
            <wp:docPr id="329" name="图片 1" descr="企业微信截图_1638350915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 descr="企业微信截图_16383509154115"/>
                    <pic:cNvPicPr>
                      <a:picLocks noChangeAspect="1"/>
                    </pic:cNvPicPr>
                  </pic:nvPicPr>
                  <pic:blipFill>
                    <a:blip r:embed="rId202"/>
                    <a:stretch>
                      <a:fillRect/>
                    </a:stretch>
                  </pic:blipFill>
                  <pic:spPr>
                    <a:xfrm rot="-5400000">
                      <a:off x="0" y="0"/>
                      <a:ext cx="5101590" cy="4755515"/>
                    </a:xfrm>
                    <a:prstGeom prst="rect">
                      <a:avLst/>
                    </a:prstGeom>
                    <a:noFill/>
                    <a:ln>
                      <a:noFill/>
                    </a:ln>
                  </pic:spPr>
                </pic:pic>
              </a:graphicData>
            </a:graphic>
          </wp:anchor>
        </w:drawing>
      </w:r>
    </w:p>
    <w:p>
      <w:pPr>
        <w:pageBreakBefore w:val="0"/>
        <w:widowControl/>
        <w:kinsoku w:val="0"/>
        <w:overflowPunct/>
        <w:topLinePunct w:val="0"/>
        <w:autoSpaceDE w:val="0"/>
        <w:autoSpaceDN w:val="0"/>
        <w:bidi w:val="0"/>
        <w:adjustRightInd w:val="0"/>
        <w:snapToGrid w:val="0"/>
        <w:spacing w:line="576" w:lineRule="exact"/>
        <w:ind w:left="0" w:leftChars="0" w:firstLine="0" w:firstLineChars="0"/>
        <w:jc w:val="left"/>
        <w:textAlignment w:val="baseline"/>
        <w:rPr>
          <w:rFonts w:ascii="仿宋" w:hAnsi="Arial" w:eastAsia="Arial" w:cs="Arial"/>
          <w:snapToGrid w:val="0"/>
          <w:color w:val="000000"/>
          <w:kern w:val="0"/>
          <w:sz w:val="21"/>
          <w:szCs w:val="21"/>
        </w:rPr>
      </w:pPr>
    </w:p>
    <w:p>
      <w:pPr>
        <w:pageBreakBefore w:val="0"/>
        <w:overflowPunct/>
        <w:topLinePunct w:val="0"/>
        <w:bidi w:val="0"/>
        <w:spacing w:line="576" w:lineRule="exact"/>
        <w:ind w:left="0" w:leftChars="0"/>
        <w:sectPr>
          <w:headerReference r:id="rId30" w:type="default"/>
          <w:footerReference r:id="rId31" w:type="default"/>
          <w:pgSz w:w="11906" w:h="16838"/>
          <w:pgMar w:top="2098" w:right="1474" w:bottom="1984" w:left="1587" w:header="680"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4"/>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0" w:firstLineChars="0"/>
        <w:textAlignment w:val="auto"/>
        <w:rPr>
          <w:rFonts w:hint="eastAsia" w:ascii="楷体" w:hAnsi="楷体" w:eastAsia="楷体" w:cs="楷体"/>
          <w:b/>
          <w:bCs/>
          <w:color w:val="000000" w:themeColor="text1"/>
          <w:sz w:val="32"/>
          <w:szCs w:val="24"/>
          <w:lang w:val="en-US" w:eastAsia="zh-CN"/>
          <w14:textFill>
            <w14:solidFill>
              <w14:schemeClr w14:val="tx1"/>
            </w14:solidFill>
          </w14:textFill>
        </w:rPr>
      </w:pPr>
      <w:bookmarkStart w:id="589" w:name="_Toc16108"/>
      <w:r>
        <w:rPr>
          <w:rFonts w:hint="eastAsia" w:ascii="楷体" w:hAnsi="楷体" w:eastAsia="楷体" w:cs="楷体"/>
          <w:b/>
          <w:bCs/>
          <w:color w:val="000000" w:themeColor="text1"/>
          <w:sz w:val="32"/>
          <w:szCs w:val="24"/>
          <w:lang w:val="en-US" w:eastAsia="zh-CN"/>
          <w14:textFill>
            <w14:solidFill>
              <w14:schemeClr w14:val="tx1"/>
            </w14:solidFill>
          </w14:textFill>
        </w:rPr>
        <w:t>附件</w:t>
      </w:r>
      <w:r>
        <w:rPr>
          <w:rFonts w:hint="eastAsia" w:ascii="楷体" w:hAnsi="楷体" w:cs="楷体"/>
          <w:b/>
          <w:bCs/>
          <w:color w:val="000000" w:themeColor="text1"/>
          <w:sz w:val="32"/>
          <w:szCs w:val="24"/>
          <w:lang w:val="en-US" w:eastAsia="zh-CN"/>
          <w14:textFill>
            <w14:solidFill>
              <w14:schemeClr w14:val="tx1"/>
            </w14:solidFill>
          </w14:textFill>
        </w:rPr>
        <w:t>三</w:t>
      </w:r>
      <w:r>
        <w:rPr>
          <w:rFonts w:hint="eastAsia" w:ascii="楷体" w:hAnsi="楷体" w:eastAsia="楷体" w:cs="楷体"/>
          <w:b/>
          <w:bCs/>
          <w:color w:val="000000" w:themeColor="text1"/>
          <w:sz w:val="32"/>
          <w:szCs w:val="24"/>
          <w:lang w:val="en-US" w:eastAsia="zh-CN"/>
          <w14:textFill>
            <w14:solidFill>
              <w14:schemeClr w14:val="tx1"/>
            </w14:solidFill>
          </w14:textFill>
        </w:rPr>
        <w:t xml:space="preserve"> 西宁市城中区总寨塬智能温室园区道路工程和排水工程绩效评价报告</w:t>
      </w:r>
      <w:bookmarkEnd w:id="589"/>
    </w:p>
    <w:p>
      <w:pPr>
        <w:pageBreakBefore w:val="0"/>
        <w:overflowPunct/>
        <w:topLinePunct w:val="0"/>
        <w:bidi w:val="0"/>
        <w:spacing w:line="576" w:lineRule="exact"/>
        <w:ind w:left="0" w:leftChars="0"/>
        <w:rPr>
          <w:rFonts w:hint="eastAsia" w:eastAsia="仿宋_GB2312" w:cs="Times New Roman"/>
          <w:color w:val="auto"/>
          <w:lang w:eastAsia="zh-CN"/>
        </w:rPr>
      </w:pPr>
    </w:p>
    <w:p>
      <w:pPr>
        <w:pageBreakBefore w:val="0"/>
        <w:overflowPunct/>
        <w:topLinePunct w:val="0"/>
        <w:bidi w:val="0"/>
        <w:spacing w:line="576" w:lineRule="exact"/>
        <w:ind w:left="0" w:leftChars="0"/>
        <w:rPr>
          <w:rFonts w:cs="Times New Roman"/>
          <w:color w:val="auto"/>
        </w:rPr>
      </w:pPr>
    </w:p>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rPr>
          <w:rFonts w:hint="eastAsia" w:ascii="方正小标宋简体" w:hAnsi="方正小标宋简体" w:eastAsia="方正小标宋简体" w:cs="方正小标宋简体"/>
          <w:b/>
          <w:color w:val="auto"/>
          <w:sz w:val="48"/>
          <w:szCs w:val="48"/>
        </w:rPr>
      </w:pPr>
      <w:r>
        <w:rPr>
          <w:rFonts w:hint="eastAsia" w:ascii="方正小标宋简体" w:hAnsi="方正小标宋简体" w:eastAsia="方正小标宋简体" w:cs="方正小标宋简体"/>
          <w:b/>
          <w:color w:val="auto"/>
          <w:sz w:val="48"/>
          <w:szCs w:val="48"/>
          <w:lang w:val="en-US" w:eastAsia="zh-CN"/>
        </w:rPr>
        <w:t>西宁市城中区总寨塬智能温室园区道路工程和排水工程</w:t>
      </w:r>
      <w:r>
        <w:rPr>
          <w:rFonts w:hint="eastAsia" w:ascii="方正小标宋简体" w:hAnsi="方正小标宋简体" w:eastAsia="方正小标宋简体" w:cs="方正小标宋简体"/>
          <w:b/>
          <w:color w:val="auto"/>
          <w:sz w:val="48"/>
          <w:szCs w:val="48"/>
        </w:rPr>
        <w:t>项目</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rPr>
          <w:rFonts w:ascii="方正小标宋简体" w:hAnsi="方正小标宋简体" w:eastAsia="方正小标宋简体" w:cs="方正小标宋简体"/>
          <w:color w:val="auto"/>
          <w:sz w:val="48"/>
          <w:szCs w:val="48"/>
        </w:rPr>
      </w:pPr>
      <w:r>
        <w:rPr>
          <w:rFonts w:hint="eastAsia" w:ascii="方正小标宋简体" w:hAnsi="方正小标宋简体" w:eastAsia="方正小标宋简体" w:cs="方正小标宋简体"/>
          <w:b/>
          <w:color w:val="auto"/>
          <w:sz w:val="48"/>
          <w:szCs w:val="48"/>
        </w:rPr>
        <w:t>绩效评价报告</w:t>
      </w:r>
    </w:p>
    <w:p>
      <w:pPr>
        <w:pageBreakBefore w:val="0"/>
        <w:overflowPunct/>
        <w:topLinePunct w:val="0"/>
        <w:bidi w:val="0"/>
        <w:spacing w:line="576" w:lineRule="exact"/>
        <w:ind w:left="0" w:leftChars="0"/>
        <w:rPr>
          <w:rFonts w:cs="Times New Roman"/>
          <w:color w:val="auto"/>
        </w:rPr>
      </w:pPr>
    </w:p>
    <w:p>
      <w:pPr>
        <w:pageBreakBefore w:val="0"/>
        <w:overflowPunct/>
        <w:topLinePunct w:val="0"/>
        <w:bidi w:val="0"/>
        <w:spacing w:line="576" w:lineRule="exact"/>
        <w:ind w:left="0" w:leftChars="0"/>
        <w:rPr>
          <w:rFonts w:cs="Times New Roman"/>
          <w:color w:val="auto"/>
        </w:rPr>
      </w:pPr>
    </w:p>
    <w:p>
      <w:pPr>
        <w:pageBreakBefore w:val="0"/>
        <w:overflowPunct/>
        <w:topLinePunct w:val="0"/>
        <w:bidi w:val="0"/>
        <w:spacing w:line="576" w:lineRule="exact"/>
        <w:ind w:left="0" w:leftChars="0"/>
        <w:rPr>
          <w:rFonts w:cs="Times New Roman"/>
          <w:color w:val="auto"/>
        </w:rPr>
      </w:pPr>
    </w:p>
    <w:p>
      <w:pPr>
        <w:pageBreakBefore w:val="0"/>
        <w:overflowPunct/>
        <w:topLinePunct w:val="0"/>
        <w:bidi w:val="0"/>
        <w:spacing w:line="576" w:lineRule="exact"/>
        <w:ind w:left="0" w:leftChars="0"/>
        <w:rPr>
          <w:rFonts w:cs="Times New Roman"/>
          <w:color w:val="auto"/>
        </w:rPr>
      </w:pPr>
    </w:p>
    <w:p>
      <w:pPr>
        <w:pageBreakBefore w:val="0"/>
        <w:overflowPunct/>
        <w:topLinePunct w:val="0"/>
        <w:bidi w:val="0"/>
        <w:spacing w:line="576" w:lineRule="exact"/>
        <w:ind w:left="0" w:leftChars="0"/>
        <w:rPr>
          <w:rFonts w:cs="Times New Roman"/>
          <w:color w:val="auto"/>
        </w:rPr>
      </w:pPr>
    </w:p>
    <w:p>
      <w:pPr>
        <w:pageBreakBefore w:val="0"/>
        <w:overflowPunct/>
        <w:topLinePunct w:val="0"/>
        <w:bidi w:val="0"/>
        <w:spacing w:line="576" w:lineRule="exact"/>
        <w:ind w:left="2560" w:leftChars="0" w:hanging="2560" w:hangingChars="800"/>
        <w:jc w:val="both"/>
        <w:rPr>
          <w:rFonts w:hint="eastAsia" w:hAnsi="仿宋" w:cs="仿宋"/>
          <w:color w:val="auto"/>
          <w:szCs w:val="32"/>
          <w:u w:val="single"/>
          <w:lang w:val="en-US" w:eastAsia="zh-CN"/>
        </w:rPr>
      </w:pPr>
      <w:r>
        <w:rPr>
          <w:rFonts w:hint="eastAsia" w:hAnsi="仿宋" w:cs="仿宋"/>
          <w:color w:val="auto"/>
          <w:szCs w:val="32"/>
        </w:rPr>
        <w:t>项  目 名 称：</w:t>
      </w:r>
      <w:r>
        <w:rPr>
          <w:rFonts w:hint="eastAsia" w:hAnsi="仿宋" w:cs="仿宋"/>
          <w:color w:val="auto"/>
          <w:szCs w:val="32"/>
          <w:u w:val="single"/>
          <w:lang w:val="en-US" w:eastAsia="zh-CN"/>
        </w:rPr>
        <w:t>西宁市城中区总寨塬智能温室园区道路</w:t>
      </w:r>
    </w:p>
    <w:p>
      <w:pPr>
        <w:pageBreakBefore w:val="0"/>
        <w:overflowPunct/>
        <w:topLinePunct w:val="0"/>
        <w:bidi w:val="0"/>
        <w:spacing w:line="576" w:lineRule="exact"/>
        <w:ind w:left="0" w:leftChars="0" w:firstLine="2240" w:firstLineChars="700"/>
        <w:jc w:val="both"/>
        <w:rPr>
          <w:rFonts w:hint="default" w:hAnsi="仿宋" w:cs="仿宋"/>
          <w:color w:val="auto"/>
          <w:szCs w:val="32"/>
          <w:u w:val="single"/>
          <w:lang w:val="en-US" w:eastAsia="zh-CN"/>
        </w:rPr>
      </w:pPr>
      <w:r>
        <w:rPr>
          <w:rFonts w:hint="eastAsia" w:hAnsi="仿宋" w:cs="仿宋"/>
          <w:color w:val="auto"/>
          <w:szCs w:val="32"/>
          <w:u w:val="single"/>
          <w:lang w:val="en-US" w:eastAsia="zh-CN"/>
        </w:rPr>
        <w:t xml:space="preserve">工程和排水工程                    </w:t>
      </w:r>
    </w:p>
    <w:p>
      <w:pPr>
        <w:pageBreakBefore w:val="0"/>
        <w:overflowPunct/>
        <w:topLinePunct w:val="0"/>
        <w:bidi w:val="0"/>
        <w:spacing w:line="576" w:lineRule="exact"/>
        <w:ind w:left="2560" w:leftChars="0" w:hanging="2560" w:hangingChars="800"/>
        <w:jc w:val="both"/>
        <w:rPr>
          <w:rFonts w:hint="default" w:hAnsi="仿宋" w:cs="仿宋"/>
          <w:color w:val="auto"/>
          <w:szCs w:val="32"/>
          <w:u w:val="single"/>
          <w:lang w:val="en-US" w:eastAsia="zh-CN"/>
        </w:rPr>
      </w:pPr>
      <w:r>
        <w:rPr>
          <w:rFonts w:hint="eastAsia" w:hAnsi="仿宋" w:cs="仿宋"/>
          <w:color w:val="auto"/>
          <w:szCs w:val="32"/>
        </w:rPr>
        <w:t>项目主管部门：</w:t>
      </w:r>
      <w:r>
        <w:rPr>
          <w:rFonts w:hint="eastAsia" w:hAnsi="仿宋" w:cs="仿宋"/>
          <w:color w:val="auto"/>
          <w:szCs w:val="32"/>
          <w:highlight w:val="none"/>
          <w:u w:val="single"/>
        </w:rPr>
        <w:t>西宁市城中区农业农村和乡村振兴局</w:t>
      </w:r>
      <w:r>
        <w:rPr>
          <w:rFonts w:hint="eastAsia" w:hAnsi="仿宋" w:cs="仿宋"/>
          <w:color w:val="auto"/>
          <w:szCs w:val="32"/>
          <w:u w:val="single"/>
          <w:lang w:val="en-US" w:eastAsia="zh-CN"/>
        </w:rPr>
        <w:t xml:space="preserve">  </w:t>
      </w:r>
    </w:p>
    <w:p>
      <w:pPr>
        <w:pageBreakBefore w:val="0"/>
        <w:overflowPunct/>
        <w:topLinePunct w:val="0"/>
        <w:bidi w:val="0"/>
        <w:spacing w:line="576" w:lineRule="exact"/>
        <w:ind w:left="0" w:leftChars="0" w:firstLine="0" w:firstLineChars="0"/>
        <w:jc w:val="both"/>
        <w:rPr>
          <w:rFonts w:hint="default" w:hAnsi="仿宋" w:eastAsia="仿宋_GB2312" w:cs="仿宋"/>
          <w:color w:val="auto"/>
          <w:szCs w:val="32"/>
          <w:u w:val="single"/>
          <w:lang w:val="en-US" w:eastAsia="zh-CN"/>
        </w:rPr>
      </w:pPr>
      <w:r>
        <w:rPr>
          <w:rFonts w:hint="eastAsia" w:hAnsi="仿宋" w:cs="仿宋"/>
          <w:color w:val="auto"/>
          <w:szCs w:val="32"/>
        </w:rPr>
        <w:t>评价实施部门：</w:t>
      </w:r>
      <w:r>
        <w:rPr>
          <w:rFonts w:hint="eastAsia" w:hAnsi="仿宋" w:cs="仿宋"/>
          <w:color w:val="auto"/>
          <w:szCs w:val="32"/>
          <w:u w:val="single"/>
        </w:rPr>
        <w:t>西宁市城中区</w:t>
      </w:r>
      <w:r>
        <w:rPr>
          <w:rFonts w:hint="eastAsia" w:hAnsi="仿宋" w:cs="仿宋"/>
          <w:color w:val="auto"/>
          <w:szCs w:val="32"/>
          <w:u w:val="single"/>
          <w:lang w:val="en-US" w:eastAsia="zh-CN"/>
        </w:rPr>
        <w:t xml:space="preserve">财政局                </w:t>
      </w:r>
    </w:p>
    <w:p>
      <w:pPr>
        <w:pageBreakBefore w:val="0"/>
        <w:overflowPunct/>
        <w:topLinePunct w:val="0"/>
        <w:bidi w:val="0"/>
        <w:spacing w:line="576" w:lineRule="exact"/>
        <w:ind w:left="2560" w:leftChars="0" w:hanging="2560" w:hangingChars="800"/>
        <w:jc w:val="both"/>
        <w:rPr>
          <w:rFonts w:hint="default" w:hAnsi="仿宋" w:eastAsia="仿宋_GB2312" w:cs="仿宋"/>
          <w:color w:val="auto"/>
          <w:szCs w:val="32"/>
          <w:u w:val="single"/>
          <w:lang w:val="en-US" w:eastAsia="zh-CN"/>
        </w:rPr>
      </w:pPr>
      <w:r>
        <w:rPr>
          <w:rFonts w:hint="eastAsia" w:hAnsi="仿宋" w:cs="仿宋"/>
          <w:color w:val="auto"/>
          <w:szCs w:val="32"/>
        </w:rPr>
        <w:t>评价机构名称：</w:t>
      </w:r>
      <w:r>
        <w:rPr>
          <w:rFonts w:hint="eastAsia" w:hAnsi="仿宋" w:cs="仿宋"/>
          <w:color w:val="auto"/>
          <w:szCs w:val="32"/>
          <w:u w:val="single"/>
          <w:lang w:val="en-US" w:eastAsia="zh-CN"/>
        </w:rPr>
        <w:t xml:space="preserve">甘肃政泽绩效管理咨询服务有限公司  </w:t>
      </w:r>
    </w:p>
    <w:p>
      <w:pPr>
        <w:pageBreakBefore w:val="0"/>
        <w:overflowPunct/>
        <w:topLinePunct w:val="0"/>
        <w:bidi w:val="0"/>
        <w:spacing w:line="576" w:lineRule="exact"/>
        <w:ind w:left="0" w:leftChars="0" w:firstLine="0" w:firstLineChars="0"/>
        <w:rPr>
          <w:rFonts w:hint="eastAsia" w:cs="仿宋_GB2312"/>
          <w:color w:val="auto"/>
          <w:szCs w:val="32"/>
        </w:rPr>
      </w:pPr>
    </w:p>
    <w:p>
      <w:pPr>
        <w:pageBreakBefore w:val="0"/>
        <w:overflowPunct/>
        <w:topLinePunct w:val="0"/>
        <w:bidi w:val="0"/>
        <w:spacing w:line="576" w:lineRule="exact"/>
        <w:ind w:left="0" w:leftChars="0"/>
        <w:rPr>
          <w:rFonts w:cs="Times New Roman"/>
          <w:color w:val="auto"/>
        </w:rPr>
      </w:pPr>
    </w:p>
    <w:p>
      <w:pPr>
        <w:pageBreakBefore w:val="0"/>
        <w:overflowPunct/>
        <w:topLinePunct w:val="0"/>
        <w:bidi w:val="0"/>
        <w:spacing w:line="576" w:lineRule="exact"/>
        <w:ind w:left="0" w:leftChars="0" w:firstLine="0" w:firstLineChars="0"/>
        <w:rPr>
          <w:rFonts w:hint="eastAsia" w:cs="Times New Roman"/>
          <w:color w:val="auto"/>
          <w:lang w:eastAsia="zh-CN"/>
        </w:rPr>
      </w:pPr>
    </w:p>
    <w:p>
      <w:pPr>
        <w:pageBreakBefore w:val="0"/>
        <w:overflowPunct/>
        <w:topLinePunct w:val="0"/>
        <w:bidi w:val="0"/>
        <w:spacing w:line="576" w:lineRule="exact"/>
        <w:ind w:left="0" w:leftChars="0"/>
        <w:rPr>
          <w:rFonts w:hint="eastAsia" w:cs="Times New Roman"/>
          <w:color w:val="auto"/>
          <w:lang w:eastAsia="zh-CN"/>
        </w:rPr>
      </w:pPr>
    </w:p>
    <w:p>
      <w:pPr>
        <w:pageBreakBefore w:val="0"/>
        <w:overflowPunct/>
        <w:topLinePunct w:val="0"/>
        <w:bidi w:val="0"/>
        <w:spacing w:line="576" w:lineRule="exact"/>
        <w:ind w:left="0" w:leftChars="0" w:firstLine="883"/>
        <w:rPr>
          <w:rFonts w:ascii="宋体" w:hAnsi="宋体" w:eastAsia="宋体" w:cs="宋体"/>
          <w:b/>
          <w:bCs/>
          <w:color w:val="auto"/>
          <w:sz w:val="44"/>
          <w:szCs w:val="44"/>
        </w:rPr>
        <w:sectPr>
          <w:headerReference r:id="rId34" w:type="first"/>
          <w:footerReference r:id="rId37" w:type="first"/>
          <w:headerReference r:id="rId32" w:type="default"/>
          <w:footerReference r:id="rId35" w:type="default"/>
          <w:headerReference r:id="rId33" w:type="even"/>
          <w:footerReference r:id="rId36" w:type="even"/>
          <w:pgSz w:w="11905" w:h="16838"/>
          <w:pgMar w:top="2098" w:right="1474" w:bottom="1984" w:left="1587" w:header="720" w:footer="720" w:gutter="0"/>
          <w:pgNumType w:fmt="numberInDash"/>
          <w:cols w:space="0" w:num="1"/>
          <w:rtlGutter w:val="0"/>
        </w:sectPr>
      </w:pPr>
    </w:p>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rPr>
          <w:rFonts w:hint="eastAsia" w:ascii="Times New Roman" w:hAnsi="Times New Roman" w:eastAsia="黑体" w:cs="Times New Roman"/>
          <w:b/>
          <w:bCs/>
          <w:color w:val="auto"/>
          <w:sz w:val="44"/>
          <w:szCs w:val="44"/>
          <w:lang w:eastAsia="zh-CN"/>
        </w:rPr>
      </w:pPr>
      <w:bookmarkStart w:id="590" w:name="_Toc948"/>
      <w:bookmarkStart w:id="591" w:name="_Toc32584"/>
      <w:bookmarkStart w:id="592" w:name="_Toc24221"/>
      <w:bookmarkStart w:id="593" w:name="_Toc18173"/>
      <w:r>
        <w:rPr>
          <w:rFonts w:ascii="Times New Roman" w:hAnsi="Times New Roman" w:eastAsia="黑体" w:cs="Times New Roman"/>
          <w:b/>
          <w:bCs/>
          <w:color w:val="auto"/>
          <w:sz w:val="44"/>
          <w:szCs w:val="44"/>
        </w:rPr>
        <w:t>摘</w:t>
      </w:r>
      <w:r>
        <w:rPr>
          <w:rFonts w:hint="eastAsia" w:ascii="Times New Roman" w:hAnsi="Times New Roman" w:eastAsia="黑体" w:cs="Times New Roman"/>
          <w:b/>
          <w:bCs/>
          <w:color w:val="auto"/>
          <w:sz w:val="44"/>
          <w:szCs w:val="44"/>
          <w:lang w:val="en-US" w:eastAsia="zh-CN"/>
        </w:rPr>
        <w:t xml:space="preserve">  </w:t>
      </w:r>
      <w:r>
        <w:rPr>
          <w:rFonts w:ascii="Times New Roman" w:hAnsi="Times New Roman" w:eastAsia="黑体" w:cs="Times New Roman"/>
          <w:b/>
          <w:bCs/>
          <w:color w:val="auto"/>
          <w:sz w:val="44"/>
          <w:szCs w:val="44"/>
        </w:rPr>
        <w:t>要</w:t>
      </w:r>
    </w:p>
    <w:bookmarkEnd w:id="590"/>
    <w:bookmarkEnd w:id="591"/>
    <w:bookmarkEnd w:id="592"/>
    <w:bookmarkEnd w:id="593"/>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eastAsia"/>
          <w:color w:val="auto"/>
          <w:lang w:val="zh-CN"/>
        </w:rPr>
      </w:pPr>
      <w:bookmarkStart w:id="594" w:name="_Toc10423"/>
      <w:r>
        <w:rPr>
          <w:rFonts w:hint="eastAsia" w:ascii="仿宋_GB2312" w:hAnsi="仿宋_GB2312" w:eastAsia="仿宋_GB2312" w:cs="仿宋_GB2312"/>
          <w:color w:val="auto"/>
          <w:sz w:val="32"/>
          <w:szCs w:val="32"/>
          <w:highlight w:val="none"/>
        </w:rPr>
        <w:t>为深入贯彻落实《中共中央 国务院关于全面实施预算绩效管理的意见》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中发〔</w:t>
      </w:r>
      <w:r>
        <w:rPr>
          <w:rFonts w:hint="default" w:ascii="Times New Roman" w:hAnsi="Times New Roman" w:eastAsia="仿宋_GB2312" w:cs="Times New Roman"/>
          <w:color w:val="auto"/>
          <w:sz w:val="32"/>
          <w:szCs w:val="32"/>
          <w:highlight w:val="none"/>
        </w:rPr>
        <w:t>2018〕34</w:t>
      </w:r>
      <w:r>
        <w:rPr>
          <w:rFonts w:hint="eastAsia" w:ascii="仿宋_GB2312" w:hAnsi="仿宋_GB2312" w:eastAsia="仿宋_GB2312" w:cs="仿宋_GB2312"/>
          <w:color w:val="auto"/>
          <w:sz w:val="32"/>
          <w:szCs w:val="32"/>
          <w:highlight w:val="none"/>
        </w:rPr>
        <w:t>号</w:t>
      </w:r>
      <w:r>
        <w:rPr>
          <w:rFonts w:hint="eastAsia" w:ascii="仿宋_GB2312" w:hAnsi="仿宋_GB2312" w:eastAsia="仿宋_GB2312" w:cs="仿宋_GB2312"/>
          <w:color w:val="auto"/>
          <w:sz w:val="32"/>
          <w:szCs w:val="32"/>
          <w:highlight w:val="none"/>
          <w:lang w:eastAsia="zh-CN"/>
        </w:rPr>
        <w:t>）</w:t>
      </w:r>
      <w:r>
        <w:rPr>
          <w:rFonts w:hint="eastAsia" w:ascii="仿宋_GB2312" w:eastAsia="仿宋_GB2312"/>
          <w:b w:val="0"/>
          <w:bCs/>
          <w:color w:val="auto"/>
          <w:sz w:val="32"/>
          <w:szCs w:val="32"/>
          <w:highlight w:val="none"/>
          <w:lang w:eastAsia="zh-CN"/>
        </w:rPr>
        <w:t>和《中共</w:t>
      </w:r>
      <w:r>
        <w:rPr>
          <w:rFonts w:hint="eastAsia"/>
          <w:b w:val="0"/>
          <w:bCs/>
          <w:color w:val="auto"/>
          <w:sz w:val="32"/>
          <w:szCs w:val="32"/>
          <w:highlight w:val="none"/>
          <w:lang w:val="en-US" w:eastAsia="zh-CN"/>
        </w:rPr>
        <w:t>青海</w:t>
      </w:r>
      <w:r>
        <w:rPr>
          <w:rFonts w:hint="eastAsia" w:ascii="仿宋_GB2312" w:eastAsia="仿宋_GB2312"/>
          <w:b w:val="0"/>
          <w:bCs/>
          <w:color w:val="auto"/>
          <w:sz w:val="32"/>
          <w:szCs w:val="32"/>
          <w:highlight w:val="none"/>
          <w:lang w:eastAsia="zh-CN"/>
        </w:rPr>
        <w:t>省委</w:t>
      </w:r>
      <w:r>
        <w:rPr>
          <w:rFonts w:hint="eastAsia" w:ascii="仿宋_GB2312" w:eastAsia="仿宋_GB2312"/>
          <w:b w:val="0"/>
          <w:bCs/>
          <w:color w:val="auto"/>
          <w:sz w:val="32"/>
          <w:szCs w:val="32"/>
          <w:highlight w:val="none"/>
          <w:lang w:val="en-US" w:eastAsia="zh-CN"/>
        </w:rPr>
        <w:t xml:space="preserve"> </w:t>
      </w:r>
      <w:r>
        <w:rPr>
          <w:rFonts w:hint="eastAsia"/>
          <w:b w:val="0"/>
          <w:bCs/>
          <w:color w:val="auto"/>
          <w:sz w:val="32"/>
          <w:szCs w:val="32"/>
          <w:highlight w:val="none"/>
          <w:lang w:val="en-US" w:eastAsia="zh-CN"/>
        </w:rPr>
        <w:t>青海</w:t>
      </w:r>
      <w:r>
        <w:rPr>
          <w:rFonts w:hint="eastAsia" w:ascii="仿宋_GB2312" w:eastAsia="仿宋_GB2312"/>
          <w:b w:val="0"/>
          <w:bCs/>
          <w:color w:val="auto"/>
          <w:sz w:val="32"/>
          <w:szCs w:val="32"/>
          <w:highlight w:val="none"/>
          <w:lang w:eastAsia="zh-CN"/>
        </w:rPr>
        <w:t>省人民政府关于全面实施预算绩效管理的实施意见》（</w:t>
      </w:r>
      <w:r>
        <w:rPr>
          <w:rFonts w:hint="eastAsia"/>
          <w:b w:val="0"/>
          <w:bCs/>
          <w:color w:val="auto"/>
          <w:sz w:val="32"/>
          <w:szCs w:val="32"/>
          <w:highlight w:val="none"/>
          <w:lang w:val="en-US" w:eastAsia="zh-CN"/>
        </w:rPr>
        <w:t>青</w:t>
      </w:r>
      <w:r>
        <w:rPr>
          <w:rFonts w:hint="eastAsia" w:ascii="仿宋_GB2312" w:eastAsia="仿宋_GB2312"/>
          <w:b w:val="0"/>
          <w:bCs/>
          <w:color w:val="auto"/>
          <w:sz w:val="32"/>
          <w:szCs w:val="32"/>
          <w:highlight w:val="none"/>
          <w:lang w:eastAsia="zh-CN"/>
        </w:rPr>
        <w:t>发</w:t>
      </w:r>
      <w:r>
        <w:rPr>
          <w:rFonts w:hint="eastAsia" w:ascii="Times New Roman" w:hAnsi="Times New Roman" w:eastAsia="仿宋_GB2312" w:cs="Times New Roman"/>
          <w:color w:val="auto"/>
          <w:sz w:val="32"/>
          <w:szCs w:val="32"/>
          <w:highlight w:val="none"/>
          <w:lang w:eastAsia="zh-CN"/>
        </w:rPr>
        <w:t>〔201</w:t>
      </w:r>
      <w:r>
        <w:rPr>
          <w:rFonts w:hint="eastAsia" w:ascii="Times New Roman" w:hAnsi="Times New Roman" w:eastAsia="仿宋_GB2312" w:cs="Times New Roman"/>
          <w:color w:val="auto"/>
          <w:sz w:val="32"/>
          <w:szCs w:val="32"/>
          <w:highlight w:val="none"/>
          <w:lang w:val="en-US" w:eastAsia="zh-CN"/>
        </w:rPr>
        <w:t>9</w:t>
      </w: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11</w:t>
      </w:r>
      <w:r>
        <w:rPr>
          <w:rFonts w:hint="eastAsia" w:ascii="Times New Roman" w:hAnsi="Times New Roman" w:eastAsia="仿宋_GB2312" w:cs="Times New Roman"/>
          <w:color w:val="auto"/>
          <w:sz w:val="32"/>
          <w:szCs w:val="32"/>
          <w:highlight w:val="none"/>
          <w:lang w:eastAsia="zh-CN"/>
        </w:rPr>
        <w:t>号</w:t>
      </w:r>
      <w:r>
        <w:rPr>
          <w:rFonts w:hint="eastAsia" w:ascii="仿宋_GB2312" w:eastAsia="仿宋_GB2312"/>
          <w:b w:val="0"/>
          <w:bCs/>
          <w:color w:val="auto"/>
          <w:sz w:val="32"/>
          <w:szCs w:val="32"/>
          <w:highlight w:val="none"/>
          <w:lang w:eastAsia="zh-CN"/>
        </w:rPr>
        <w:t>）</w:t>
      </w:r>
      <w:r>
        <w:rPr>
          <w:rFonts w:hint="eastAsia" w:ascii="仿宋_GB2312" w:eastAsia="仿宋_GB2312"/>
          <w:b w:val="0"/>
          <w:bCs/>
          <w:color w:val="auto"/>
          <w:sz w:val="32"/>
          <w:szCs w:val="32"/>
          <w:highlight w:val="none"/>
          <w:lang w:val="en-US" w:eastAsia="zh-CN"/>
        </w:rPr>
        <w:t>文件精神</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highlight w:val="none"/>
          <w:lang w:val="en-US" w:eastAsia="zh-CN"/>
        </w:rPr>
        <w:t>加强财政</w:t>
      </w:r>
      <w:r>
        <w:rPr>
          <w:rFonts w:hint="eastAsia" w:ascii="仿宋_GB2312" w:hAnsi="仿宋_GB2312" w:eastAsia="仿宋_GB2312" w:cs="仿宋_GB2312"/>
          <w:color w:val="auto"/>
          <w:highlight w:val="none"/>
        </w:rPr>
        <w:t>资金的使用</w:t>
      </w:r>
      <w:r>
        <w:rPr>
          <w:rFonts w:hint="eastAsia" w:ascii="仿宋_GB2312" w:hAnsi="仿宋_GB2312" w:eastAsia="仿宋_GB2312" w:cs="仿宋_GB2312"/>
          <w:color w:val="auto"/>
          <w:highlight w:val="none"/>
          <w:lang w:eastAsia="zh-CN"/>
        </w:rPr>
        <w:t>绩效</w:t>
      </w:r>
      <w:r>
        <w:rPr>
          <w:rFonts w:hint="eastAsia" w:ascii="仿宋_GB2312" w:hAnsi="仿宋_GB2312" w:eastAsia="仿宋_GB2312" w:cs="仿宋_GB2312"/>
          <w:color w:val="auto"/>
          <w:highlight w:val="none"/>
        </w:rPr>
        <w:t>和管理</w:t>
      </w:r>
      <w:r>
        <w:rPr>
          <w:rFonts w:hint="eastAsia" w:ascii="仿宋_GB2312" w:hAnsi="仿宋_GB2312" w:eastAsia="仿宋_GB2312" w:cs="仿宋_GB2312"/>
          <w:color w:val="auto"/>
          <w:highlight w:val="none"/>
          <w:lang w:eastAsia="zh-CN"/>
        </w:rPr>
        <w:t>水</w:t>
      </w:r>
      <w:r>
        <w:rPr>
          <w:rFonts w:hint="eastAsia" w:ascii="仿宋_GB2312" w:hAnsi="仿宋_GB2312" w:eastAsia="仿宋_GB2312" w:cs="仿宋_GB2312"/>
          <w:color w:val="auto"/>
          <w:sz w:val="32"/>
          <w:szCs w:val="32"/>
          <w:highlight w:val="none"/>
          <w:lang w:eastAsia="zh-CN"/>
        </w:rPr>
        <w:t>平，保证财政预算资金</w:t>
      </w:r>
      <w:r>
        <w:rPr>
          <w:rFonts w:hint="eastAsia" w:ascii="仿宋_GB2312" w:hAnsi="仿宋_GB2312" w:eastAsia="仿宋_GB2312" w:cs="仿宋_GB2312"/>
          <w:color w:val="auto"/>
          <w:sz w:val="32"/>
          <w:szCs w:val="32"/>
          <w:highlight w:val="none"/>
          <w:lang w:val="en-US" w:eastAsia="zh-CN"/>
        </w:rPr>
        <w:t>效益充分发挥</w:t>
      </w:r>
      <w:r>
        <w:rPr>
          <w:rFonts w:hint="eastAsia" w:ascii="仿宋_GB2312" w:hAnsi="仿宋_GB2312" w:eastAsia="仿宋_GB2312" w:cs="仿宋_GB2312"/>
          <w:color w:val="auto"/>
          <w:sz w:val="32"/>
          <w:szCs w:val="32"/>
          <w:highlight w:val="none"/>
          <w:lang w:eastAsia="zh-CN"/>
        </w:rPr>
        <w:t>，</w:t>
      </w:r>
      <w:r>
        <w:rPr>
          <w:rFonts w:hint="eastAsia" w:cs="仿宋_GB2312"/>
          <w:color w:val="auto"/>
          <w:sz w:val="32"/>
          <w:szCs w:val="32"/>
          <w:highlight w:val="none"/>
          <w:lang w:val="en-US" w:eastAsia="zh-CN"/>
        </w:rPr>
        <w:t>西宁市城中区</w:t>
      </w:r>
      <w:r>
        <w:rPr>
          <w:rFonts w:hint="eastAsia" w:ascii="仿宋_GB2312" w:hAnsi="仿宋_GB2312" w:eastAsia="仿宋_GB2312" w:cs="仿宋_GB2312"/>
          <w:color w:val="auto"/>
          <w:sz w:val="32"/>
          <w:szCs w:val="32"/>
          <w:highlight w:val="none"/>
          <w:lang w:eastAsia="zh-CN"/>
        </w:rPr>
        <w:t>财政局委托第三方机构</w:t>
      </w:r>
      <w:r>
        <w:rPr>
          <w:rFonts w:hint="eastAsia" w:ascii="仿宋_GB2312" w:hAnsi="仿宋_GB2312" w:eastAsia="仿宋_GB2312" w:cs="仿宋_GB2312"/>
          <w:color w:val="auto"/>
          <w:sz w:val="32"/>
          <w:szCs w:val="32"/>
          <w:highlight w:val="none"/>
        </w:rPr>
        <w:t>对</w:t>
      </w:r>
      <w:r>
        <w:rPr>
          <w:rFonts w:hint="eastAsia" w:cs="仿宋_GB2312"/>
          <w:color w:val="auto"/>
          <w:sz w:val="32"/>
          <w:szCs w:val="32"/>
          <w:highlight w:val="none"/>
          <w:lang w:val="en-US" w:eastAsia="zh-CN"/>
        </w:rPr>
        <w:t>城中区总寨塬智能温室园区道路工程和排水工程项目</w:t>
      </w:r>
      <w:r>
        <w:rPr>
          <w:rFonts w:hint="eastAsia" w:ascii="仿宋_GB2312" w:hAnsi="仿宋_GB2312" w:eastAsia="仿宋_GB2312" w:cs="仿宋_GB2312"/>
          <w:color w:val="auto"/>
          <w:highlight w:val="none"/>
        </w:rPr>
        <w:t>开展绩效评价。</w:t>
      </w:r>
    </w:p>
    <w:bookmarkEnd w:id="594"/>
    <w:p>
      <w:pPr>
        <w:pStyle w:val="6"/>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项目评价组根据项目实施单位提供的项目资料，结合</w:t>
      </w:r>
      <w:r>
        <w:rPr>
          <w:rFonts w:hint="eastAsia"/>
          <w:color w:val="auto"/>
          <w:highlight w:val="none"/>
          <w:lang w:eastAsia="zh-CN"/>
        </w:rPr>
        <w:t>实地调研、调查问卷等方式</w:t>
      </w:r>
      <w:r>
        <w:rPr>
          <w:rFonts w:hint="eastAsia" w:ascii="仿宋_GB2312" w:hAnsi="仿宋_GB2312" w:eastAsia="仿宋_GB2312" w:cs="仿宋_GB2312"/>
          <w:b w:val="0"/>
          <w:bCs w:val="0"/>
          <w:color w:val="auto"/>
          <w:sz w:val="32"/>
          <w:szCs w:val="32"/>
          <w:highlight w:val="none"/>
          <w:lang w:val="en-US" w:eastAsia="zh-CN"/>
        </w:rPr>
        <w:t>，严格按照绩效评价指标体系评分标准进行绩效打分，综合测评得出该项目绩效评价得分为：</w:t>
      </w:r>
      <w:r>
        <w:rPr>
          <w:rFonts w:hint="eastAsia" w:ascii="Times New Roman" w:hAnsi="Times New Roman" w:eastAsia="仿宋_GB2312" w:cs="Times New Roman"/>
          <w:color w:val="auto"/>
          <w:kern w:val="2"/>
          <w:sz w:val="32"/>
          <w:szCs w:val="32"/>
          <w:highlight w:val="none"/>
          <w:lang w:val="en-US" w:eastAsia="zh-CN" w:bidi="ar-SA"/>
        </w:rPr>
        <w:t>84分</w:t>
      </w:r>
      <w:r>
        <w:rPr>
          <w:rFonts w:hint="eastAsia" w:ascii="仿宋_GB2312" w:hAnsi="仿宋_GB2312" w:eastAsia="仿宋_GB2312" w:cs="仿宋_GB2312"/>
          <w:b w:val="0"/>
          <w:bCs w:val="0"/>
          <w:color w:val="auto"/>
          <w:sz w:val="32"/>
          <w:szCs w:val="32"/>
          <w:highlight w:val="none"/>
          <w:lang w:val="en-US" w:eastAsia="zh-CN"/>
        </w:rPr>
        <w:t>。根据《财政部关于印发〈项目支出绩效评价管理办法〉的通知》（财</w:t>
      </w:r>
      <w:r>
        <w:rPr>
          <w:rFonts w:hint="eastAsia" w:ascii="Times New Roman" w:hAnsi="Times New Roman" w:eastAsia="仿宋_GB2312" w:cs="Times New Roman"/>
          <w:color w:val="auto"/>
          <w:kern w:val="2"/>
          <w:sz w:val="32"/>
          <w:szCs w:val="32"/>
          <w:highlight w:val="none"/>
          <w:lang w:val="en-US" w:eastAsia="zh-CN" w:bidi="ar-SA"/>
        </w:rPr>
        <w:t>预〔2020〕10</w:t>
      </w:r>
      <w:r>
        <w:rPr>
          <w:rFonts w:hint="eastAsia" w:ascii="仿宋_GB2312" w:hAnsi="仿宋_GB2312" w:eastAsia="仿宋_GB2312" w:cs="仿宋_GB2312"/>
          <w:b w:val="0"/>
          <w:bCs w:val="0"/>
          <w:color w:val="auto"/>
          <w:sz w:val="32"/>
          <w:szCs w:val="32"/>
          <w:highlight w:val="none"/>
          <w:lang w:val="en-US" w:eastAsia="zh-CN"/>
        </w:rPr>
        <w:t>号）文件，本项目绩效评价结果等级为：</w:t>
      </w:r>
      <w:r>
        <w:rPr>
          <w:rFonts w:hint="eastAsia" w:cs="仿宋_GB2312"/>
          <w:b/>
          <w:bCs/>
          <w:color w:val="auto"/>
          <w:sz w:val="32"/>
          <w:szCs w:val="32"/>
          <w:highlight w:val="none"/>
          <w:lang w:val="en-US" w:eastAsia="zh-CN"/>
        </w:rPr>
        <w:t>良</w:t>
      </w:r>
      <w:r>
        <w:rPr>
          <w:rFonts w:hint="eastAsia" w:ascii="仿宋_GB2312" w:hAnsi="仿宋_GB2312" w:eastAsia="仿宋_GB2312" w:cs="仿宋_GB2312"/>
          <w:b/>
          <w:bCs/>
          <w:color w:val="auto"/>
          <w:sz w:val="32"/>
          <w:szCs w:val="32"/>
          <w:highlight w:val="none"/>
          <w:lang w:val="en-US" w:eastAsia="zh-CN"/>
        </w:rPr>
        <w:t>。</w:t>
      </w:r>
    </w:p>
    <w:p>
      <w:pPr>
        <w:pStyle w:val="6"/>
        <w:pageBreakBefore w:val="0"/>
        <w:overflowPunct/>
        <w:topLinePunct w:val="0"/>
        <w:bidi w:val="0"/>
        <w:spacing w:line="576" w:lineRule="exact"/>
        <w:ind w:left="0" w:leftChars="0"/>
        <w:rPr>
          <w:rFonts w:hint="eastAsia" w:cs="Times New Roman"/>
          <w:color w:val="auto"/>
          <w:lang w:val="en-US" w:eastAsia="zh-CN"/>
        </w:rPr>
        <w:sectPr>
          <w:headerReference r:id="rId38" w:type="default"/>
          <w:footerReference r:id="rId40" w:type="default"/>
          <w:headerReference r:id="rId39" w:type="even"/>
          <w:footerReference r:id="rId41" w:type="even"/>
          <w:pgSz w:w="11905" w:h="16838"/>
          <w:pgMar w:top="2098" w:right="1474" w:bottom="1984" w:left="1587" w:header="851" w:footer="720" w:gutter="0"/>
          <w:pgNumType w:fmt="numberInDash"/>
          <w:cols w:space="0" w:num="1"/>
          <w:rtlGutter w:val="0"/>
          <w:docGrid w:type="lines" w:linePitch="436" w:charSpace="0"/>
        </w:sectPr>
      </w:pPr>
      <w:r>
        <w:rPr>
          <w:rFonts w:hint="eastAsia" w:ascii="仿宋_GB2312" w:hAnsi="仿宋_GB2312" w:eastAsia="仿宋_GB2312" w:cs="仿宋_GB2312"/>
          <w:b/>
          <w:bCs/>
          <w:color w:val="auto"/>
          <w:sz w:val="32"/>
          <w:szCs w:val="32"/>
          <w:highlight w:val="none"/>
          <w:lang w:val="en-US" w:eastAsia="zh-CN"/>
        </w:rPr>
        <w:t>总体认为：</w:t>
      </w:r>
      <w:r>
        <w:rPr>
          <w:rFonts w:hint="eastAsia" w:cs="仿宋_GB2312"/>
          <w:b w:val="0"/>
          <w:bCs w:val="0"/>
          <w:color w:val="auto"/>
          <w:sz w:val="32"/>
          <w:szCs w:val="32"/>
          <w:highlight w:val="none"/>
          <w:lang w:val="en-US" w:eastAsia="zh-CN"/>
        </w:rPr>
        <w:t>城中区总寨塬智能温室园区道路工程和排水工程项目</w:t>
      </w:r>
      <w:r>
        <w:rPr>
          <w:rFonts w:hint="eastAsia"/>
          <w:color w:val="auto"/>
          <w:highlight w:val="none"/>
          <w:lang w:val="en-US" w:eastAsia="zh-CN"/>
        </w:rPr>
        <w:t>立项依据充分、程序规范，项目相关制度健全，项目招投标、管理规范，项目工程计划建设内容按照预期目标已全部完成，资金使用效益显著。</w:t>
      </w:r>
      <w:r>
        <w:rPr>
          <w:rFonts w:hint="eastAsia" w:cs="仿宋_GB2312"/>
          <w:b w:val="0"/>
          <w:bCs w:val="0"/>
          <w:color w:val="auto"/>
          <w:sz w:val="32"/>
          <w:szCs w:val="32"/>
          <w:highlight w:val="none"/>
          <w:lang w:val="en-US" w:eastAsia="zh-CN"/>
        </w:rPr>
        <w:t>城中区总寨塬智能温室园区道路工程和排水工程项目</w:t>
      </w:r>
      <w:r>
        <w:rPr>
          <w:rFonts w:hint="eastAsia" w:ascii="仿宋_GB2312" w:hAnsi="仿宋_GB2312" w:eastAsia="仿宋_GB2312" w:cs="仿宋_GB2312"/>
          <w:b w:val="0"/>
          <w:bCs w:val="0"/>
          <w:color w:val="auto"/>
          <w:sz w:val="32"/>
          <w:szCs w:val="32"/>
          <w:highlight w:val="none"/>
          <w:lang w:val="en-US" w:eastAsia="zh-CN"/>
        </w:rPr>
        <w:t>实施</w:t>
      </w:r>
      <w:r>
        <w:rPr>
          <w:rFonts w:hint="eastAsia" w:cs="仿宋_GB2312"/>
          <w:b w:val="0"/>
          <w:bCs w:val="0"/>
          <w:color w:val="auto"/>
          <w:sz w:val="32"/>
          <w:szCs w:val="32"/>
          <w:highlight w:val="none"/>
          <w:lang w:val="en-US" w:eastAsia="zh-CN"/>
        </w:rPr>
        <w:t>后，改善了总寨塬温室园区道路出行条件，提高了园区道路运输能力，</w:t>
      </w:r>
      <w:r>
        <w:rPr>
          <w:rFonts w:hint="eastAsia" w:cs="Times New Roman"/>
          <w:color w:val="auto"/>
          <w:lang w:val="en-US" w:eastAsia="zh-CN"/>
        </w:rPr>
        <w:t>解决了园区排水问题，完善了园区配套设施建设，减少了园区因强降雨等天气对蔬菜生产的影响，提高了农民经济收入，保障了城区“菜篮子”供给，推动了绿色生态农业发展。但在项目实施过程中仍存在一些问题，</w:t>
      </w:r>
      <w:r>
        <w:rPr>
          <w:rFonts w:hint="eastAsia" w:cs="Times New Roman"/>
          <w:b/>
          <w:bCs/>
          <w:color w:val="auto"/>
          <w:lang w:val="en-US" w:eastAsia="zh-CN"/>
        </w:rPr>
        <w:t>一是</w:t>
      </w:r>
      <w:r>
        <w:rPr>
          <w:rFonts w:hint="eastAsia" w:cs="Times New Roman"/>
          <w:color w:val="auto"/>
          <w:lang w:val="en-US" w:eastAsia="zh-CN"/>
        </w:rPr>
        <w:t>项目工程款未按合同约定比例和进度支出，排水工程工程款资金支付方式不明确；</w:t>
      </w:r>
      <w:r>
        <w:rPr>
          <w:rFonts w:hint="eastAsia" w:cs="Times New Roman"/>
          <w:b/>
          <w:bCs/>
          <w:color w:val="auto"/>
          <w:lang w:val="en-US" w:eastAsia="zh-CN"/>
        </w:rPr>
        <w:t>二是</w:t>
      </w:r>
      <w:r>
        <w:rPr>
          <w:rFonts w:hint="eastAsia" w:cs="Times New Roman"/>
          <w:color w:val="auto"/>
          <w:lang w:val="en-US" w:eastAsia="zh-CN"/>
        </w:rPr>
        <w:t>项目管护交接不及时；</w:t>
      </w:r>
      <w:r>
        <w:rPr>
          <w:rFonts w:hint="eastAsia" w:cs="Times New Roman"/>
          <w:b/>
          <w:bCs/>
          <w:color w:val="auto"/>
          <w:lang w:val="en-US" w:eastAsia="zh-CN"/>
        </w:rPr>
        <w:t>三是</w:t>
      </w:r>
      <w:r>
        <w:rPr>
          <w:rFonts w:hint="eastAsia" w:cs="Times New Roman"/>
          <w:b w:val="0"/>
          <w:bCs w:val="0"/>
          <w:color w:val="auto"/>
          <w:lang w:val="en-US" w:eastAsia="zh-CN"/>
        </w:rPr>
        <w:t>财务管理和</w:t>
      </w:r>
      <w:r>
        <w:rPr>
          <w:rFonts w:hint="eastAsia" w:cs="Times New Roman"/>
          <w:color w:val="auto"/>
          <w:lang w:val="en-US" w:eastAsia="zh-CN"/>
        </w:rPr>
        <w:t>档案管理工作有待加强；</w:t>
      </w:r>
      <w:r>
        <w:rPr>
          <w:rFonts w:hint="eastAsia" w:cs="Times New Roman"/>
          <w:b/>
          <w:bCs/>
          <w:color w:val="auto"/>
          <w:lang w:val="en-US" w:eastAsia="zh-CN"/>
        </w:rPr>
        <w:t>四是</w:t>
      </w:r>
      <w:r>
        <w:rPr>
          <w:rFonts w:hint="eastAsia" w:cs="Times New Roman"/>
          <w:color w:val="auto"/>
          <w:lang w:val="en-US" w:eastAsia="zh-CN"/>
        </w:rPr>
        <w:t>绩效指标设置不够细化明确。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outlineLvl w:val="9"/>
        <w:rPr>
          <w:rFonts w:hint="eastAsia" w:cs="Times New Roman"/>
          <w:b/>
          <w:bCs/>
          <w:color w:val="auto"/>
          <w:sz w:val="36"/>
          <w:szCs w:val="36"/>
          <w:lang w:val="en-US" w:eastAsia="zh-CN"/>
        </w:rPr>
      </w:pPr>
      <w:r>
        <w:rPr>
          <w:rFonts w:hint="eastAsia" w:cs="Times New Roman"/>
          <w:b/>
          <w:bCs/>
          <w:color w:val="auto"/>
          <w:sz w:val="36"/>
          <w:szCs w:val="36"/>
          <w:lang w:val="en-US" w:eastAsia="zh-CN"/>
        </w:rPr>
        <w:t>项目绩效评价结论表</w:t>
      </w:r>
    </w:p>
    <w:tbl>
      <w:tblPr>
        <w:tblStyle w:val="14"/>
        <w:tblW w:w="87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2140"/>
        <w:gridCol w:w="1372"/>
        <w:gridCol w:w="251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trPr>
        <w:tc>
          <w:tcPr>
            <w:tcW w:w="108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项</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基</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本</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情</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况</w:t>
            </w: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项目名称</w:t>
            </w:r>
          </w:p>
        </w:tc>
        <w:tc>
          <w:tcPr>
            <w:tcW w:w="5502" w:type="dxa"/>
            <w:gridSpan w:val="3"/>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color w:val="auto"/>
                <w:sz w:val="24"/>
                <w:szCs w:val="24"/>
                <w:lang w:val="en-US" w:eastAsia="zh-CN"/>
              </w:rPr>
              <w:t>城中区总寨智能温室园区道路工程和排水工程项目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7" w:hRule="atLeast"/>
        </w:trPr>
        <w:tc>
          <w:tcPr>
            <w:tcW w:w="108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主管单位</w:t>
            </w:r>
          </w:p>
        </w:tc>
        <w:tc>
          <w:tcPr>
            <w:tcW w:w="5502" w:type="dxa"/>
            <w:gridSpan w:val="3"/>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西宁市城中区农业农村和乡村振兴局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108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实施单位</w:t>
            </w:r>
          </w:p>
        </w:tc>
        <w:tc>
          <w:tcPr>
            <w:tcW w:w="5502" w:type="dxa"/>
            <w:gridSpan w:val="3"/>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西宁市城中区农业农村和乡村振兴局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108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项目起止时间</w:t>
            </w:r>
          </w:p>
        </w:tc>
        <w:tc>
          <w:tcPr>
            <w:tcW w:w="5502" w:type="dxa"/>
            <w:gridSpan w:val="3"/>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2020年7月－2020年10月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108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委托评价单位</w:t>
            </w:r>
          </w:p>
        </w:tc>
        <w:tc>
          <w:tcPr>
            <w:tcW w:w="5502" w:type="dxa"/>
            <w:gridSpan w:val="3"/>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西宁市城中区财政局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108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项目属性</w:t>
            </w:r>
          </w:p>
        </w:tc>
        <w:tc>
          <w:tcPr>
            <w:tcW w:w="5502" w:type="dxa"/>
            <w:gridSpan w:val="3"/>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723" w:firstLineChars="300"/>
              <w:jc w:val="both"/>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☑新增项目         □延续项目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7" w:hRule="atLeast"/>
        </w:trPr>
        <w:tc>
          <w:tcPr>
            <w:tcW w:w="108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项目类型</w:t>
            </w:r>
          </w:p>
        </w:tc>
        <w:tc>
          <w:tcPr>
            <w:tcW w:w="5502"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☑经济建设类       □社会文教类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□国防建设类       □行政管理类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trPr>
        <w:tc>
          <w:tcPr>
            <w:tcW w:w="1089"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情</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况</w:t>
            </w: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预算安排资金</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（万元）</w:t>
            </w:r>
          </w:p>
        </w:tc>
        <w:tc>
          <w:tcPr>
            <w:tcW w:w="1372"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default"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332.82</w:t>
            </w:r>
          </w:p>
        </w:tc>
        <w:tc>
          <w:tcPr>
            <w:tcW w:w="251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实际到位资金</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（万元）</w:t>
            </w:r>
          </w:p>
        </w:tc>
        <w:tc>
          <w:tcPr>
            <w:tcW w:w="162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332.82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08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其中：中央财政</w:t>
            </w:r>
          </w:p>
        </w:tc>
        <w:tc>
          <w:tcPr>
            <w:tcW w:w="1372"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p>
        </w:tc>
        <w:tc>
          <w:tcPr>
            <w:tcW w:w="251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其中：中央财政</w:t>
            </w:r>
          </w:p>
        </w:tc>
        <w:tc>
          <w:tcPr>
            <w:tcW w:w="162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108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 xml:space="preserve">      省级财政</w:t>
            </w:r>
          </w:p>
        </w:tc>
        <w:tc>
          <w:tcPr>
            <w:tcW w:w="1372"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p>
        </w:tc>
        <w:tc>
          <w:tcPr>
            <w:tcW w:w="251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 xml:space="preserve">       省级财政</w:t>
            </w:r>
          </w:p>
        </w:tc>
        <w:tc>
          <w:tcPr>
            <w:tcW w:w="162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1" w:hRule="atLeast"/>
        </w:trPr>
        <w:tc>
          <w:tcPr>
            <w:tcW w:w="108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 xml:space="preserve">      市县财政</w:t>
            </w:r>
          </w:p>
        </w:tc>
        <w:tc>
          <w:tcPr>
            <w:tcW w:w="1372"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332.82</w:t>
            </w:r>
          </w:p>
        </w:tc>
        <w:tc>
          <w:tcPr>
            <w:tcW w:w="251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 xml:space="preserve">       市县财政</w:t>
            </w:r>
          </w:p>
        </w:tc>
        <w:tc>
          <w:tcPr>
            <w:tcW w:w="162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332.82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trPr>
        <w:tc>
          <w:tcPr>
            <w:tcW w:w="108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实际支出资金</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（万元）</w:t>
            </w:r>
          </w:p>
        </w:tc>
        <w:tc>
          <w:tcPr>
            <w:tcW w:w="1372"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332.82</w:t>
            </w:r>
          </w:p>
        </w:tc>
        <w:tc>
          <w:tcPr>
            <w:tcW w:w="251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结转结余资金</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（万元）</w:t>
            </w:r>
          </w:p>
        </w:tc>
        <w:tc>
          <w:tcPr>
            <w:tcW w:w="162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trPr>
        <w:tc>
          <w:tcPr>
            <w:tcW w:w="108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预算执行率</w:t>
            </w:r>
          </w:p>
        </w:tc>
        <w:tc>
          <w:tcPr>
            <w:tcW w:w="5502" w:type="dxa"/>
            <w:gridSpan w:val="3"/>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1089"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完</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情</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况</w:t>
            </w:r>
          </w:p>
        </w:tc>
        <w:tc>
          <w:tcPr>
            <w:tcW w:w="3512" w:type="dxa"/>
            <w:gridSpan w:val="2"/>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预期绩效目标</w:t>
            </w:r>
          </w:p>
        </w:tc>
        <w:tc>
          <w:tcPr>
            <w:tcW w:w="4130" w:type="dxa"/>
            <w:gridSpan w:val="2"/>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实际完成目标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0" w:hRule="atLeast"/>
        </w:trPr>
        <w:tc>
          <w:tcPr>
            <w:tcW w:w="1089"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p>
        </w:tc>
        <w:tc>
          <w:tcPr>
            <w:tcW w:w="3512" w:type="dxa"/>
            <w:gridSpan w:val="2"/>
            <w:noWrap w:val="0"/>
            <w:vAlign w:val="center"/>
          </w:tcPr>
          <w:p>
            <w:pPr>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总寨塬智能温室园区道路工程绩效目标：修建园区简易砂石道路，新建道路全长1.932km，新建U型砼边沟（50*50）1848m，新建砼圆筒涵（d=45）58m，彻底解决园区交通状况，方便种植户蔬菜流通，增加种植效益，增加农户收入，完善园区基础设施建设，为园区后期发展奠定基础。</w:t>
            </w:r>
          </w:p>
          <w:p>
            <w:pPr>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outlineLvl w:val="9"/>
              <w:rPr>
                <w:rFonts w:hint="eastAsia" w:ascii="宋体" w:hAnsi="宋体" w:eastAsia="宋体" w:cs="宋体"/>
                <w:b/>
                <w:bCs/>
                <w:color w:val="auto"/>
                <w:kern w:val="2"/>
                <w:sz w:val="24"/>
                <w:szCs w:val="24"/>
                <w:vertAlign w:val="baseline"/>
                <w:lang w:val="en-US" w:eastAsia="zh-CN" w:bidi="ar-SA"/>
              </w:rPr>
            </w:pPr>
            <w:r>
              <w:rPr>
                <w:rFonts w:hint="eastAsia" w:ascii="宋体" w:hAnsi="宋体" w:eastAsia="宋体" w:cs="宋体"/>
                <w:b w:val="0"/>
                <w:bCs w:val="0"/>
                <w:color w:val="auto"/>
                <w:sz w:val="24"/>
                <w:szCs w:val="24"/>
                <w:lang w:val="en-US" w:eastAsia="zh-CN"/>
              </w:rPr>
              <w:t>2.总寨塬智能温室园区排水工程绩效目标：新建干沟549m，支沟3822m（其中温棚段无盖板支沟3475m，穿路段盖板支沟347m），新建干沟陡坡2座、支沟陡</w:t>
            </w:r>
            <w:r>
              <w:rPr>
                <w:rFonts w:hint="eastAsia" w:ascii="宋体" w:hAnsi="宋体" w:eastAsia="宋体" w:cs="宋体"/>
                <w:color w:val="auto"/>
                <w:sz w:val="24"/>
                <w:szCs w:val="24"/>
                <w:lang w:val="en-US" w:eastAsia="zh-CN"/>
              </w:rPr>
              <w:t>坡6座，彻底解决园区排水问题，减少园区因强降雨等天气对蔬菜生产的影响，增加种植户收入。</w:t>
            </w:r>
          </w:p>
        </w:tc>
        <w:tc>
          <w:tcPr>
            <w:tcW w:w="4130" w:type="dxa"/>
            <w:gridSpan w:val="2"/>
            <w:noWrap w:val="0"/>
            <w:vAlign w:val="center"/>
          </w:tcPr>
          <w:p>
            <w:pPr>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1.总寨塬智能温室园区道路工程实际新建道路全长1.932km，新建U型砼边沟（50*50）1848m，新建砼圆筒涵（d=45）58m。</w:t>
            </w:r>
          </w:p>
          <w:p>
            <w:pPr>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2.总寨塬智能温室园区排水工程实际新建干沟3822m（其中温棚段无盖板支沟3475m，穿路段盖板支沟347m），新建干沟陡坡2座、支沟陡坡6座，新增农田退水24m；新增阳光带外用土回填5770m³；新增温室前坎砼挡墙63m³。</w:t>
            </w:r>
          </w:p>
          <w:p>
            <w:pPr>
              <w:keepNext/>
              <w:keepLines/>
              <w:pageBreakBefore w:val="0"/>
              <w:widowControl w:val="0"/>
              <w:kinsoku/>
              <w:wordWrap/>
              <w:overflowPunct/>
              <w:topLinePunct w:val="0"/>
              <w:autoSpaceDE/>
              <w:autoSpaceDN/>
              <w:bidi w:val="0"/>
              <w:adjustRightInd w:val="0"/>
              <w:snapToGrid w:val="0"/>
              <w:spacing w:line="576" w:lineRule="exact"/>
              <w:ind w:left="0" w:leftChars="0" w:firstLine="0" w:firstLineChars="0"/>
              <w:jc w:val="both"/>
              <w:textAlignment w:val="auto"/>
              <w:outlineLvl w:val="5"/>
              <w:rPr>
                <w:rFonts w:hint="eastAsia" w:ascii="宋体" w:hAnsi="宋体" w:eastAsia="宋体" w:cs="宋体"/>
                <w:bCs/>
                <w:color w:val="auto"/>
                <w:kern w:val="2"/>
                <w:sz w:val="24"/>
                <w:szCs w:val="24"/>
                <w:lang w:val="en-US" w:eastAsia="zh-CN" w:bidi="ar-SA"/>
              </w:rPr>
            </w:pPr>
            <w:r>
              <w:rPr>
                <w:rFonts w:hint="eastAsia" w:ascii="宋体" w:hAnsi="宋体" w:eastAsia="宋体" w:cs="宋体"/>
                <w:b w:val="0"/>
                <w:bCs w:val="0"/>
                <w:color w:val="auto"/>
                <w:kern w:val="2"/>
                <w:sz w:val="24"/>
                <w:szCs w:val="24"/>
                <w:highlight w:val="none"/>
                <w:lang w:val="en-US" w:eastAsia="zh-CN" w:bidi="ar-SA"/>
              </w:rPr>
              <w:t>项目的实施改善了总寨塬温室园区道路出行条件，提高了园区道路运输能力，</w:t>
            </w:r>
            <w:r>
              <w:rPr>
                <w:rFonts w:hint="eastAsia" w:ascii="宋体" w:hAnsi="宋体" w:eastAsia="宋体" w:cs="宋体"/>
                <w:bCs/>
                <w:color w:val="auto"/>
                <w:kern w:val="2"/>
                <w:sz w:val="24"/>
                <w:szCs w:val="24"/>
                <w:lang w:val="en-US" w:eastAsia="zh-CN" w:bidi="ar-SA"/>
              </w:rPr>
              <w:t>解决了园区排水问题，完善了园区配套设施建设，减少了园区因强降雨等天气对蔬菜生产的影响，提高了农民经济收入，保障了城区“菜篮子”供给，推动了绿色生态农业发展。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exact"/>
        </w:trPr>
        <w:tc>
          <w:tcPr>
            <w:tcW w:w="1089"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价</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情</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况</w:t>
            </w: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评价得分</w:t>
            </w:r>
          </w:p>
        </w:tc>
        <w:tc>
          <w:tcPr>
            <w:tcW w:w="1372"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84分</w:t>
            </w:r>
          </w:p>
        </w:tc>
        <w:tc>
          <w:tcPr>
            <w:tcW w:w="251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评价等级</w:t>
            </w:r>
          </w:p>
        </w:tc>
        <w:tc>
          <w:tcPr>
            <w:tcW w:w="162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8" w:hRule="exact"/>
        </w:trPr>
        <w:tc>
          <w:tcPr>
            <w:tcW w:w="1089" w:type="dxa"/>
            <w:vMerge w:val="continue"/>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评价结论</w:t>
            </w:r>
          </w:p>
        </w:tc>
        <w:tc>
          <w:tcPr>
            <w:tcW w:w="5502" w:type="dxa"/>
            <w:gridSpan w:val="3"/>
            <w:noWrap w:val="0"/>
            <w:vAlign w:val="center"/>
          </w:tcPr>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both"/>
              <w:textAlignment w:val="auto"/>
              <w:outlineLvl w:val="9"/>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highlight w:val="none"/>
                <w:lang w:val="en-US" w:eastAsia="zh-CN"/>
              </w:rPr>
              <w:t>城中区总寨塬智能温室园区道路工程和排水工程项目</w:t>
            </w:r>
            <w:r>
              <w:rPr>
                <w:rFonts w:hint="eastAsia" w:ascii="宋体" w:hAnsi="宋体" w:eastAsia="宋体" w:cs="宋体"/>
                <w:color w:val="auto"/>
                <w:sz w:val="24"/>
                <w:szCs w:val="24"/>
                <w:highlight w:val="none"/>
                <w:lang w:val="en-US" w:eastAsia="zh-CN"/>
              </w:rPr>
              <w:t>立项依据充分、程序规范，项目相关制度健全，项目招投标、管理规范，项目工程计划建设内容按照预期目标已全部完成，资金使用效益显著。</w:t>
            </w:r>
            <w:r>
              <w:rPr>
                <w:rFonts w:hint="eastAsia" w:ascii="宋体" w:hAnsi="宋体" w:eastAsia="宋体" w:cs="宋体"/>
                <w:b w:val="0"/>
                <w:bCs w:val="0"/>
                <w:color w:val="auto"/>
                <w:sz w:val="24"/>
                <w:szCs w:val="24"/>
                <w:highlight w:val="none"/>
                <w:lang w:val="en-US" w:eastAsia="zh-CN"/>
              </w:rPr>
              <w:t>城中区总寨塬智能温室园区道路工程和排水工程项目实施后，改善了总寨塬温室园区道路出行条件，提高了园区道路运输能力，</w:t>
            </w:r>
            <w:r>
              <w:rPr>
                <w:rFonts w:hint="eastAsia" w:ascii="宋体" w:hAnsi="宋体" w:eastAsia="宋体" w:cs="宋体"/>
                <w:color w:val="auto"/>
                <w:sz w:val="24"/>
                <w:szCs w:val="24"/>
                <w:lang w:val="en-US" w:eastAsia="zh-CN"/>
              </w:rPr>
              <w:t>解决了园区排水问题，完善了园区配套设施建设，减少了园区因强降雨等天气对蔬菜生产的影响，提高了农民经济收入，保障了城区“菜篮子”供给，推动了绿色生态农业发展。但在项目实施过程中仍存在一些问题，</w:t>
            </w:r>
            <w:r>
              <w:rPr>
                <w:rFonts w:hint="eastAsia" w:ascii="宋体" w:hAnsi="宋体" w:eastAsia="宋体" w:cs="宋体"/>
                <w:b/>
                <w:bCs/>
                <w:color w:val="auto"/>
                <w:sz w:val="24"/>
                <w:szCs w:val="24"/>
                <w:lang w:val="en-US" w:eastAsia="zh-CN"/>
              </w:rPr>
              <w:t>一是</w:t>
            </w:r>
            <w:r>
              <w:rPr>
                <w:rFonts w:hint="eastAsia" w:ascii="宋体" w:hAnsi="宋体" w:eastAsia="宋体" w:cs="宋体"/>
                <w:color w:val="auto"/>
                <w:sz w:val="24"/>
                <w:szCs w:val="24"/>
                <w:lang w:val="en-US" w:eastAsia="zh-CN"/>
              </w:rPr>
              <w:t>项目工程款未按合同约定比例和进度支出，排水工程工程款资金支付方式不明确；</w:t>
            </w:r>
            <w:r>
              <w:rPr>
                <w:rFonts w:hint="eastAsia" w:ascii="宋体" w:hAnsi="宋体" w:eastAsia="宋体" w:cs="宋体"/>
                <w:b/>
                <w:bCs/>
                <w:color w:val="auto"/>
                <w:sz w:val="24"/>
                <w:szCs w:val="24"/>
                <w:lang w:val="en-US" w:eastAsia="zh-CN"/>
              </w:rPr>
              <w:t>二是</w:t>
            </w:r>
            <w:r>
              <w:rPr>
                <w:rFonts w:hint="eastAsia" w:ascii="宋体" w:hAnsi="宋体" w:eastAsia="宋体" w:cs="宋体"/>
                <w:color w:val="auto"/>
                <w:sz w:val="24"/>
                <w:szCs w:val="24"/>
                <w:lang w:val="en-US" w:eastAsia="zh-CN"/>
              </w:rPr>
              <w:t>项目管护交接不及时；</w:t>
            </w:r>
            <w:r>
              <w:rPr>
                <w:rFonts w:hint="eastAsia" w:ascii="宋体" w:hAnsi="宋体" w:eastAsia="宋体" w:cs="宋体"/>
                <w:b/>
                <w:bCs/>
                <w:color w:val="auto"/>
                <w:sz w:val="24"/>
                <w:szCs w:val="24"/>
                <w:lang w:val="en-US" w:eastAsia="zh-CN"/>
              </w:rPr>
              <w:t>三是</w:t>
            </w:r>
            <w:r>
              <w:rPr>
                <w:rFonts w:hint="eastAsia" w:ascii="宋体" w:hAnsi="宋体" w:eastAsia="宋体" w:cs="宋体"/>
                <w:b w:val="0"/>
                <w:bCs w:val="0"/>
                <w:color w:val="auto"/>
                <w:sz w:val="24"/>
                <w:szCs w:val="24"/>
                <w:lang w:val="en-US" w:eastAsia="zh-CN"/>
              </w:rPr>
              <w:t>财务管理和</w:t>
            </w:r>
            <w:r>
              <w:rPr>
                <w:rFonts w:hint="eastAsia" w:ascii="宋体" w:hAnsi="宋体" w:eastAsia="宋体" w:cs="宋体"/>
                <w:color w:val="auto"/>
                <w:sz w:val="24"/>
                <w:szCs w:val="24"/>
                <w:lang w:val="en-US" w:eastAsia="zh-CN"/>
              </w:rPr>
              <w:t>档案管理工作有待加强；</w:t>
            </w:r>
            <w:r>
              <w:rPr>
                <w:rFonts w:hint="eastAsia" w:ascii="宋体" w:hAnsi="宋体" w:eastAsia="宋体" w:cs="宋体"/>
                <w:b/>
                <w:bCs/>
                <w:color w:val="auto"/>
                <w:sz w:val="24"/>
                <w:szCs w:val="24"/>
                <w:lang w:val="en-US" w:eastAsia="zh-CN"/>
              </w:rPr>
              <w:t>四是</w:t>
            </w:r>
            <w:r>
              <w:rPr>
                <w:rFonts w:hint="eastAsia" w:ascii="宋体" w:hAnsi="宋体" w:eastAsia="宋体" w:cs="宋体"/>
                <w:color w:val="auto"/>
                <w:sz w:val="24"/>
                <w:szCs w:val="24"/>
                <w:lang w:val="en-US" w:eastAsia="zh-CN"/>
              </w:rPr>
              <w:t>绩效指标设置不够细化明确。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3" w:hRule="exact"/>
        </w:trPr>
        <w:tc>
          <w:tcPr>
            <w:tcW w:w="1089" w:type="dxa"/>
            <w:vMerge w:val="continue"/>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经验及做法</w:t>
            </w:r>
          </w:p>
        </w:tc>
        <w:tc>
          <w:tcPr>
            <w:tcW w:w="5502" w:type="dxa"/>
            <w:gridSpan w:val="3"/>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both"/>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w:t>
            </w:r>
            <w:r>
              <w:rPr>
                <w:rFonts w:hint="eastAsia" w:ascii="宋体" w:hAnsi="宋体" w:eastAsia="宋体" w:cs="宋体"/>
                <w:b w:val="0"/>
                <w:bCs w:val="0"/>
                <w:color w:val="auto"/>
                <w:sz w:val="24"/>
                <w:szCs w:val="24"/>
                <w:lang w:val="en-US" w:eastAsia="zh-CN"/>
              </w:rPr>
              <w:t>聘请第三方提供全过程质量检验服务</w:t>
            </w:r>
            <w:r>
              <w:rPr>
                <w:rFonts w:hint="eastAsia" w:ascii="宋体" w:hAnsi="宋体" w:eastAsia="宋体" w:cs="宋体"/>
                <w:b w:val="0"/>
                <w:bCs w:val="0"/>
                <w:color w:val="auto"/>
                <w:sz w:val="24"/>
                <w:szCs w:val="24"/>
                <w:highlight w:val="none"/>
                <w:lang w:val="en-US" w:eastAsia="zh-CN"/>
              </w:rPr>
              <w:t>(详见45页）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2" w:hRule="exact"/>
        </w:trPr>
        <w:tc>
          <w:tcPr>
            <w:tcW w:w="1089" w:type="dxa"/>
            <w:vMerge w:val="continue"/>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存在问题</w:t>
            </w:r>
          </w:p>
        </w:tc>
        <w:tc>
          <w:tcPr>
            <w:tcW w:w="5502" w:type="dxa"/>
            <w:gridSpan w:val="3"/>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both"/>
              <w:textAlignment w:val="auto"/>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w:t>
            </w:r>
            <w:r>
              <w:rPr>
                <w:rFonts w:hint="eastAsia" w:ascii="宋体" w:hAnsi="宋体" w:eastAsia="宋体" w:cs="宋体"/>
                <w:b w:val="0"/>
                <w:bCs w:val="0"/>
                <w:color w:val="auto"/>
                <w:sz w:val="24"/>
                <w:szCs w:val="24"/>
                <w:highlight w:val="none"/>
                <w:lang w:val="en-US" w:eastAsia="zh-CN"/>
              </w:rPr>
              <w:t>项目工程款未按合同约定比例和进度支出，</w:t>
            </w:r>
            <w:r>
              <w:rPr>
                <w:rFonts w:hint="eastAsia" w:ascii="宋体" w:hAnsi="宋体" w:eastAsia="宋体" w:cs="宋体"/>
                <w:b w:val="0"/>
                <w:bCs w:val="0"/>
                <w:color w:val="auto"/>
                <w:sz w:val="24"/>
                <w:szCs w:val="24"/>
                <w:lang w:val="en-US" w:eastAsia="zh-CN"/>
              </w:rPr>
              <w:t>排水工程</w:t>
            </w:r>
            <w:r>
              <w:rPr>
                <w:rFonts w:hint="eastAsia" w:ascii="宋体" w:hAnsi="宋体" w:eastAsia="宋体" w:cs="宋体"/>
                <w:b w:val="0"/>
                <w:bCs w:val="0"/>
                <w:color w:val="auto"/>
                <w:sz w:val="24"/>
                <w:szCs w:val="24"/>
                <w:highlight w:val="none"/>
                <w:lang w:val="en-US" w:eastAsia="zh-CN"/>
              </w:rPr>
              <w:t>工程款资金支付方式不明确(详见46页）</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both"/>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w:t>
            </w:r>
            <w:r>
              <w:rPr>
                <w:rFonts w:hint="eastAsia" w:ascii="宋体" w:hAnsi="宋体" w:eastAsia="宋体" w:cs="宋体"/>
                <w:b w:val="0"/>
                <w:bCs w:val="0"/>
                <w:color w:val="auto"/>
                <w:sz w:val="24"/>
                <w:szCs w:val="24"/>
                <w:highlight w:val="none"/>
                <w:lang w:val="en-US" w:eastAsia="zh-CN"/>
              </w:rPr>
              <w:t>项目移交管护不及时(详见46页）</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both"/>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w:t>
            </w:r>
            <w:r>
              <w:rPr>
                <w:rFonts w:hint="eastAsia" w:ascii="宋体" w:hAnsi="宋体" w:eastAsia="宋体" w:cs="宋体"/>
                <w:b w:val="0"/>
                <w:bCs w:val="0"/>
                <w:color w:val="auto"/>
                <w:sz w:val="24"/>
                <w:szCs w:val="24"/>
                <w:highlight w:val="none"/>
                <w:lang w:val="en-US" w:eastAsia="zh-CN"/>
              </w:rPr>
              <w:t>财务管理和档案管理工作有待加强(详见47页）</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both"/>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4.</w:t>
            </w:r>
            <w:r>
              <w:rPr>
                <w:rFonts w:hint="eastAsia" w:ascii="宋体" w:hAnsi="宋体" w:eastAsia="宋体" w:cs="宋体"/>
                <w:b w:val="0"/>
                <w:bCs w:val="0"/>
                <w:color w:val="auto"/>
                <w:sz w:val="24"/>
                <w:szCs w:val="24"/>
                <w:highlight w:val="none"/>
                <w:lang w:val="en-US" w:eastAsia="zh-CN"/>
              </w:rPr>
              <w:t>绩效指标设置不够细化明确(详见48页）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2" w:hRule="exact"/>
        </w:trPr>
        <w:tc>
          <w:tcPr>
            <w:tcW w:w="1089" w:type="dxa"/>
            <w:vMerge w:val="continue"/>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p>
        </w:tc>
        <w:tc>
          <w:tcPr>
            <w:tcW w:w="2140" w:type="dxa"/>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kern w:val="2"/>
                <w:sz w:val="24"/>
                <w:szCs w:val="24"/>
                <w:vertAlign w:val="baseline"/>
                <w:lang w:val="en-US" w:eastAsia="zh-CN" w:bidi="ar-SA"/>
              </w:rPr>
            </w:pPr>
            <w:r>
              <w:rPr>
                <w:rFonts w:hint="eastAsia" w:ascii="宋体" w:hAnsi="宋体" w:eastAsia="宋体" w:cs="宋体"/>
                <w:b/>
                <w:bCs/>
                <w:color w:val="auto"/>
                <w:sz w:val="24"/>
                <w:szCs w:val="24"/>
                <w:vertAlign w:val="baseline"/>
                <w:lang w:val="en-US" w:eastAsia="zh-CN"/>
              </w:rPr>
              <w:t>相关建议</w:t>
            </w:r>
          </w:p>
        </w:tc>
        <w:tc>
          <w:tcPr>
            <w:tcW w:w="5502" w:type="dxa"/>
            <w:gridSpan w:val="3"/>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both"/>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highlight w:val="none"/>
                <w:lang w:val="en-US" w:eastAsia="zh-CN"/>
              </w:rPr>
              <w:t>1.明确工程款支付方式，严格执行合同约定的资金支付进度(详见48页）</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vertAlign w:val="baseline"/>
                <w:lang w:val="en-US" w:eastAsia="zh-CN"/>
              </w:rPr>
              <w:t>2.</w:t>
            </w:r>
            <w:r>
              <w:rPr>
                <w:rFonts w:hint="eastAsia" w:ascii="宋体" w:hAnsi="宋体" w:eastAsia="宋体" w:cs="宋体"/>
                <w:b w:val="0"/>
                <w:bCs w:val="0"/>
                <w:color w:val="auto"/>
                <w:sz w:val="24"/>
                <w:szCs w:val="24"/>
                <w:highlight w:val="none"/>
                <w:lang w:val="en-US" w:eastAsia="zh-CN"/>
              </w:rPr>
              <w:t>及时交接，明确管护主体责任(详见49页）</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both"/>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3.</w:t>
            </w:r>
            <w:r>
              <w:rPr>
                <w:rFonts w:hint="eastAsia" w:ascii="宋体" w:hAnsi="宋体" w:eastAsia="宋体" w:cs="宋体"/>
                <w:b w:val="0"/>
                <w:bCs w:val="0"/>
                <w:color w:val="auto"/>
                <w:sz w:val="24"/>
                <w:szCs w:val="24"/>
                <w:highlight w:val="none"/>
                <w:lang w:val="en-US" w:eastAsia="zh-CN"/>
              </w:rPr>
              <w:t>提升财务管理水平，加强档案管理规范性(详见49页）</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sz w:val="24"/>
                <w:szCs w:val="24"/>
                <w:highlight w:val="none"/>
                <w:vertAlign w:val="baseline"/>
                <w:lang w:val="en-US" w:eastAsia="zh-CN"/>
              </w:rPr>
              <w:t>4.</w:t>
            </w:r>
            <w:r>
              <w:rPr>
                <w:rFonts w:hint="eastAsia" w:ascii="宋体" w:hAnsi="宋体" w:eastAsia="宋体" w:cs="宋体"/>
                <w:b w:val="0"/>
                <w:bCs w:val="0"/>
                <w:color w:val="auto"/>
                <w:sz w:val="24"/>
                <w:szCs w:val="24"/>
                <w:highlight w:val="none"/>
                <w:lang w:val="en-US" w:eastAsia="zh-CN"/>
              </w:rPr>
              <w:t>加强预算绩效管理(详见49页）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1" w:hRule="exact"/>
        </w:trPr>
        <w:tc>
          <w:tcPr>
            <w:tcW w:w="8731" w:type="dxa"/>
            <w:gridSpan w:val="5"/>
            <w:noWrap w:val="0"/>
            <w:vAlign w:val="center"/>
          </w:tcPr>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left"/>
              <w:textAlignment w:val="auto"/>
              <w:rPr>
                <w:rFonts w:hint="eastAsia" w:ascii="宋体" w:hAnsi="宋体" w:eastAsia="宋体" w:cs="宋体"/>
                <w:b w:val="0"/>
                <w:bCs w:val="0"/>
                <w:color w:val="auto"/>
                <w:sz w:val="24"/>
                <w:szCs w:val="24"/>
                <w:vertAlign w:val="baseline"/>
                <w:lang w:val="en-US" w:eastAsia="zh-CN"/>
              </w:rPr>
            </w:pP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left"/>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vertAlign w:val="baseline"/>
                <w:lang w:val="en-US" w:eastAsia="zh-CN"/>
              </w:rPr>
              <w:t>评价机构（盖章）：</w:t>
            </w:r>
            <w:r>
              <w:rPr>
                <w:rFonts w:hint="eastAsia" w:ascii="宋体" w:hAnsi="宋体" w:eastAsia="宋体" w:cs="宋体"/>
                <w:b w:val="0"/>
                <w:bCs w:val="0"/>
                <w:color w:val="auto"/>
                <w:sz w:val="24"/>
                <w:szCs w:val="24"/>
                <w:highlight w:val="none"/>
              </w:rPr>
              <w:t>甘肃政泽绩效管理咨询服务有限公司</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left"/>
              <w:textAlignment w:val="auto"/>
              <w:rPr>
                <w:rFonts w:hint="eastAsia" w:ascii="宋体" w:hAnsi="宋体" w:eastAsia="宋体" w:cs="宋体"/>
                <w:b/>
                <w:bCs/>
                <w:color w:val="auto"/>
                <w:sz w:val="24"/>
                <w:szCs w:val="24"/>
                <w:highlight w:val="none"/>
                <w:vertAlign w:val="baseline"/>
                <w:lang w:val="en-US" w:eastAsia="zh-CN"/>
              </w:rPr>
            </w:pP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left"/>
              <w:textAlignment w:val="auto"/>
              <w:rPr>
                <w:rFonts w:hint="eastAsia" w:ascii="宋体" w:hAnsi="宋体" w:eastAsia="宋体" w:cs="宋体"/>
                <w:b/>
                <w:bCs/>
                <w:color w:val="auto"/>
                <w:sz w:val="24"/>
                <w:szCs w:val="24"/>
                <w:highlight w:val="none"/>
                <w:vertAlign w:val="baseline"/>
                <w:lang w:val="en-US" w:eastAsia="zh-CN"/>
              </w:rPr>
            </w:pP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left"/>
              <w:textAlignment w:val="auto"/>
              <w:rPr>
                <w:rFonts w:hint="eastAsia" w:ascii="宋体" w:hAnsi="宋体" w:eastAsia="宋体" w:cs="宋体"/>
                <w:b/>
                <w:bCs/>
                <w:color w:val="auto"/>
                <w:sz w:val="24"/>
                <w:szCs w:val="24"/>
                <w:highlight w:val="none"/>
                <w:vertAlign w:val="baseline"/>
                <w:lang w:val="en-US" w:eastAsia="zh-CN"/>
              </w:rPr>
            </w:pPr>
          </w:p>
          <w:p>
            <w:pPr>
              <w:pStyle w:val="2"/>
              <w:rPr>
                <w:rFonts w:hint="eastAsia"/>
                <w:lang w:val="en-US" w:eastAsia="zh-CN"/>
              </w:rPr>
            </w:pP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left"/>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主 评 人（签字）：</w:t>
            </w:r>
            <w:r>
              <w:rPr>
                <w:rFonts w:hint="eastAsia" w:ascii="宋体" w:hAnsi="宋体" w:eastAsia="宋体" w:cs="宋体"/>
                <w:b w:val="0"/>
                <w:bCs w:val="0"/>
                <w:color w:val="auto"/>
                <w:sz w:val="24"/>
                <w:szCs w:val="24"/>
                <w:highlight w:val="none"/>
                <w:lang w:val="en-US" w:eastAsia="zh-CN"/>
              </w:rPr>
              <w:t>王守成</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left"/>
              <w:textAlignment w:val="auto"/>
              <w:rPr>
                <w:rFonts w:hint="eastAsia" w:ascii="宋体" w:hAnsi="宋体" w:eastAsia="宋体" w:cs="宋体"/>
                <w:b/>
                <w:bCs/>
                <w:color w:val="auto"/>
                <w:sz w:val="24"/>
                <w:szCs w:val="24"/>
                <w:highlight w:val="none"/>
                <w:vertAlign w:val="baseline"/>
                <w:lang w:val="en-US" w:eastAsia="zh-CN"/>
              </w:rPr>
            </w:pP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2409" w:firstLineChars="100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highlight w:val="none"/>
                <w:vertAlign w:val="baseline"/>
                <w:lang w:val="en-US" w:eastAsia="zh-CN"/>
              </w:rPr>
              <w:t>评</w:t>
            </w:r>
            <w:r>
              <w:rPr>
                <w:rFonts w:hint="eastAsia" w:ascii="宋体" w:hAnsi="宋体" w:eastAsia="宋体" w:cs="宋体"/>
                <w:b/>
                <w:bCs/>
                <w:color w:val="auto"/>
                <w:sz w:val="24"/>
                <w:szCs w:val="24"/>
                <w:vertAlign w:val="baseline"/>
                <w:lang w:val="en-US" w:eastAsia="zh-CN"/>
              </w:rPr>
              <w:t>价日期：2021年11月30日</w:t>
            </w:r>
          </w:p>
          <w:p>
            <w:pPr>
              <w:pageBreakBefore w:val="0"/>
              <w:widowControl w:val="0"/>
              <w:numPr>
                <w:ilvl w:val="0"/>
                <w:numId w:val="0"/>
              </w:numPr>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val="0"/>
                <w:bCs w:val="0"/>
                <w:color w:val="auto"/>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b/>
          <w:bCs/>
          <w:color w:val="auto"/>
          <w:sz w:val="36"/>
          <w:szCs w:val="36"/>
          <w:lang w:val="en-US" w:eastAsia="zh-CN"/>
        </w:rPr>
        <w:sectPr>
          <w:headerReference r:id="rId42" w:type="default"/>
          <w:footerReference r:id="rId44" w:type="default"/>
          <w:headerReference r:id="rId43" w:type="even"/>
          <w:footerReference r:id="rId45" w:type="even"/>
          <w:pgSz w:w="11905" w:h="16838"/>
          <w:pgMar w:top="2098" w:right="1474" w:bottom="1984" w:left="1587" w:header="851" w:footer="720" w:gutter="0"/>
          <w:pgNumType w:fmt="numberInDash"/>
          <w:cols w:space="0" w:num="1"/>
          <w:rtlGutter w:val="0"/>
          <w:docGrid w:type="lines" w:linePitch="436" w:charSpace="0"/>
        </w:sectPr>
      </w:pPr>
    </w:p>
    <w:sdt>
      <w:sdtPr>
        <w:rPr>
          <w:rFonts w:ascii="宋体" w:hAnsi="宋体" w:eastAsia="宋体" w:cs="Times New Roman"/>
          <w:color w:val="auto"/>
          <w:kern w:val="2"/>
          <w:sz w:val="21"/>
          <w:szCs w:val="24"/>
          <w:lang w:val="en-US" w:eastAsia="zh-CN" w:bidi="ar-SA"/>
        </w:rPr>
        <w:id w:val="147464234"/>
        <w15:color w:val="DBDBDB"/>
        <w:docPartObj>
          <w:docPartGallery w:val="Table of Contents"/>
          <w:docPartUnique/>
        </w:docPartObj>
      </w:sdtPr>
      <w:sdtEndPr>
        <w:rPr>
          <w:rFonts w:hint="eastAsia" w:ascii="方正小标宋简体" w:hAnsi="华文中宋" w:eastAsia="方正小标宋简体" w:cs="华文中宋"/>
          <w:b/>
          <w:color w:val="auto"/>
          <w:kern w:val="2"/>
          <w:sz w:val="32"/>
          <w:szCs w:val="44"/>
          <w:lang w:val="en-US" w:eastAsia="zh-CN" w:bidi="ar-SA"/>
        </w:rPr>
      </w:sdtEndPr>
      <w:sdtContent>
        <w:p>
          <w:pPr>
            <w:pageBreakBefore w:val="0"/>
            <w:overflowPunct/>
            <w:topLinePunct w:val="0"/>
            <w:bidi w:val="0"/>
            <w:spacing w:before="0" w:line="576" w:lineRule="exact"/>
            <w:ind w:left="0" w:leftChars="0" w:right="0" w:rightChars="0" w:firstLine="0" w:firstLineChars="0"/>
            <w:jc w:val="center"/>
            <w:rPr>
              <w:rFonts w:hint="eastAsia" w:ascii="黑体" w:hAnsi="黑体" w:eastAsia="黑体" w:cs="黑体"/>
              <w:color w:val="auto"/>
              <w:sz w:val="44"/>
              <w:szCs w:val="44"/>
            </w:rPr>
          </w:pPr>
          <w:bookmarkStart w:id="595" w:name="_Toc9331"/>
          <w:bookmarkStart w:id="596" w:name="_Toc27288"/>
          <w:r>
            <w:rPr>
              <w:rFonts w:hint="eastAsia" w:ascii="黑体" w:hAnsi="黑体" w:eastAsia="黑体" w:cs="黑体"/>
              <w:color w:val="auto"/>
              <w:sz w:val="44"/>
              <w:szCs w:val="44"/>
            </w:rPr>
            <w:t>目</w:t>
          </w:r>
          <w:r>
            <w:rPr>
              <w:rFonts w:hint="eastAsia" w:ascii="黑体" w:hAnsi="黑体" w:eastAsia="黑体" w:cs="黑体"/>
              <w:color w:val="auto"/>
              <w:sz w:val="44"/>
              <w:szCs w:val="44"/>
              <w:lang w:val="en-US" w:eastAsia="zh-CN"/>
            </w:rPr>
            <w:t xml:space="preserve">  </w:t>
          </w:r>
          <w:r>
            <w:rPr>
              <w:rFonts w:hint="eastAsia" w:ascii="黑体" w:hAnsi="黑体" w:eastAsia="黑体" w:cs="黑体"/>
              <w:color w:val="auto"/>
              <w:sz w:val="44"/>
              <w:szCs w:val="44"/>
            </w:rPr>
            <w:t>录</w:t>
          </w:r>
        </w:p>
        <w:p>
          <w:pPr>
            <w:pageBreakBefore w:val="0"/>
            <w:tabs>
              <w:tab w:val="right" w:leader="dot" w:pos="8299"/>
            </w:tabs>
            <w:overflowPunct/>
            <w:topLinePunct w:val="0"/>
            <w:bidi w:val="0"/>
            <w:spacing w:line="576" w:lineRule="exact"/>
            <w:ind w:left="0" w:leftChars="0"/>
            <w:rPr>
              <w:rFonts w:ascii="Times New Roman" w:hAnsi="Times New Roman" w:eastAsia="宋体" w:cs="Times New Roman"/>
              <w:b/>
              <w:color w:val="auto"/>
              <w:lang w:val="en-US" w:eastAsia="zh-CN" w:bidi="ar-SA"/>
            </w:rPr>
          </w:pPr>
          <w:r>
            <w:rPr>
              <w:rFonts w:hint="eastAsia" w:ascii="方正小标宋简体" w:hAnsi="华文中宋" w:eastAsia="方正小标宋简体" w:cs="华文中宋"/>
              <w:b/>
              <w:color w:val="auto"/>
              <w:sz w:val="44"/>
              <w:szCs w:val="44"/>
              <w:lang w:val="en-US" w:eastAsia="zh-CN" w:bidi="ar-SA"/>
            </w:rPr>
            <w:fldChar w:fldCharType="begin"/>
          </w:r>
          <w:r>
            <w:rPr>
              <w:rFonts w:hint="eastAsia" w:ascii="方正小标宋简体" w:hAnsi="华文中宋" w:eastAsia="方正小标宋简体" w:cs="华文中宋"/>
              <w:b/>
              <w:color w:val="auto"/>
              <w:sz w:val="44"/>
              <w:szCs w:val="44"/>
              <w:lang w:val="en-US" w:eastAsia="zh-CN" w:bidi="ar-SA"/>
            </w:rPr>
            <w:instrText xml:space="preserve">TOC \o "1-2" \h \u </w:instrText>
          </w:r>
          <w:r>
            <w:rPr>
              <w:rFonts w:hint="eastAsia" w:ascii="方正小标宋简体" w:hAnsi="华文中宋" w:eastAsia="方正小标宋简体" w:cs="华文中宋"/>
              <w:b/>
              <w:color w:val="auto"/>
              <w:sz w:val="44"/>
              <w:szCs w:val="44"/>
              <w:lang w:val="en-US" w:eastAsia="zh-CN" w:bidi="ar-SA"/>
            </w:rPr>
            <w:fldChar w:fldCharType="separate"/>
          </w:r>
        </w:p>
        <w:p>
          <w:pPr>
            <w:pageBreakBefore w:val="0"/>
            <w:tabs>
              <w:tab w:val="right" w:leader="dot" w:pos="8299"/>
            </w:tabs>
            <w:overflowPunct/>
            <w:topLinePunct w:val="0"/>
            <w:bidi w:val="0"/>
            <w:spacing w:line="576" w:lineRule="exact"/>
            <w:ind w:left="0" w:leftChars="0"/>
            <w:rPr>
              <w:rFonts w:hint="eastAsia" w:ascii="黑体" w:hAnsi="黑体" w:eastAsia="黑体" w:cs="黑体"/>
              <w:b/>
              <w:color w:val="auto"/>
              <w:sz w:val="28"/>
              <w:szCs w:val="28"/>
              <w:lang w:val="en-US" w:eastAsia="zh-CN" w:bidi="ar-SA"/>
            </w:rPr>
          </w:pP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HYPERLINK \l _Toc29757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bCs/>
              <w:color w:val="auto"/>
              <w:sz w:val="28"/>
              <w:szCs w:val="28"/>
              <w:lang w:val="en-US" w:eastAsia="zh-CN" w:bidi="ar-SA"/>
            </w:rPr>
            <w:t>一、</w:t>
          </w:r>
          <w:r>
            <w:rPr>
              <w:rFonts w:hint="eastAsia" w:ascii="黑体" w:hAnsi="黑体" w:eastAsia="黑体" w:cs="黑体"/>
              <w:b/>
              <w:bCs/>
              <w:color w:val="auto"/>
              <w:sz w:val="28"/>
              <w:szCs w:val="28"/>
              <w:lang w:val="zh-CN" w:eastAsia="zh-CN" w:bidi="ar-SA"/>
            </w:rPr>
            <w:t>项目基本情况</w:t>
          </w:r>
          <w:r>
            <w:rPr>
              <w:rFonts w:hint="eastAsia" w:ascii="黑体" w:hAnsi="黑体" w:eastAsia="黑体" w:cs="黑体"/>
              <w:b/>
              <w:color w:val="auto"/>
              <w:sz w:val="28"/>
              <w:szCs w:val="28"/>
              <w:lang w:val="en-US" w:eastAsia="zh-CN" w:bidi="ar-SA"/>
            </w:rPr>
            <w:tab/>
          </w: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PAGEREF _Toc29757 \h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color w:val="auto"/>
              <w:sz w:val="28"/>
              <w:szCs w:val="28"/>
              <w:lang w:val="en-US" w:eastAsia="zh-CN" w:bidi="ar-SA"/>
            </w:rPr>
            <w:t>157</w:t>
          </w:r>
          <w:r>
            <w:rPr>
              <w:rFonts w:hint="eastAsia" w:ascii="黑体" w:hAnsi="黑体" w:eastAsia="黑体" w:cs="黑体"/>
              <w:b/>
              <w:color w:val="auto"/>
              <w:sz w:val="28"/>
              <w:szCs w:val="28"/>
              <w:lang w:val="en-US" w:eastAsia="zh-CN" w:bidi="ar-SA"/>
            </w:rPr>
            <w:fldChar w:fldCharType="end"/>
          </w:r>
          <w:r>
            <w:rPr>
              <w:rFonts w:hint="eastAsia" w:ascii="黑体" w:hAnsi="黑体" w:eastAsia="黑体" w:cs="黑体"/>
              <w:b/>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_Toc28619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（一）项目立项背景</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_Toc28619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157</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_Toc25762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（二）项目预算安排及使用情况</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_Toc25762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158</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_Toc20423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（三）项目计划内容及实施情况</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_Toc20423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159</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b/>
              <w:color w:val="auto"/>
              <w:sz w:val="28"/>
              <w:szCs w:val="28"/>
              <w:lang w:val="en-US" w:eastAsia="zh-CN" w:bidi="ar-SA"/>
            </w:rPr>
          </w:pP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HYPERLINK \l _Toc28877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bCs/>
              <w:color w:val="auto"/>
              <w:sz w:val="28"/>
              <w:szCs w:val="28"/>
              <w:lang w:val="zh-CN" w:eastAsia="zh-CN" w:bidi="ar-SA"/>
            </w:rPr>
            <w:t>二、项目绩效目标</w:t>
          </w:r>
          <w:r>
            <w:rPr>
              <w:rFonts w:hint="eastAsia" w:ascii="黑体" w:hAnsi="黑体" w:eastAsia="黑体" w:cs="黑体"/>
              <w:b/>
              <w:color w:val="auto"/>
              <w:sz w:val="28"/>
              <w:szCs w:val="28"/>
              <w:lang w:val="en-US" w:eastAsia="zh-CN" w:bidi="ar-SA"/>
            </w:rPr>
            <w:tab/>
          </w: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PAGEREF _Toc28877 \h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color w:val="auto"/>
              <w:sz w:val="28"/>
              <w:szCs w:val="28"/>
              <w:lang w:val="en-US" w:eastAsia="zh-CN" w:bidi="ar-SA"/>
            </w:rPr>
            <w:t>159</w:t>
          </w:r>
          <w:r>
            <w:rPr>
              <w:rFonts w:hint="eastAsia" w:ascii="黑体" w:hAnsi="黑体" w:eastAsia="黑体" w:cs="黑体"/>
              <w:b/>
              <w:color w:val="auto"/>
              <w:sz w:val="28"/>
              <w:szCs w:val="28"/>
              <w:lang w:val="en-US" w:eastAsia="zh-CN" w:bidi="ar-SA"/>
            </w:rPr>
            <w:fldChar w:fldCharType="end"/>
          </w:r>
          <w:r>
            <w:rPr>
              <w:rFonts w:hint="eastAsia" w:ascii="黑体" w:hAnsi="黑体" w:eastAsia="黑体" w:cs="黑体"/>
              <w:b/>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b/>
              <w:color w:val="auto"/>
              <w:sz w:val="28"/>
              <w:szCs w:val="28"/>
              <w:lang w:val="en-US" w:eastAsia="zh-CN" w:bidi="ar-SA"/>
            </w:rPr>
          </w:pP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HYPERLINK \l _Toc26637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bCs/>
              <w:color w:val="auto"/>
              <w:sz w:val="28"/>
              <w:szCs w:val="28"/>
              <w:lang w:val="zh-CN" w:eastAsia="zh-CN" w:bidi="ar-SA"/>
            </w:rPr>
            <w:t>三、评价基本情况</w:t>
          </w:r>
          <w:r>
            <w:rPr>
              <w:rFonts w:hint="eastAsia" w:ascii="黑体" w:hAnsi="黑体" w:eastAsia="黑体" w:cs="黑体"/>
              <w:b/>
              <w:color w:val="auto"/>
              <w:sz w:val="28"/>
              <w:szCs w:val="28"/>
              <w:lang w:val="en-US" w:eastAsia="zh-CN" w:bidi="ar-SA"/>
            </w:rPr>
            <w:tab/>
          </w: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PAGEREF _Toc26637 \h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color w:val="auto"/>
              <w:sz w:val="28"/>
              <w:szCs w:val="28"/>
              <w:lang w:val="en-US" w:eastAsia="zh-CN" w:bidi="ar-SA"/>
            </w:rPr>
            <w:t>160</w:t>
          </w:r>
          <w:r>
            <w:rPr>
              <w:rFonts w:hint="eastAsia" w:ascii="黑体" w:hAnsi="黑体" w:eastAsia="黑体" w:cs="黑体"/>
              <w:b/>
              <w:color w:val="auto"/>
              <w:sz w:val="28"/>
              <w:szCs w:val="28"/>
              <w:lang w:val="en-US" w:eastAsia="zh-CN" w:bidi="ar-SA"/>
            </w:rPr>
            <w:fldChar w:fldCharType="end"/>
          </w:r>
          <w:r>
            <w:rPr>
              <w:rFonts w:hint="eastAsia" w:ascii="黑体" w:hAnsi="黑体" w:eastAsia="黑体" w:cs="黑体"/>
              <w:b/>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_Toc11847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（一）绩效评价目的</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_Toc11847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160</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_Toc26329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en-US" w:eastAsia="zh-CN" w:bidi="ar-SA"/>
            </w:rPr>
            <w:t>（二）绩效评价对象和范围</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_Toc26329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160</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_Toc11727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en-US" w:eastAsia="zh-CN" w:bidi="ar-SA"/>
            </w:rPr>
            <w:t>（三）绩效评价依据</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_Toc11727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161</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_Toc3997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（四）评价原则、评价方法</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_Toc3997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162</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_Toc27664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w:t>
          </w:r>
          <w:r>
            <w:rPr>
              <w:rFonts w:hint="eastAsia" w:ascii="黑体" w:hAnsi="黑体" w:eastAsia="黑体" w:cs="黑体"/>
              <w:bCs/>
              <w:color w:val="auto"/>
              <w:sz w:val="28"/>
              <w:szCs w:val="28"/>
              <w:highlight w:val="none"/>
              <w:lang w:val="zh-CN" w:eastAsia="zh-CN" w:bidi="ar-SA"/>
            </w:rPr>
            <w:t>五）绩效评价指标体系</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_Toc27664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163</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_Toc8015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（六）评价人员组成</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_Toc8015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165</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_Toc319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（七）绩效评价工作过程</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t>1</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t>0</w:t>
          </w:r>
        </w:p>
        <w:p>
          <w:pPr>
            <w:pageBreakBefore w:val="0"/>
            <w:tabs>
              <w:tab w:val="right" w:leader="dot" w:pos="8299"/>
            </w:tabs>
            <w:overflowPunct/>
            <w:topLinePunct w:val="0"/>
            <w:bidi w:val="0"/>
            <w:spacing w:line="576" w:lineRule="exact"/>
            <w:ind w:left="0" w:leftChars="0"/>
            <w:rPr>
              <w:rFonts w:hint="eastAsia" w:ascii="黑体" w:hAnsi="黑体" w:eastAsia="黑体" w:cs="黑体"/>
              <w:b/>
              <w:color w:val="auto"/>
              <w:sz w:val="28"/>
              <w:szCs w:val="28"/>
              <w:lang w:val="en-US" w:eastAsia="zh-CN" w:bidi="ar-SA"/>
            </w:rPr>
          </w:pP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HYPERLINK \l _Toc10267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bCs/>
              <w:color w:val="auto"/>
              <w:sz w:val="28"/>
              <w:szCs w:val="28"/>
              <w:lang w:val="zh-CN" w:eastAsia="zh-CN" w:bidi="ar-SA"/>
            </w:rPr>
            <w:t>四、评价结论及分析</w:t>
          </w:r>
          <w:r>
            <w:rPr>
              <w:rFonts w:hint="eastAsia" w:ascii="黑体" w:hAnsi="黑体" w:eastAsia="黑体" w:cs="黑体"/>
              <w:b/>
              <w:color w:val="auto"/>
              <w:sz w:val="28"/>
              <w:szCs w:val="28"/>
              <w:lang w:val="en-US" w:eastAsia="zh-CN" w:bidi="ar-SA"/>
            </w:rPr>
            <w:tab/>
          </w:r>
          <w:r>
            <w:rPr>
              <w:rFonts w:hint="eastAsia" w:ascii="黑体" w:hAnsi="黑体" w:eastAsia="黑体" w:cs="黑体"/>
              <w:b/>
              <w:color w:val="auto"/>
              <w:sz w:val="28"/>
              <w:szCs w:val="28"/>
              <w:lang w:val="en-US" w:eastAsia="zh-CN" w:bidi="ar-SA"/>
            </w:rPr>
            <w:t>1</w:t>
          </w:r>
          <w:r>
            <w:rPr>
              <w:rFonts w:hint="eastAsia" w:ascii="黑体" w:hAnsi="黑体" w:eastAsia="黑体" w:cs="黑体"/>
              <w:b/>
              <w:color w:val="auto"/>
              <w:sz w:val="28"/>
              <w:szCs w:val="28"/>
              <w:lang w:val="en-US" w:eastAsia="zh-CN" w:bidi="ar-SA"/>
            </w:rPr>
            <w:fldChar w:fldCharType="end"/>
          </w:r>
          <w:r>
            <w:rPr>
              <w:rFonts w:hint="eastAsia" w:ascii="黑体" w:hAnsi="黑体" w:eastAsia="黑体" w:cs="黑体"/>
              <w:b/>
              <w:color w:val="auto"/>
              <w:sz w:val="28"/>
              <w:szCs w:val="28"/>
              <w:lang w:val="en-US" w:eastAsia="zh-CN" w:bidi="ar-SA"/>
            </w:rPr>
            <w:t>3</w:t>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_Toc20084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（一）评价打分</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_Toc20084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168</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_Toc18382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w:t>
          </w:r>
          <w:r>
            <w:rPr>
              <w:rFonts w:hint="eastAsia" w:ascii="黑体" w:hAnsi="黑体" w:eastAsia="黑体" w:cs="黑体"/>
              <w:bCs/>
              <w:color w:val="auto"/>
              <w:sz w:val="28"/>
              <w:szCs w:val="28"/>
              <w:lang w:val="en-US" w:eastAsia="zh-CN" w:bidi="ar-SA"/>
            </w:rPr>
            <w:t>二</w:t>
          </w:r>
          <w:r>
            <w:rPr>
              <w:rFonts w:hint="eastAsia" w:ascii="黑体" w:hAnsi="黑体" w:eastAsia="黑体" w:cs="黑体"/>
              <w:bCs/>
              <w:color w:val="auto"/>
              <w:sz w:val="28"/>
              <w:szCs w:val="28"/>
              <w:lang w:val="zh-CN" w:eastAsia="zh-CN" w:bidi="ar-SA"/>
            </w:rPr>
            <w:t>）评价结论</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_Toc18382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170</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b/>
              <w:color w:val="auto"/>
              <w:sz w:val="28"/>
              <w:szCs w:val="28"/>
              <w:lang w:val="en-US" w:eastAsia="zh-CN" w:bidi="ar-SA"/>
            </w:rPr>
          </w:pP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HYPERLINK \l _Toc7931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bCs/>
              <w:color w:val="auto"/>
              <w:sz w:val="28"/>
              <w:szCs w:val="28"/>
              <w:lang w:val="zh-CN" w:eastAsia="zh-CN" w:bidi="ar-SA"/>
            </w:rPr>
            <w:t>五、绩效评价指标分析</w:t>
          </w:r>
          <w:r>
            <w:rPr>
              <w:rFonts w:hint="eastAsia" w:ascii="黑体" w:hAnsi="黑体" w:eastAsia="黑体" w:cs="黑体"/>
              <w:b/>
              <w:color w:val="auto"/>
              <w:sz w:val="28"/>
              <w:szCs w:val="28"/>
              <w:lang w:val="en-US" w:eastAsia="zh-CN" w:bidi="ar-SA"/>
            </w:rPr>
            <w:tab/>
          </w: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PAGEREF _Toc7931 \h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color w:val="auto"/>
              <w:sz w:val="28"/>
              <w:szCs w:val="28"/>
              <w:lang w:val="en-US" w:eastAsia="zh-CN" w:bidi="ar-SA"/>
            </w:rPr>
            <w:t>171</w:t>
          </w:r>
          <w:r>
            <w:rPr>
              <w:rFonts w:hint="eastAsia" w:ascii="黑体" w:hAnsi="黑体" w:eastAsia="黑体" w:cs="黑体"/>
              <w:b/>
              <w:color w:val="auto"/>
              <w:sz w:val="28"/>
              <w:szCs w:val="28"/>
              <w:lang w:val="en-US" w:eastAsia="zh-CN" w:bidi="ar-SA"/>
            </w:rPr>
            <w:fldChar w:fldCharType="end"/>
          </w:r>
          <w:r>
            <w:rPr>
              <w:rFonts w:hint="eastAsia" w:ascii="黑体" w:hAnsi="黑体" w:eastAsia="黑体" w:cs="黑体"/>
              <w:b/>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_Toc30327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（一）项目决策情况</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_Toc30327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171</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_Toc12700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（二）项目过程情况</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_Toc12700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176</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_Toc3669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（三）项目产出情况</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_Toc3669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187</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_Toc23530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bCs/>
              <w:color w:val="auto"/>
              <w:sz w:val="28"/>
              <w:szCs w:val="28"/>
              <w:lang w:val="zh-CN" w:eastAsia="zh-CN" w:bidi="ar-SA"/>
            </w:rPr>
            <w:t>（四）项目效益情况</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_Toc23530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192</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HYPERLINK \l _Toc27474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bCs/>
              <w:color w:val="auto"/>
              <w:sz w:val="28"/>
              <w:szCs w:val="28"/>
              <w:lang w:val="zh-CN" w:eastAsia="zh-CN" w:bidi="ar-SA"/>
            </w:rPr>
            <w:t>六、项目主要经验及做法</w:t>
          </w:r>
          <w:r>
            <w:rPr>
              <w:rFonts w:hint="eastAsia" w:ascii="黑体" w:hAnsi="黑体" w:eastAsia="黑体" w:cs="黑体"/>
              <w:b/>
              <w:color w:val="auto"/>
              <w:sz w:val="28"/>
              <w:szCs w:val="28"/>
              <w:lang w:val="en-US" w:eastAsia="zh-CN" w:bidi="ar-SA"/>
            </w:rPr>
            <w:tab/>
          </w: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PAGEREF _Toc27474 \h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color w:val="auto"/>
              <w:sz w:val="28"/>
              <w:szCs w:val="28"/>
              <w:lang w:val="en-US" w:eastAsia="zh-CN" w:bidi="ar-SA"/>
            </w:rPr>
            <w:t>201</w:t>
          </w:r>
          <w:r>
            <w:rPr>
              <w:rFonts w:hint="eastAsia" w:ascii="黑体" w:hAnsi="黑体" w:eastAsia="黑体" w:cs="黑体"/>
              <w:b/>
              <w:color w:val="auto"/>
              <w:sz w:val="28"/>
              <w:szCs w:val="28"/>
              <w:lang w:val="en-US" w:eastAsia="zh-CN" w:bidi="ar-SA"/>
            </w:rPr>
            <w:fldChar w:fldCharType="end"/>
          </w:r>
          <w:r>
            <w:rPr>
              <w:rFonts w:hint="eastAsia" w:ascii="黑体" w:hAnsi="黑体" w:eastAsia="黑体" w:cs="黑体"/>
              <w:b/>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b/>
              <w:color w:val="auto"/>
              <w:sz w:val="28"/>
              <w:szCs w:val="28"/>
              <w:lang w:val="en-US" w:eastAsia="zh-CN" w:bidi="ar-SA"/>
            </w:rPr>
          </w:pP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HYPERLINK \l _Toc12050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bCs/>
              <w:color w:val="auto"/>
              <w:sz w:val="28"/>
              <w:szCs w:val="28"/>
              <w:lang w:val="zh-CN" w:eastAsia="zh-CN" w:bidi="ar-SA"/>
            </w:rPr>
            <w:t>七、存在的问题及原因分析</w:t>
          </w:r>
          <w:r>
            <w:rPr>
              <w:rFonts w:hint="eastAsia" w:ascii="黑体" w:hAnsi="黑体" w:eastAsia="黑体" w:cs="黑体"/>
              <w:b/>
              <w:color w:val="auto"/>
              <w:sz w:val="28"/>
              <w:szCs w:val="28"/>
              <w:lang w:val="en-US" w:eastAsia="zh-CN" w:bidi="ar-SA"/>
            </w:rPr>
            <w:tab/>
          </w: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PAGEREF _Toc12050 \h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color w:val="auto"/>
              <w:sz w:val="28"/>
              <w:szCs w:val="28"/>
              <w:lang w:val="en-US" w:eastAsia="zh-CN" w:bidi="ar-SA"/>
            </w:rPr>
            <w:t>201</w:t>
          </w:r>
          <w:r>
            <w:rPr>
              <w:rFonts w:hint="eastAsia" w:ascii="黑体" w:hAnsi="黑体" w:eastAsia="黑体" w:cs="黑体"/>
              <w:b/>
              <w:color w:val="auto"/>
              <w:sz w:val="28"/>
              <w:szCs w:val="28"/>
              <w:lang w:val="en-US" w:eastAsia="zh-CN" w:bidi="ar-SA"/>
            </w:rPr>
            <w:fldChar w:fldCharType="end"/>
          </w:r>
          <w:r>
            <w:rPr>
              <w:rFonts w:hint="eastAsia" w:ascii="黑体" w:hAnsi="黑体" w:eastAsia="黑体" w:cs="黑体"/>
              <w:b/>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b/>
              <w:color w:val="auto"/>
              <w:sz w:val="28"/>
              <w:szCs w:val="28"/>
              <w:lang w:val="en-US" w:eastAsia="zh-CN" w:bidi="ar-SA"/>
            </w:rPr>
          </w:pP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HYPERLINK \l _Toc28732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bCs/>
              <w:color w:val="auto"/>
              <w:sz w:val="28"/>
              <w:szCs w:val="28"/>
              <w:lang w:val="zh-CN" w:eastAsia="zh-CN" w:bidi="ar-SA"/>
            </w:rPr>
            <w:t>八、有关建议</w:t>
          </w:r>
          <w:r>
            <w:rPr>
              <w:rFonts w:hint="eastAsia" w:ascii="黑体" w:hAnsi="黑体" w:eastAsia="黑体" w:cs="黑体"/>
              <w:b/>
              <w:color w:val="auto"/>
              <w:sz w:val="28"/>
              <w:szCs w:val="28"/>
              <w:lang w:val="en-US" w:eastAsia="zh-CN" w:bidi="ar-SA"/>
            </w:rPr>
            <w:tab/>
          </w:r>
          <w:r>
            <w:rPr>
              <w:rFonts w:hint="eastAsia" w:ascii="黑体" w:hAnsi="黑体" w:eastAsia="黑体" w:cs="黑体"/>
              <w:b/>
              <w:color w:val="auto"/>
              <w:sz w:val="28"/>
              <w:szCs w:val="28"/>
              <w:lang w:val="en-US" w:eastAsia="zh-CN" w:bidi="ar-SA"/>
            </w:rPr>
            <w:t>4</w:t>
          </w:r>
          <w:r>
            <w:rPr>
              <w:rFonts w:hint="eastAsia" w:ascii="黑体" w:hAnsi="黑体" w:eastAsia="黑体" w:cs="黑体"/>
              <w:b/>
              <w:color w:val="auto"/>
              <w:sz w:val="28"/>
              <w:szCs w:val="28"/>
              <w:lang w:val="en-US" w:eastAsia="zh-CN" w:bidi="ar-SA"/>
            </w:rPr>
            <w:fldChar w:fldCharType="end"/>
          </w:r>
          <w:r>
            <w:rPr>
              <w:rFonts w:hint="eastAsia" w:ascii="黑体" w:hAnsi="黑体" w:eastAsia="黑体" w:cs="黑体"/>
              <w:b/>
              <w:color w:val="auto"/>
              <w:sz w:val="28"/>
              <w:szCs w:val="28"/>
              <w:lang w:val="en-US" w:eastAsia="zh-CN" w:bidi="ar-SA"/>
            </w:rPr>
            <w:t>9</w:t>
          </w:r>
        </w:p>
        <w:p>
          <w:pPr>
            <w:pageBreakBefore w:val="0"/>
            <w:tabs>
              <w:tab w:val="right" w:leader="dot" w:pos="8299"/>
            </w:tabs>
            <w:overflowPunct/>
            <w:topLinePunct w:val="0"/>
            <w:bidi w:val="0"/>
            <w:spacing w:line="576" w:lineRule="exact"/>
            <w:ind w:left="0" w:leftChars="0"/>
            <w:rPr>
              <w:rFonts w:hint="eastAsia" w:ascii="黑体" w:hAnsi="黑体" w:eastAsia="黑体" w:cs="黑体"/>
              <w:b/>
              <w:color w:val="auto"/>
              <w:sz w:val="28"/>
              <w:szCs w:val="28"/>
              <w:lang w:val="en-US" w:eastAsia="zh-CN" w:bidi="ar-SA"/>
            </w:rPr>
          </w:pP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HYPERLINK \l _Toc19475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bCs/>
              <w:color w:val="auto"/>
              <w:sz w:val="28"/>
              <w:szCs w:val="28"/>
              <w:lang w:val="zh-CN" w:eastAsia="zh-CN" w:bidi="ar-SA"/>
            </w:rPr>
            <w:t>九、需要说明的问题</w:t>
          </w:r>
          <w:r>
            <w:rPr>
              <w:rFonts w:hint="eastAsia" w:ascii="黑体" w:hAnsi="黑体" w:eastAsia="黑体" w:cs="黑体"/>
              <w:b/>
              <w:color w:val="auto"/>
              <w:sz w:val="28"/>
              <w:szCs w:val="28"/>
              <w:lang w:val="en-US" w:eastAsia="zh-CN" w:bidi="ar-SA"/>
            </w:rPr>
            <w:tab/>
          </w: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PAGEREF _Toc19475 \h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color w:val="auto"/>
              <w:sz w:val="28"/>
              <w:szCs w:val="28"/>
              <w:lang w:val="en-US" w:eastAsia="zh-CN" w:bidi="ar-SA"/>
            </w:rPr>
            <w:t>206</w:t>
          </w:r>
          <w:r>
            <w:rPr>
              <w:rFonts w:hint="eastAsia" w:ascii="黑体" w:hAnsi="黑体" w:eastAsia="黑体" w:cs="黑体"/>
              <w:b/>
              <w:color w:val="auto"/>
              <w:sz w:val="28"/>
              <w:szCs w:val="28"/>
              <w:lang w:val="en-US" w:eastAsia="zh-CN" w:bidi="ar-SA"/>
            </w:rPr>
            <w:fldChar w:fldCharType="end"/>
          </w:r>
          <w:r>
            <w:rPr>
              <w:rFonts w:hint="eastAsia" w:ascii="黑体" w:hAnsi="黑体" w:eastAsia="黑体" w:cs="黑体"/>
              <w:b/>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b/>
              <w:color w:val="auto"/>
              <w:sz w:val="28"/>
              <w:szCs w:val="28"/>
              <w:lang w:val="en-US" w:eastAsia="zh-CN" w:bidi="ar-SA"/>
            </w:rPr>
          </w:pP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HYPERLINK \l _Toc9550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bCs/>
              <w:color w:val="auto"/>
              <w:sz w:val="28"/>
              <w:szCs w:val="28"/>
              <w:lang w:val="en-US" w:eastAsia="zh-CN" w:bidi="ar-SA"/>
            </w:rPr>
            <w:t>十、附件</w:t>
          </w:r>
          <w:r>
            <w:rPr>
              <w:rFonts w:hint="eastAsia" w:ascii="黑体" w:hAnsi="黑体" w:eastAsia="黑体" w:cs="黑体"/>
              <w:b/>
              <w:color w:val="auto"/>
              <w:sz w:val="28"/>
              <w:szCs w:val="28"/>
              <w:lang w:val="en-US" w:eastAsia="zh-CN" w:bidi="ar-SA"/>
            </w:rPr>
            <w:tab/>
          </w:r>
          <w:r>
            <w:rPr>
              <w:rFonts w:hint="eastAsia" w:ascii="黑体" w:hAnsi="黑体" w:eastAsia="黑体" w:cs="黑体"/>
              <w:b/>
              <w:color w:val="auto"/>
              <w:sz w:val="28"/>
              <w:szCs w:val="28"/>
              <w:lang w:val="en-US" w:eastAsia="zh-CN" w:bidi="ar-SA"/>
            </w:rPr>
            <w:fldChar w:fldCharType="begin"/>
          </w:r>
          <w:r>
            <w:rPr>
              <w:rFonts w:hint="eastAsia" w:ascii="黑体" w:hAnsi="黑体" w:eastAsia="黑体" w:cs="黑体"/>
              <w:b/>
              <w:color w:val="auto"/>
              <w:sz w:val="28"/>
              <w:szCs w:val="28"/>
              <w:lang w:val="en-US" w:eastAsia="zh-CN" w:bidi="ar-SA"/>
            </w:rPr>
            <w:instrText xml:space="preserve"> PAGEREF _Toc9550 \h </w:instrText>
          </w:r>
          <w:r>
            <w:rPr>
              <w:rFonts w:hint="eastAsia" w:ascii="黑体" w:hAnsi="黑体" w:eastAsia="黑体" w:cs="黑体"/>
              <w:b/>
              <w:color w:val="auto"/>
              <w:sz w:val="28"/>
              <w:szCs w:val="28"/>
              <w:lang w:val="en-US" w:eastAsia="zh-CN" w:bidi="ar-SA"/>
            </w:rPr>
            <w:fldChar w:fldCharType="separate"/>
          </w:r>
          <w:r>
            <w:rPr>
              <w:rFonts w:hint="eastAsia" w:ascii="黑体" w:hAnsi="黑体" w:eastAsia="黑体" w:cs="黑体"/>
              <w:b/>
              <w:color w:val="auto"/>
              <w:sz w:val="28"/>
              <w:szCs w:val="28"/>
              <w:lang w:val="en-US" w:eastAsia="zh-CN" w:bidi="ar-SA"/>
            </w:rPr>
            <w:t>206</w:t>
          </w:r>
          <w:r>
            <w:rPr>
              <w:rFonts w:hint="eastAsia" w:ascii="黑体" w:hAnsi="黑体" w:eastAsia="黑体" w:cs="黑体"/>
              <w:b/>
              <w:color w:val="auto"/>
              <w:sz w:val="28"/>
              <w:szCs w:val="28"/>
              <w:lang w:val="en-US" w:eastAsia="zh-CN" w:bidi="ar-SA"/>
            </w:rPr>
            <w:fldChar w:fldCharType="end"/>
          </w:r>
          <w:r>
            <w:rPr>
              <w:rFonts w:hint="eastAsia" w:ascii="黑体" w:hAnsi="黑体" w:eastAsia="黑体" w:cs="黑体"/>
              <w:b/>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_Toc14801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附件1：指标体系</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_Toc14801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207</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_Toc20779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附件2：项目投资估算表</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_Toc20779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219</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_Toc22751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附件3：调查问卷统计表</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_Toc22751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222</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tabs>
              <w:tab w:val="right" w:leader="dot" w:pos="8299"/>
            </w:tabs>
            <w:overflowPunct/>
            <w:topLinePunct w:val="0"/>
            <w:bidi w:val="0"/>
            <w:spacing w:line="576" w:lineRule="exact"/>
            <w:ind w:left="0" w:leftChars="0"/>
            <w:rPr>
              <w:rFonts w:hint="eastAsia" w:ascii="黑体" w:hAnsi="黑体" w:eastAsia="黑体" w:cs="黑体"/>
              <w:color w:val="auto"/>
              <w:sz w:val="28"/>
              <w:szCs w:val="28"/>
              <w:lang w:val="en-US" w:eastAsia="zh-CN" w:bidi="ar-SA"/>
            </w:rPr>
          </w:pP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HYPERLINK \l _Toc22751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附件4：主评人资质</w:t>
          </w:r>
          <w:r>
            <w:rPr>
              <w:rFonts w:hint="eastAsia" w:ascii="黑体" w:hAnsi="黑体" w:eastAsia="黑体" w:cs="黑体"/>
              <w:color w:val="auto"/>
              <w:sz w:val="28"/>
              <w:szCs w:val="28"/>
              <w:lang w:val="en-US" w:eastAsia="zh-CN" w:bidi="ar-SA"/>
            </w:rPr>
            <w:tab/>
          </w:r>
          <w:r>
            <w:rPr>
              <w:rFonts w:hint="eastAsia" w:ascii="黑体" w:hAnsi="黑体" w:eastAsia="黑体" w:cs="黑体"/>
              <w:color w:val="auto"/>
              <w:sz w:val="28"/>
              <w:szCs w:val="28"/>
              <w:lang w:val="en-US" w:eastAsia="zh-CN" w:bidi="ar-SA"/>
            </w:rPr>
            <w:fldChar w:fldCharType="begin"/>
          </w:r>
          <w:r>
            <w:rPr>
              <w:rFonts w:hint="eastAsia" w:ascii="黑体" w:hAnsi="黑体" w:eastAsia="黑体" w:cs="黑体"/>
              <w:color w:val="auto"/>
              <w:sz w:val="28"/>
              <w:szCs w:val="28"/>
              <w:lang w:val="en-US" w:eastAsia="zh-CN" w:bidi="ar-SA"/>
            </w:rPr>
            <w:instrText xml:space="preserve"> PAGEREF _Toc22751 \h </w:instrText>
          </w:r>
          <w:r>
            <w:rPr>
              <w:rFonts w:hint="eastAsia" w:ascii="黑体" w:hAnsi="黑体" w:eastAsia="黑体" w:cs="黑体"/>
              <w:color w:val="auto"/>
              <w:sz w:val="28"/>
              <w:szCs w:val="28"/>
              <w:lang w:val="en-US" w:eastAsia="zh-CN" w:bidi="ar-SA"/>
            </w:rPr>
            <w:fldChar w:fldCharType="separate"/>
          </w:r>
          <w:r>
            <w:rPr>
              <w:rFonts w:hint="eastAsia" w:ascii="黑体" w:hAnsi="黑体" w:eastAsia="黑体" w:cs="黑体"/>
              <w:color w:val="auto"/>
              <w:sz w:val="28"/>
              <w:szCs w:val="28"/>
              <w:lang w:val="en-US" w:eastAsia="zh-CN" w:bidi="ar-SA"/>
            </w:rPr>
            <w:t>222</w:t>
          </w:r>
          <w:r>
            <w:rPr>
              <w:rFonts w:hint="eastAsia" w:ascii="黑体" w:hAnsi="黑体" w:eastAsia="黑体" w:cs="黑体"/>
              <w:color w:val="auto"/>
              <w:sz w:val="28"/>
              <w:szCs w:val="28"/>
              <w:lang w:val="en-US" w:eastAsia="zh-CN" w:bidi="ar-SA"/>
            </w:rPr>
            <w:fldChar w:fldCharType="end"/>
          </w:r>
          <w:r>
            <w:rPr>
              <w:rFonts w:hint="eastAsia" w:ascii="黑体" w:hAnsi="黑体" w:eastAsia="黑体" w:cs="黑体"/>
              <w:color w:val="auto"/>
              <w:sz w:val="28"/>
              <w:szCs w:val="28"/>
              <w:lang w:val="en-US" w:eastAsia="zh-CN" w:bidi="ar-SA"/>
            </w:rPr>
            <w:fldChar w:fldCharType="end"/>
          </w:r>
        </w:p>
        <w:p>
          <w:pPr>
            <w:pageBreakBefore w:val="0"/>
            <w:overflowPunct/>
            <w:topLinePunct w:val="0"/>
            <w:bidi w:val="0"/>
            <w:adjustRightInd w:val="0"/>
            <w:snapToGrid w:val="0"/>
            <w:spacing w:line="576" w:lineRule="exact"/>
            <w:ind w:left="0" w:leftChars="0" w:firstLine="0" w:firstLineChars="0"/>
            <w:jc w:val="center"/>
            <w:outlineLvl w:val="9"/>
            <w:rPr>
              <w:rFonts w:hint="eastAsia" w:ascii="方正小标宋简体" w:hAnsi="华文中宋" w:eastAsia="方正小标宋简体" w:cs="华文中宋"/>
              <w:b/>
              <w:color w:val="auto"/>
              <w:sz w:val="44"/>
              <w:szCs w:val="44"/>
            </w:rPr>
            <w:sectPr>
              <w:footerReference r:id="rId46" w:type="default"/>
              <w:footerReference r:id="rId47" w:type="even"/>
              <w:pgSz w:w="11905" w:h="16838"/>
              <w:pgMar w:top="2098" w:right="1474" w:bottom="1984" w:left="1587" w:header="851" w:footer="720" w:gutter="0"/>
              <w:pgNumType w:fmt="numberInDash"/>
              <w:cols w:space="0" w:num="1"/>
              <w:rtlGutter w:val="0"/>
              <w:docGrid w:type="lines" w:linePitch="436" w:charSpace="0"/>
            </w:sectPr>
          </w:pPr>
          <w:r>
            <w:rPr>
              <w:rFonts w:hint="eastAsia" w:ascii="方正小标宋简体" w:hAnsi="华文中宋" w:eastAsia="方正小标宋简体" w:cs="华文中宋"/>
              <w:b/>
              <w:color w:val="auto"/>
              <w:szCs w:val="44"/>
            </w:rPr>
            <w:fldChar w:fldCharType="end"/>
          </w:r>
        </w:p>
      </w:sdtContent>
    </w:sdt>
    <w:bookmarkEnd w:id="595"/>
    <w:bookmarkEnd w:id="596"/>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方正小标宋简体" w:hAnsi="方正小标宋简体" w:eastAsia="方正小标宋简体" w:cs="方正小标宋简体"/>
          <w:color w:val="auto"/>
          <w:sz w:val="44"/>
          <w:szCs w:val="44"/>
          <w:highlight w:val="none"/>
          <w:lang w:val="en-US" w:eastAsia="zh-CN"/>
        </w:rPr>
      </w:pPr>
      <w:bookmarkStart w:id="597" w:name="_Toc23306"/>
      <w:bookmarkStart w:id="598" w:name="_Toc32555"/>
      <w:bookmarkStart w:id="599" w:name="_Toc478"/>
      <w:bookmarkStart w:id="600" w:name="_Toc12301"/>
      <w:bookmarkStart w:id="601" w:name="_Toc25060"/>
      <w:r>
        <w:rPr>
          <w:rFonts w:hint="eastAsia" w:ascii="方正小标宋简体" w:hAnsi="方正小标宋简体" w:eastAsia="方正小标宋简体" w:cs="方正小标宋简体"/>
          <w:color w:val="auto"/>
          <w:sz w:val="44"/>
          <w:szCs w:val="44"/>
          <w:highlight w:val="none"/>
          <w:lang w:val="en-US" w:eastAsia="zh-CN"/>
        </w:rPr>
        <w:t>西宁市城中区总寨塬智能温室园区</w:t>
      </w:r>
      <w:bookmarkEnd w:id="597"/>
      <w:bookmarkEnd w:id="598"/>
      <w:bookmarkEnd w:id="599"/>
      <w:r>
        <w:rPr>
          <w:rFonts w:hint="eastAsia" w:ascii="方正小标宋简体" w:hAnsi="方正小标宋简体" w:eastAsia="方正小标宋简体" w:cs="方正小标宋简体"/>
          <w:color w:val="auto"/>
          <w:sz w:val="44"/>
          <w:szCs w:val="44"/>
          <w:highlight w:val="none"/>
          <w:lang w:val="en-US" w:eastAsia="zh-CN"/>
        </w:rPr>
        <w:t>道路</w:t>
      </w:r>
      <w:bookmarkEnd w:id="600"/>
      <w:bookmarkEnd w:id="601"/>
    </w:p>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0"/>
        <w:rPr>
          <w:rFonts w:hint="eastAsia" w:ascii="方正小标宋简体" w:hAnsi="方正小标宋简体" w:eastAsia="方正小标宋简体" w:cs="方正小标宋简体"/>
          <w:color w:val="auto"/>
          <w:sz w:val="44"/>
          <w:szCs w:val="44"/>
          <w:highlight w:val="none"/>
        </w:rPr>
      </w:pPr>
      <w:bookmarkStart w:id="602" w:name="_Toc22813"/>
      <w:bookmarkStart w:id="603" w:name="_Toc14050"/>
      <w:r>
        <w:rPr>
          <w:rFonts w:hint="eastAsia" w:ascii="方正小标宋简体" w:hAnsi="方正小标宋简体" w:eastAsia="方正小标宋简体" w:cs="方正小标宋简体"/>
          <w:color w:val="auto"/>
          <w:sz w:val="44"/>
          <w:szCs w:val="44"/>
          <w:highlight w:val="none"/>
          <w:lang w:val="en-US" w:eastAsia="zh-CN"/>
        </w:rPr>
        <w:t>工程</w:t>
      </w:r>
      <w:bookmarkStart w:id="604" w:name="_Toc25024"/>
      <w:bookmarkStart w:id="605" w:name="_Toc2780"/>
      <w:bookmarkStart w:id="606" w:name="_Toc32372"/>
      <w:r>
        <w:rPr>
          <w:rFonts w:hint="eastAsia" w:ascii="方正小标宋简体" w:hAnsi="方正小标宋简体" w:eastAsia="方正小标宋简体" w:cs="方正小标宋简体"/>
          <w:color w:val="auto"/>
          <w:sz w:val="44"/>
          <w:szCs w:val="44"/>
          <w:highlight w:val="none"/>
          <w:lang w:val="en-US" w:eastAsia="zh-CN"/>
        </w:rPr>
        <w:t>和排水工程</w:t>
      </w:r>
      <w:r>
        <w:rPr>
          <w:rFonts w:hint="eastAsia" w:ascii="方正小标宋简体" w:hAnsi="方正小标宋简体" w:eastAsia="方正小标宋简体" w:cs="方正小标宋简体"/>
          <w:color w:val="auto"/>
          <w:sz w:val="44"/>
          <w:szCs w:val="44"/>
          <w:highlight w:val="none"/>
        </w:rPr>
        <w:t>项目</w:t>
      </w:r>
      <w:bookmarkEnd w:id="604"/>
      <w:bookmarkEnd w:id="605"/>
      <w:bookmarkEnd w:id="606"/>
      <w:bookmarkStart w:id="607" w:name="_Toc5752"/>
      <w:bookmarkStart w:id="608" w:name="_Toc20182"/>
      <w:bookmarkStart w:id="609" w:name="_Toc30503"/>
      <w:r>
        <w:rPr>
          <w:rFonts w:hint="eastAsia" w:ascii="方正小标宋简体" w:hAnsi="方正小标宋简体" w:eastAsia="方正小标宋简体" w:cs="方正小标宋简体"/>
          <w:color w:val="auto"/>
          <w:sz w:val="44"/>
          <w:szCs w:val="44"/>
          <w:highlight w:val="none"/>
        </w:rPr>
        <w:t>绩效评价报告</w:t>
      </w:r>
      <w:bookmarkEnd w:id="602"/>
      <w:bookmarkEnd w:id="603"/>
      <w:bookmarkEnd w:id="607"/>
      <w:bookmarkEnd w:id="608"/>
      <w:bookmarkEnd w:id="609"/>
    </w:p>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textAlignment w:val="auto"/>
        <w:outlineLvl w:val="9"/>
        <w:rPr>
          <w:rFonts w:cs="Times New Roman"/>
          <w:color w:val="auto"/>
          <w:sz w:val="32"/>
          <w:szCs w:val="32"/>
        </w:rPr>
      </w:pPr>
    </w:p>
    <w:p>
      <w:pPr>
        <w:pageBreakBefore w:val="0"/>
        <w:overflowPunct/>
        <w:topLinePunct w:val="0"/>
        <w:autoSpaceDE w:val="0"/>
        <w:autoSpaceDN w:val="0"/>
        <w:bidi w:val="0"/>
        <w:spacing w:line="576" w:lineRule="exact"/>
        <w:ind w:left="0" w:leftChars="0"/>
        <w:jc w:val="left"/>
        <w:outlineLvl w:val="0"/>
        <w:rPr>
          <w:rFonts w:hint="eastAsia" w:ascii="黑体" w:hAnsi="黑体" w:eastAsia="黑体" w:cs="黑体"/>
          <w:b/>
          <w:bCs/>
          <w:color w:val="auto"/>
          <w:szCs w:val="32"/>
          <w:lang w:val="zh-CN"/>
        </w:rPr>
      </w:pPr>
      <w:bookmarkStart w:id="610" w:name="_Toc29757"/>
      <w:bookmarkStart w:id="611" w:name="_Toc15931"/>
      <w:bookmarkStart w:id="612" w:name="_Toc5479"/>
      <w:bookmarkStart w:id="613" w:name="_Toc3403"/>
      <w:bookmarkStart w:id="614" w:name="_Toc12415"/>
      <w:bookmarkStart w:id="615" w:name="_Toc20483"/>
      <w:bookmarkStart w:id="616" w:name="_Toc15249"/>
      <w:r>
        <w:rPr>
          <w:rFonts w:hint="eastAsia" w:ascii="黑体" w:hAnsi="黑体" w:eastAsia="黑体" w:cs="黑体"/>
          <w:b/>
          <w:bCs/>
          <w:color w:val="auto"/>
          <w:szCs w:val="32"/>
          <w:lang w:val="en-US" w:eastAsia="zh-CN"/>
        </w:rPr>
        <w:t>一、</w:t>
      </w:r>
      <w:r>
        <w:rPr>
          <w:rFonts w:hint="eastAsia" w:ascii="黑体" w:hAnsi="黑体" w:eastAsia="黑体" w:cs="黑体"/>
          <w:b/>
          <w:bCs/>
          <w:color w:val="auto"/>
          <w:szCs w:val="32"/>
          <w:lang w:val="zh-CN"/>
        </w:rPr>
        <w:t>项目基本情况</w:t>
      </w:r>
      <w:bookmarkEnd w:id="610"/>
      <w:bookmarkEnd w:id="611"/>
      <w:bookmarkEnd w:id="612"/>
      <w:bookmarkEnd w:id="613"/>
      <w:bookmarkEnd w:id="614"/>
      <w:bookmarkEnd w:id="615"/>
      <w:bookmarkEnd w:id="616"/>
      <w:bookmarkStart w:id="617" w:name="_Toc8460"/>
      <w:bookmarkStart w:id="618" w:name="_Toc21233"/>
      <w:bookmarkStart w:id="619" w:name="_Toc29632"/>
    </w:p>
    <w:p>
      <w:pPr>
        <w:pageBreakBefore w:val="0"/>
        <w:overflowPunct/>
        <w:topLinePunct w:val="0"/>
        <w:autoSpaceDE w:val="0"/>
        <w:autoSpaceDN w:val="0"/>
        <w:bidi w:val="0"/>
        <w:spacing w:line="576" w:lineRule="exact"/>
        <w:ind w:left="0" w:leftChars="0" w:firstLine="643"/>
        <w:jc w:val="left"/>
        <w:outlineLvl w:val="1"/>
        <w:rPr>
          <w:rFonts w:hint="eastAsia" w:ascii="楷体_GB2312" w:hAnsi="楷体_GB2312" w:eastAsia="楷体_GB2312" w:cs="楷体_GB2312"/>
          <w:b/>
          <w:bCs/>
          <w:color w:val="auto"/>
          <w:szCs w:val="32"/>
          <w:lang w:val="en-US" w:eastAsia="zh-CN"/>
        </w:rPr>
      </w:pPr>
      <w:bookmarkStart w:id="620" w:name="_Toc6501"/>
      <w:bookmarkStart w:id="621" w:name="_Toc10956"/>
      <w:bookmarkStart w:id="622" w:name="_Toc7870"/>
      <w:bookmarkStart w:id="623" w:name="_Toc19212"/>
      <w:bookmarkStart w:id="624" w:name="_Toc28619"/>
      <w:r>
        <w:rPr>
          <w:rFonts w:hint="eastAsia" w:ascii="楷体_GB2312" w:hAnsi="楷体_GB2312" w:eastAsia="楷体_GB2312" w:cs="楷体_GB2312"/>
          <w:b/>
          <w:bCs/>
          <w:color w:val="auto"/>
          <w:szCs w:val="32"/>
          <w:lang w:val="zh-CN"/>
        </w:rPr>
        <w:t>（一）项目立项背景</w:t>
      </w:r>
      <w:bookmarkEnd w:id="617"/>
      <w:bookmarkEnd w:id="618"/>
      <w:bookmarkEnd w:id="619"/>
      <w:bookmarkEnd w:id="620"/>
      <w:bookmarkEnd w:id="621"/>
      <w:bookmarkEnd w:id="622"/>
      <w:bookmarkEnd w:id="623"/>
      <w:bookmarkEnd w:id="624"/>
    </w:p>
    <w:p>
      <w:pPr>
        <w:pageBreakBefore w:val="0"/>
        <w:overflowPunct/>
        <w:topLinePunct w:val="0"/>
        <w:bidi w:val="0"/>
        <w:spacing w:line="576" w:lineRule="exact"/>
        <w:ind w:left="0" w:leftChars="0"/>
        <w:rPr>
          <w:rFonts w:hint="default" w:cs="Times New Roman"/>
          <w:color w:val="auto"/>
          <w:lang w:val="en-US" w:eastAsia="zh-CN"/>
        </w:rPr>
      </w:pPr>
      <w:bookmarkStart w:id="625" w:name="_Toc16878"/>
      <w:bookmarkStart w:id="626" w:name="_Toc6879"/>
      <w:bookmarkStart w:id="627" w:name="_Toc18800"/>
      <w:r>
        <w:rPr>
          <w:rFonts w:hint="eastAsia" w:cs="Times New Roman"/>
          <w:color w:val="auto"/>
          <w:lang w:val="en-US" w:eastAsia="zh-CN"/>
        </w:rPr>
        <w:t>城中区总寨塬位于青海省西宁市，地处西北黄土高原和青藏高原过渡地带属青藏高原凉温半干旱地区，气温垂直变化明显，雨水时空分布不均，太阳辐射强，日照时间长，光能资源丰富，区域内县、乡及村内道路贯通，交通便利，环境资源优势明显、区位优势突出。城中区总寨塬立足于自然资源、地理位置、蔬菜种植的产业基础等优势条件，按照青海省第十一次党代会提出的“以西宁为中心的东部地区，努力构建农畜产品生产加工基地及农业产业化经营基地”的精神，抓住有利机遇，把农业结构调整、农村建设和农民收入增加与飞速发展的西宁城市建设紧密结合，在发展城郊农业上做文章，大力发展城郊特色蔬菜产业，建设农业日光节能温室蔬菜大棚。但温室建成后，水利配套设施和园区道路条件不能满足现有设施农业发展要求，制约设施农业的健康发展。</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default" w:cs="Times New Roman"/>
          <w:color w:val="auto"/>
          <w:lang w:val="en-US" w:eastAsia="zh-CN"/>
        </w:rPr>
      </w:pPr>
      <w:r>
        <w:rPr>
          <w:rFonts w:hint="eastAsia" w:cs="Times New Roman"/>
          <w:color w:val="auto"/>
          <w:lang w:val="en-US" w:eastAsia="zh-CN"/>
        </w:rPr>
        <w:t>为解决城中区总寨智能温室园区积水无法排出，道路出行困难的问题，依据《西宁市城中区发展改革和工业信息化局关于总寨塬智能温室园区道路工程项目实施方案的批复》（城中发工信字</w:t>
      </w:r>
      <w:r>
        <w:rPr>
          <w:rFonts w:hint="eastAsia"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19</w:t>
      </w:r>
      <w:r>
        <w:rPr>
          <w:rFonts w:hint="eastAsia"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101</w:t>
      </w:r>
      <w:r>
        <w:rPr>
          <w:rFonts w:hint="eastAsia" w:ascii="仿宋_GB2312" w:hAnsi="仿宋_GB2312" w:eastAsia="仿宋_GB2312" w:cs="仿宋_GB2312"/>
          <w:bCs/>
          <w:color w:val="auto"/>
          <w:sz w:val="32"/>
          <w:szCs w:val="32"/>
          <w:highlight w:val="none"/>
          <w:lang w:val="en-US" w:eastAsia="zh-CN"/>
        </w:rPr>
        <w:t>号</w:t>
      </w:r>
      <w:r>
        <w:rPr>
          <w:rFonts w:hint="eastAsia" w:cs="Times New Roman"/>
          <w:color w:val="auto"/>
          <w:lang w:val="en-US" w:eastAsia="zh-CN"/>
        </w:rPr>
        <w:t>）和《西宁市城中区发展改革和工业信息化局关于总寨塬智能温室园区排水工程项目实施方案的批复》（城中发工信字</w:t>
      </w:r>
      <w:r>
        <w:rPr>
          <w:rFonts w:hint="eastAsia" w:ascii="Times New Roman" w:hAnsi="Times New Roman" w:eastAsia="仿宋_GB2312" w:cs="Times New Roman"/>
          <w:color w:val="auto"/>
          <w:sz w:val="32"/>
          <w:szCs w:val="32"/>
          <w:highlight w:val="none"/>
        </w:rPr>
        <w:t>〔20</w:t>
      </w:r>
      <w:r>
        <w:rPr>
          <w:rFonts w:hint="eastAsia" w:ascii="Times New Roman" w:hAnsi="Times New Roman" w:eastAsia="仿宋_GB2312" w:cs="Times New Roman"/>
          <w:color w:val="auto"/>
          <w:sz w:val="32"/>
          <w:szCs w:val="32"/>
          <w:highlight w:val="none"/>
          <w:lang w:val="en-US" w:eastAsia="zh-CN"/>
        </w:rPr>
        <w:t>20</w:t>
      </w:r>
      <w:r>
        <w:rPr>
          <w:rFonts w:hint="eastAsia" w:ascii="Times New Roman" w:hAnsi="Times New Roman" w:eastAsia="仿宋_GB2312" w:cs="Times New Roman"/>
          <w:color w:val="auto"/>
          <w:sz w:val="32"/>
          <w:szCs w:val="32"/>
          <w:highlight w:val="none"/>
        </w:rPr>
        <w:t>〕</w:t>
      </w:r>
      <w:r>
        <w:rPr>
          <w:rFonts w:hint="eastAsia" w:ascii="Times New Roman" w:hAnsi="Times New Roman" w:eastAsia="仿宋_GB2312" w:cs="Times New Roman"/>
          <w:color w:val="auto"/>
          <w:sz w:val="32"/>
          <w:szCs w:val="32"/>
          <w:highlight w:val="none"/>
          <w:lang w:val="en-US" w:eastAsia="zh-CN"/>
        </w:rPr>
        <w:t>36</w:t>
      </w:r>
      <w:r>
        <w:rPr>
          <w:rFonts w:hint="eastAsia" w:ascii="仿宋_GB2312" w:hAnsi="仿宋_GB2312" w:eastAsia="仿宋_GB2312" w:cs="仿宋_GB2312"/>
          <w:bCs/>
          <w:color w:val="auto"/>
          <w:sz w:val="32"/>
          <w:szCs w:val="32"/>
          <w:highlight w:val="none"/>
          <w:lang w:val="en-US" w:eastAsia="zh-CN"/>
        </w:rPr>
        <w:t>号</w:t>
      </w:r>
      <w:r>
        <w:rPr>
          <w:rFonts w:hint="eastAsia" w:cs="Times New Roman"/>
          <w:color w:val="auto"/>
          <w:lang w:val="en-US" w:eastAsia="zh-CN"/>
        </w:rPr>
        <w:t>）文件批复，对总寨塬智能温室园区道路和排水系统进行配套建设。项目实施后，主线及支线道路将提高道路运输能力，温棚排水配套设施完善后可顺利将排水引入沟渠，避免路面积水，可以有效改善园区环境条件，提高温室蔬菜产量，促进温室农业发展，保障西宁市蔬菜供给，提高城乡人民生活水平。</w:t>
      </w:r>
    </w:p>
    <w:p>
      <w:pPr>
        <w:keepNext w:val="0"/>
        <w:keepLines w:val="0"/>
        <w:pageBreakBefore w:val="0"/>
        <w:widowControl w:val="0"/>
        <w:kinsoku/>
        <w:wordWrap/>
        <w:overflowPunct/>
        <w:topLinePunct w:val="0"/>
        <w:autoSpaceDE w:val="0"/>
        <w:autoSpaceDN w:val="0"/>
        <w:bidi w:val="0"/>
        <w:adjustRightInd/>
        <w:snapToGrid/>
        <w:spacing w:line="576" w:lineRule="exact"/>
        <w:ind w:left="0" w:leftChars="0" w:firstLine="643"/>
        <w:jc w:val="left"/>
        <w:textAlignment w:val="auto"/>
        <w:outlineLvl w:val="1"/>
        <w:rPr>
          <w:rFonts w:hint="eastAsia" w:ascii="楷体_GB2312" w:hAnsi="楷体_GB2312" w:eastAsia="楷体_GB2312" w:cs="楷体_GB2312"/>
          <w:b/>
          <w:bCs/>
          <w:color w:val="auto"/>
          <w:szCs w:val="32"/>
          <w:lang w:val="zh-CN"/>
        </w:rPr>
      </w:pPr>
      <w:bookmarkStart w:id="628" w:name="_Toc15160"/>
      <w:bookmarkStart w:id="629" w:name="_Toc25762"/>
      <w:bookmarkStart w:id="630" w:name="_Toc21754"/>
      <w:bookmarkStart w:id="631" w:name="_Toc8072"/>
      <w:bookmarkStart w:id="632" w:name="_Toc26548"/>
      <w:r>
        <w:rPr>
          <w:rFonts w:hint="eastAsia" w:ascii="楷体_GB2312" w:hAnsi="楷体_GB2312" w:eastAsia="楷体_GB2312" w:cs="楷体_GB2312"/>
          <w:b/>
          <w:bCs/>
          <w:color w:val="auto"/>
          <w:szCs w:val="32"/>
          <w:lang w:val="zh-CN"/>
        </w:rPr>
        <w:t>（二）项目预算安排及使用情况</w:t>
      </w:r>
      <w:bookmarkEnd w:id="625"/>
      <w:bookmarkEnd w:id="626"/>
      <w:bookmarkEnd w:id="627"/>
      <w:bookmarkEnd w:id="628"/>
      <w:bookmarkEnd w:id="629"/>
      <w:bookmarkEnd w:id="630"/>
      <w:bookmarkEnd w:id="631"/>
      <w:bookmarkEnd w:id="632"/>
    </w:p>
    <w:p>
      <w:pPr>
        <w:keepNext w:val="0"/>
        <w:keepLines w:val="0"/>
        <w:pageBreakBefore w:val="0"/>
        <w:widowControl w:val="0"/>
        <w:kinsoku/>
        <w:wordWrap/>
        <w:overflowPunct/>
        <w:topLinePunct w:val="0"/>
        <w:bidi w:val="0"/>
        <w:adjustRightInd/>
        <w:snapToGrid/>
        <w:spacing w:line="576" w:lineRule="exact"/>
        <w:ind w:left="0" w:leftChars="0" w:firstLine="643" w:firstLineChars="200"/>
        <w:jc w:val="both"/>
        <w:textAlignment w:val="auto"/>
        <w:rPr>
          <w:rFonts w:hint="eastAsia" w:ascii="仿宋_GB2312" w:hAnsi="仿宋_GB2312" w:eastAsia="仿宋_GB2312" w:cs="Times New Roman"/>
          <w:b/>
          <w:bCs/>
          <w:color w:val="auto"/>
          <w:kern w:val="2"/>
          <w:sz w:val="32"/>
          <w:szCs w:val="24"/>
          <w:lang w:val="en-US" w:eastAsia="zh-CN" w:bidi="ar-SA"/>
        </w:rPr>
      </w:pPr>
      <w:bookmarkStart w:id="633" w:name="_Toc5985"/>
      <w:bookmarkStart w:id="634" w:name="_Toc7262"/>
      <w:bookmarkStart w:id="635" w:name="_Toc21303"/>
      <w:r>
        <w:rPr>
          <w:rFonts w:hint="eastAsia" w:ascii="仿宋_GB2312" w:hAnsi="仿宋_GB2312" w:eastAsia="仿宋_GB2312" w:cs="Times New Roman"/>
          <w:b/>
          <w:bCs/>
          <w:color w:val="auto"/>
          <w:kern w:val="2"/>
          <w:sz w:val="32"/>
          <w:szCs w:val="24"/>
          <w:lang w:val="en-US" w:eastAsia="zh-CN" w:bidi="ar-SA"/>
        </w:rPr>
        <w:t>1.项目预算安排</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仿宋_GB2312" w:hAnsi="仿宋_GB2312" w:eastAsia="仿宋_GB2312" w:cs="仿宋_GB2312"/>
          <w:color w:val="auto"/>
          <w:kern w:val="2"/>
          <w:sz w:val="32"/>
          <w:szCs w:val="32"/>
          <w:lang w:val="en-US" w:eastAsia="zh-CN" w:bidi="ar-SA"/>
        </w:rPr>
      </w:pPr>
      <w:r>
        <w:rPr>
          <w:rFonts w:hint="eastAsia" w:ascii="Calibri" w:hAnsi="Calibri" w:eastAsia="仿宋_GB2312" w:cs="Times New Roman"/>
          <w:color w:val="auto"/>
          <w:kern w:val="2"/>
          <w:sz w:val="32"/>
          <w:szCs w:val="24"/>
          <w:lang w:val="en-US" w:eastAsia="zh-CN" w:bidi="ar-SA"/>
        </w:rPr>
        <w:t>根据项目工程概算书，</w:t>
      </w:r>
      <w:r>
        <w:rPr>
          <w:rFonts w:hint="eastAsia" w:ascii="仿宋_GB2312" w:hAnsi="仿宋_GB2312" w:eastAsia="仿宋_GB2312" w:cs="仿宋_GB2312"/>
          <w:bCs/>
          <w:color w:val="auto"/>
          <w:kern w:val="2"/>
          <w:sz w:val="32"/>
          <w:szCs w:val="32"/>
          <w:highlight w:val="none"/>
          <w:lang w:val="en-US" w:eastAsia="zh-CN" w:bidi="ar-SA"/>
        </w:rPr>
        <w:t>总</w:t>
      </w:r>
      <w:r>
        <w:rPr>
          <w:rFonts w:hint="eastAsia" w:ascii="Calibri" w:hAnsi="Calibri" w:eastAsia="仿宋_GB2312" w:cs="Times New Roman"/>
          <w:color w:val="auto"/>
          <w:kern w:val="2"/>
          <w:sz w:val="32"/>
          <w:szCs w:val="24"/>
          <w:lang w:val="en-US" w:eastAsia="zh-CN" w:bidi="ar-SA"/>
        </w:rPr>
        <w:t>寨塬智能温室园区道路工程项目预算投资</w:t>
      </w:r>
      <w:r>
        <w:rPr>
          <w:rFonts w:hint="eastAsia" w:ascii="Times New Roman" w:hAnsi="Times New Roman" w:eastAsia="仿宋_GB2312" w:cs="Times New Roman"/>
          <w:color w:val="auto"/>
          <w:sz w:val="32"/>
          <w:szCs w:val="32"/>
          <w:highlight w:val="none"/>
          <w:lang w:val="en-US" w:eastAsia="zh-CN"/>
        </w:rPr>
        <w:t>233.11万元，排水工程项目预算投资154.74万元，总计387.85万元。依据西宁市城中区财政局（城中财字〔2020〕291号）和（城中财字〔2020〕7号）文件，城中区财政局共安排区级财政资金332.82万元，用</w:t>
      </w:r>
      <w:r>
        <w:rPr>
          <w:rFonts w:hint="eastAsia" w:ascii="Calibri" w:hAnsi="Calibri" w:eastAsia="仿宋_GB2312" w:cs="Times New Roman"/>
          <w:color w:val="auto"/>
          <w:kern w:val="2"/>
          <w:sz w:val="32"/>
          <w:szCs w:val="24"/>
          <w:lang w:val="en-US" w:eastAsia="zh-CN" w:bidi="ar-SA"/>
        </w:rPr>
        <w:t>于</w:t>
      </w:r>
      <w:r>
        <w:rPr>
          <w:rFonts w:hint="eastAsia" w:ascii="仿宋_GB2312" w:hAnsi="仿宋_GB2312" w:eastAsia="仿宋_GB2312" w:cs="仿宋_GB2312"/>
          <w:bCs/>
          <w:color w:val="auto"/>
          <w:kern w:val="2"/>
          <w:sz w:val="32"/>
          <w:szCs w:val="32"/>
          <w:highlight w:val="none"/>
          <w:lang w:val="en-US" w:eastAsia="zh-CN" w:bidi="ar-SA"/>
        </w:rPr>
        <w:t>总</w:t>
      </w:r>
      <w:r>
        <w:rPr>
          <w:rFonts w:hint="eastAsia" w:ascii="Calibri" w:hAnsi="Calibri" w:eastAsia="仿宋_GB2312" w:cs="Times New Roman"/>
          <w:color w:val="auto"/>
          <w:kern w:val="2"/>
          <w:sz w:val="32"/>
          <w:szCs w:val="24"/>
          <w:lang w:val="en-US" w:eastAsia="zh-CN" w:bidi="ar-SA"/>
        </w:rPr>
        <w:t>寨塬智能温室园区道路工程和排水工程项目建设。《项目预算投资估算表》见附</w:t>
      </w:r>
      <w:r>
        <w:rPr>
          <w:rFonts w:hint="eastAsia" w:ascii="Times New Roman" w:hAnsi="Times New Roman" w:eastAsia="仿宋_GB2312" w:cs="Times New Roman"/>
          <w:color w:val="auto"/>
          <w:sz w:val="32"/>
          <w:szCs w:val="32"/>
          <w:highlight w:val="none"/>
          <w:lang w:val="en-US" w:eastAsia="zh-CN"/>
        </w:rPr>
        <w:t>件2。</w:t>
      </w:r>
    </w:p>
    <w:p>
      <w:pPr>
        <w:pageBreakBefore w:val="0"/>
        <w:overflowPunct/>
        <w:topLinePunct w:val="0"/>
        <w:bidi w:val="0"/>
        <w:spacing w:line="576" w:lineRule="exact"/>
        <w:ind w:left="0" w:leftChars="0"/>
        <w:outlineLvl w:val="9"/>
        <w:rPr>
          <w:rFonts w:hint="default" w:cs="Times New Roman"/>
          <w:b/>
          <w:bCs/>
          <w:color w:val="auto"/>
          <w:lang w:val="en-US" w:eastAsia="zh-CN"/>
        </w:rPr>
      </w:pPr>
      <w:r>
        <w:rPr>
          <w:rFonts w:hint="eastAsia" w:cs="Times New Roman"/>
          <w:b/>
          <w:bCs/>
          <w:color w:val="auto"/>
          <w:lang w:val="en-US" w:eastAsia="zh-CN"/>
        </w:rPr>
        <w:t>2.资金使用情况</w:t>
      </w:r>
    </w:p>
    <w:p>
      <w:pPr>
        <w:pageBreakBefore w:val="0"/>
        <w:overflowPunct/>
        <w:topLinePunct w:val="0"/>
        <w:bidi w:val="0"/>
        <w:spacing w:line="576" w:lineRule="exact"/>
        <w:ind w:left="0" w:leftChars="0"/>
        <w:outlineLvl w:val="9"/>
        <w:rPr>
          <w:rFonts w:hint="eastAsia" w:ascii="宋体" w:hAnsi="宋体" w:eastAsia="宋体" w:cs="宋体"/>
          <w:b/>
          <w:bCs/>
          <w:color w:val="auto"/>
          <w:sz w:val="28"/>
          <w:szCs w:val="28"/>
          <w:lang w:val="en-US" w:eastAsia="zh-CN"/>
        </w:rPr>
      </w:pPr>
      <w:r>
        <w:rPr>
          <w:rFonts w:hint="eastAsia" w:ascii="仿宋_GB2312" w:hAnsi="仿宋_GB2312" w:eastAsia="仿宋_GB2312" w:cs="仿宋_GB2312"/>
          <w:bCs/>
          <w:color w:val="auto"/>
          <w:sz w:val="32"/>
          <w:szCs w:val="32"/>
          <w:highlight w:val="none"/>
          <w:lang w:val="en-US" w:eastAsia="zh-CN"/>
        </w:rPr>
        <w:t>总</w:t>
      </w:r>
      <w:r>
        <w:rPr>
          <w:rFonts w:hint="eastAsia" w:cs="Times New Roman"/>
          <w:color w:val="auto"/>
          <w:lang w:val="en-US" w:eastAsia="zh-CN"/>
        </w:rPr>
        <w:t>寨塬智能温室园区道路工程和</w:t>
      </w:r>
      <w:r>
        <w:rPr>
          <w:rFonts w:hint="eastAsia" w:ascii="仿宋_GB2312" w:hAnsi="仿宋_GB2312" w:cs="Times New Roman"/>
          <w:bCs w:val="0"/>
          <w:color w:val="auto"/>
          <w:kern w:val="2"/>
          <w:sz w:val="32"/>
          <w:szCs w:val="24"/>
          <w:lang w:val="en-US" w:eastAsia="zh-CN" w:bidi="ar-SA"/>
        </w:rPr>
        <w:t>排水</w:t>
      </w:r>
      <w:r>
        <w:rPr>
          <w:rFonts w:hint="eastAsia" w:ascii="仿宋_GB2312" w:hAnsi="仿宋_GB2312" w:eastAsia="仿宋_GB2312" w:cs="Times New Roman"/>
          <w:bCs w:val="0"/>
          <w:color w:val="auto"/>
          <w:kern w:val="2"/>
          <w:sz w:val="32"/>
          <w:szCs w:val="24"/>
          <w:lang w:val="en-US" w:eastAsia="zh-CN" w:bidi="ar-SA"/>
        </w:rPr>
        <w:t>工程</w:t>
      </w:r>
      <w:r>
        <w:rPr>
          <w:rFonts w:hint="eastAsia" w:cs="Times New Roman"/>
          <w:bCs w:val="0"/>
          <w:color w:val="auto"/>
          <w:kern w:val="2"/>
          <w:sz w:val="32"/>
          <w:szCs w:val="24"/>
          <w:lang w:val="en-US" w:eastAsia="zh-CN" w:bidi="ar-SA"/>
        </w:rPr>
        <w:t>实际投资</w:t>
      </w:r>
      <w:r>
        <w:rPr>
          <w:rFonts w:hint="eastAsia" w:ascii="Times New Roman" w:hAnsi="Times New Roman" w:eastAsia="仿宋_GB2312" w:cs="Times New Roman"/>
          <w:color w:val="auto"/>
          <w:sz w:val="32"/>
          <w:szCs w:val="32"/>
          <w:highlight w:val="none"/>
          <w:lang w:val="en-US" w:eastAsia="zh-CN"/>
        </w:rPr>
        <w:t>341.82万元。截至2020年12月31日，实际支出332.83万元（其中，工程施工295.28万元，监理费10.36万元，设计费用20.35万元，招标代理费2.75万用，管理费2.09万元，质检费1万元，审计费1万元），预留3%质保金9</w:t>
      </w:r>
      <w:r>
        <w:rPr>
          <w:rFonts w:hint="eastAsia" w:cs="Times New Roman"/>
          <w:bCs w:val="0"/>
          <w:color w:val="auto"/>
          <w:kern w:val="2"/>
          <w:sz w:val="32"/>
          <w:szCs w:val="24"/>
          <w:lang w:val="en-US" w:eastAsia="zh-CN" w:bidi="ar-SA"/>
        </w:rPr>
        <w:t>万元待工程质保期结束支付。</w:t>
      </w:r>
    </w:p>
    <w:p>
      <w:pPr>
        <w:keepNext w:val="0"/>
        <w:keepLines w:val="0"/>
        <w:pageBreakBefore w:val="0"/>
        <w:widowControl w:val="0"/>
        <w:kinsoku/>
        <w:wordWrap/>
        <w:overflowPunct/>
        <w:topLinePunct w:val="0"/>
        <w:autoSpaceDE w:val="0"/>
        <w:autoSpaceDN w:val="0"/>
        <w:bidi w:val="0"/>
        <w:adjustRightInd/>
        <w:snapToGrid/>
        <w:spacing w:line="576" w:lineRule="exact"/>
        <w:ind w:left="0" w:leftChars="0" w:firstLine="643" w:firstLineChars="200"/>
        <w:jc w:val="left"/>
        <w:textAlignment w:val="auto"/>
        <w:outlineLvl w:val="1"/>
        <w:rPr>
          <w:rFonts w:hint="eastAsia" w:ascii="楷体_GB2312" w:hAnsi="楷体_GB2312" w:eastAsia="楷体_GB2312" w:cs="楷体_GB2312"/>
          <w:b/>
          <w:bCs/>
          <w:color w:val="auto"/>
          <w:szCs w:val="32"/>
          <w:lang w:val="zh-CN"/>
        </w:rPr>
      </w:pPr>
      <w:bookmarkStart w:id="636" w:name="_Toc783"/>
      <w:bookmarkStart w:id="637" w:name="_Toc8201"/>
      <w:bookmarkStart w:id="638" w:name="_Toc8949"/>
      <w:bookmarkStart w:id="639" w:name="_Toc20423"/>
      <w:bookmarkStart w:id="640" w:name="_Toc8668"/>
      <w:r>
        <w:rPr>
          <w:rFonts w:hint="eastAsia" w:ascii="楷体_GB2312" w:hAnsi="楷体_GB2312" w:eastAsia="楷体_GB2312" w:cs="楷体_GB2312"/>
          <w:b/>
          <w:bCs/>
          <w:color w:val="auto"/>
          <w:szCs w:val="32"/>
          <w:lang w:val="zh-CN"/>
        </w:rPr>
        <w:t>（三）项目计划内容及实施情况</w:t>
      </w:r>
      <w:bookmarkEnd w:id="633"/>
      <w:bookmarkEnd w:id="634"/>
      <w:bookmarkEnd w:id="635"/>
      <w:bookmarkEnd w:id="636"/>
      <w:bookmarkEnd w:id="637"/>
      <w:bookmarkEnd w:id="638"/>
      <w:bookmarkEnd w:id="639"/>
      <w:bookmarkEnd w:id="640"/>
    </w:p>
    <w:p>
      <w:pPr>
        <w:pageBreakBefore w:val="0"/>
        <w:overflowPunct/>
        <w:topLinePunct w:val="0"/>
        <w:bidi w:val="0"/>
        <w:spacing w:line="576" w:lineRule="exact"/>
        <w:ind w:left="0" w:leftChars="0" w:firstLine="960" w:firstLineChars="300"/>
        <w:rPr>
          <w:rFonts w:hint="default" w:cs="Times New Roman"/>
          <w:color w:val="auto"/>
          <w:lang w:val="en-US" w:eastAsia="zh-CN"/>
        </w:rPr>
      </w:pPr>
      <w:bookmarkStart w:id="641" w:name="_Toc4599"/>
      <w:bookmarkStart w:id="642" w:name="_Toc15932"/>
      <w:bookmarkStart w:id="643" w:name="_Toc10878"/>
      <w:r>
        <w:rPr>
          <w:rFonts w:hint="eastAsia" w:cs="Times New Roman"/>
          <w:color w:val="auto"/>
          <w:lang w:val="en-US" w:eastAsia="zh-CN"/>
        </w:rPr>
        <w:t>1.总寨塬智能温室园区道路工程计划新建两条道路主线和八条支线共</w:t>
      </w:r>
      <w:r>
        <w:rPr>
          <w:rFonts w:hint="eastAsia" w:ascii="Times New Roman" w:hAnsi="Times New Roman" w:eastAsia="仿宋_GB2312" w:cs="Times New Roman"/>
          <w:color w:val="auto"/>
          <w:sz w:val="32"/>
          <w:szCs w:val="32"/>
          <w:highlight w:val="none"/>
          <w:lang w:val="en-US" w:eastAsia="zh-CN"/>
        </w:rPr>
        <w:t>长1.932km（其中路线1长997.165m、路线2全长405.388m、支线1长81.868m、支线2长38.055m、支线3长70.809m、支线4长67.925m、支线5长69.336m、支线6长67.507m、支线7长64.816m、支线8长69.207m），新建U型砼沟边（50*50）1848m，新建砼圆管涵（d=45）58m。截至2020年10月30日，项目建设内容已全部完工。</w:t>
      </w:r>
    </w:p>
    <w:p>
      <w:pPr>
        <w:pageBreakBefore w:val="0"/>
        <w:overflowPunct/>
        <w:topLinePunct w:val="0"/>
        <w:bidi w:val="0"/>
        <w:spacing w:line="576" w:lineRule="exact"/>
        <w:ind w:left="0" w:leftChars="0" w:firstLine="960" w:firstLineChars="300"/>
        <w:rPr>
          <w:rFonts w:hint="default" w:cs="Times New Roman"/>
          <w:color w:val="auto"/>
          <w:lang w:val="en-US" w:eastAsia="zh-CN"/>
        </w:rPr>
      </w:pPr>
      <w:r>
        <w:rPr>
          <w:rFonts w:hint="eastAsia" w:cs="Times New Roman"/>
          <w:color w:val="auto"/>
          <w:lang w:val="en-US" w:eastAsia="zh-CN"/>
        </w:rPr>
        <w:t>2.总寨塬智能温室园区排水工程计划新建干沟</w:t>
      </w:r>
      <w:r>
        <w:rPr>
          <w:rFonts w:hint="eastAsia" w:ascii="Times New Roman" w:hAnsi="Times New Roman" w:eastAsia="仿宋_GB2312" w:cs="Times New Roman"/>
          <w:color w:val="auto"/>
          <w:sz w:val="32"/>
          <w:szCs w:val="32"/>
          <w:highlight w:val="none"/>
          <w:lang w:val="en-US" w:eastAsia="zh-CN"/>
        </w:rPr>
        <w:t>549m，新建支沟3822m（其中温棚段无盖板支沟3475m，穿路段盖板支沟347m），新建干沟陡坡2座、支沟陡坡6座。截至2020年10月15日，项目建设内容已全部完工，实际增加农田退水24m，增加阳光带外用土回填5770m³，增加温室前坎砼挡墙。经项目主管单位、施工单位、监理单位、质检</w:t>
      </w:r>
      <w:r>
        <w:rPr>
          <w:rFonts w:hint="eastAsia" w:cs="Times New Roman"/>
          <w:color w:val="auto"/>
          <w:lang w:val="en-US" w:eastAsia="zh-CN"/>
        </w:rPr>
        <w:t>单位等多家单位联合对项目竣工质量进行验收，</w:t>
      </w:r>
      <w:r>
        <w:rPr>
          <w:rFonts w:hint="eastAsia" w:cs="Times New Roman"/>
          <w:color w:val="auto"/>
          <w:highlight w:val="none"/>
          <w:lang w:val="en-US" w:eastAsia="zh-CN"/>
        </w:rPr>
        <w:t>工程总体施工质量合格。</w:t>
      </w:r>
    </w:p>
    <w:bookmarkEnd w:id="641"/>
    <w:bookmarkEnd w:id="642"/>
    <w:bookmarkEnd w:id="643"/>
    <w:p>
      <w:pPr>
        <w:pageBreakBefore w:val="0"/>
        <w:overflowPunct/>
        <w:topLinePunct w:val="0"/>
        <w:autoSpaceDE w:val="0"/>
        <w:autoSpaceDN w:val="0"/>
        <w:bidi w:val="0"/>
        <w:spacing w:line="576" w:lineRule="exact"/>
        <w:ind w:left="0" w:leftChars="0"/>
        <w:jc w:val="left"/>
        <w:outlineLvl w:val="0"/>
        <w:rPr>
          <w:rFonts w:hint="eastAsia" w:cs="仿宋_GB2312"/>
          <w:b/>
          <w:bCs/>
          <w:color w:val="auto"/>
          <w:sz w:val="28"/>
          <w:szCs w:val="28"/>
          <w:lang w:val="zh-CN"/>
        </w:rPr>
      </w:pPr>
      <w:bookmarkStart w:id="644" w:name="_Toc31864"/>
      <w:bookmarkStart w:id="645" w:name="_Toc21733"/>
      <w:bookmarkStart w:id="646" w:name="_Toc28443"/>
      <w:bookmarkStart w:id="647" w:name="_Toc28818"/>
      <w:bookmarkStart w:id="648" w:name="_Toc28877"/>
      <w:bookmarkStart w:id="649" w:name="_Toc28331"/>
      <w:bookmarkStart w:id="650" w:name="_Toc19932"/>
      <w:r>
        <w:rPr>
          <w:rFonts w:hint="eastAsia" w:ascii="黑体" w:hAnsi="黑体" w:eastAsia="黑体" w:cs="黑体"/>
          <w:b/>
          <w:bCs/>
          <w:color w:val="auto"/>
          <w:szCs w:val="32"/>
          <w:lang w:val="zh-CN"/>
        </w:rPr>
        <w:t>二、项目绩效目标</w:t>
      </w:r>
      <w:bookmarkEnd w:id="644"/>
      <w:bookmarkEnd w:id="645"/>
      <w:bookmarkEnd w:id="646"/>
      <w:bookmarkEnd w:id="647"/>
      <w:bookmarkEnd w:id="648"/>
      <w:bookmarkEnd w:id="649"/>
      <w:bookmarkEnd w:id="650"/>
    </w:p>
    <w:p>
      <w:pPr>
        <w:pageBreakBefore w:val="0"/>
        <w:overflowPunct/>
        <w:topLinePunct w:val="0"/>
        <w:bidi w:val="0"/>
        <w:spacing w:line="576" w:lineRule="exact"/>
        <w:ind w:left="0" w:leftChars="0"/>
        <w:rPr>
          <w:rFonts w:hint="default" w:cs="Times New Roman"/>
          <w:color w:val="auto"/>
          <w:lang w:val="en-US" w:eastAsia="zh-CN"/>
        </w:rPr>
      </w:pPr>
      <w:bookmarkStart w:id="651" w:name="_Toc21388"/>
      <w:bookmarkStart w:id="652" w:name="_Toc6670"/>
      <w:r>
        <w:rPr>
          <w:rFonts w:hint="eastAsia" w:cs="Times New Roman"/>
          <w:b/>
          <w:bCs/>
          <w:color w:val="auto"/>
          <w:lang w:val="en-US" w:eastAsia="zh-CN"/>
        </w:rPr>
        <w:t>1.总寨塬智能温室园区道路工程绩效目标：</w:t>
      </w:r>
      <w:r>
        <w:rPr>
          <w:rFonts w:hint="eastAsia" w:cs="Times New Roman"/>
          <w:color w:val="auto"/>
          <w:lang w:val="en-US" w:eastAsia="zh-CN"/>
        </w:rPr>
        <w:t>修建园区简易砂石道路，新建道路全长</w:t>
      </w:r>
      <w:r>
        <w:rPr>
          <w:rFonts w:hint="eastAsia" w:ascii="Times New Roman" w:hAnsi="Times New Roman" w:eastAsia="仿宋_GB2312" w:cs="Times New Roman"/>
          <w:color w:val="auto"/>
          <w:sz w:val="32"/>
          <w:szCs w:val="32"/>
          <w:highlight w:val="none"/>
          <w:lang w:val="en-US" w:eastAsia="zh-CN"/>
        </w:rPr>
        <w:t>1.932km，新建U型砼边沟（50*50）1848m，新建砼圆筒涵（d=45）58m，</w:t>
      </w:r>
      <w:r>
        <w:rPr>
          <w:rFonts w:hint="eastAsia" w:cs="Times New Roman"/>
          <w:color w:val="auto"/>
          <w:lang w:val="en-US" w:eastAsia="zh-CN"/>
        </w:rPr>
        <w:t>彻底解决园区交通问题，方便种植户蔬菜流通，增加种植效益，完善园区基础设施建设，为园区后期发展奠定基础。</w:t>
      </w:r>
    </w:p>
    <w:p>
      <w:pPr>
        <w:pageBreakBefore w:val="0"/>
        <w:overflowPunct/>
        <w:topLinePunct w:val="0"/>
        <w:bidi w:val="0"/>
        <w:spacing w:line="576" w:lineRule="exact"/>
        <w:ind w:left="0" w:leftChars="0"/>
        <w:outlineLvl w:val="9"/>
        <w:rPr>
          <w:rFonts w:hint="eastAsia" w:cs="Times New Roman"/>
          <w:color w:val="auto"/>
          <w:lang w:val="zh-CN"/>
        </w:rPr>
      </w:pPr>
      <w:bookmarkStart w:id="653" w:name="_Toc26637"/>
      <w:bookmarkStart w:id="654" w:name="_Toc8618"/>
      <w:bookmarkStart w:id="655" w:name="_Toc2580"/>
      <w:r>
        <w:rPr>
          <w:rFonts w:hint="eastAsia" w:cs="Times New Roman"/>
          <w:b/>
          <w:bCs/>
          <w:color w:val="auto"/>
          <w:lang w:val="en-US" w:eastAsia="zh-CN"/>
        </w:rPr>
        <w:t>2.总寨塬智能温室园区排水工程绩效目标：</w:t>
      </w:r>
      <w:r>
        <w:rPr>
          <w:rFonts w:hint="eastAsia" w:cs="Times New Roman"/>
          <w:b w:val="0"/>
          <w:bCs w:val="0"/>
          <w:color w:val="auto"/>
          <w:lang w:val="en-US" w:eastAsia="zh-CN"/>
        </w:rPr>
        <w:t>新建干沟</w:t>
      </w:r>
      <w:r>
        <w:rPr>
          <w:rFonts w:hint="eastAsia" w:ascii="Times New Roman" w:hAnsi="Times New Roman" w:eastAsia="仿宋_GB2312" w:cs="Times New Roman"/>
          <w:color w:val="auto"/>
          <w:sz w:val="32"/>
          <w:szCs w:val="32"/>
          <w:highlight w:val="none"/>
          <w:lang w:val="en-US" w:eastAsia="zh-CN"/>
        </w:rPr>
        <w:t>549m，新建支沟3822m（其中温棚段无盖板支沟3475m，穿路段盖板支沟347m），新建干沟陡坡2座、支沟陡坡6座</w:t>
      </w:r>
      <w:r>
        <w:rPr>
          <w:rFonts w:hint="eastAsia" w:cs="Times New Roman"/>
          <w:color w:val="auto"/>
          <w:lang w:val="en-US" w:eastAsia="zh-CN"/>
        </w:rPr>
        <w:t>，彻底解决园区排水问题，减少园区因强降雨等天气对蔬菜生产的影响，增加种植户收入。</w:t>
      </w:r>
    </w:p>
    <w:p>
      <w:pPr>
        <w:pageBreakBefore w:val="0"/>
        <w:overflowPunct/>
        <w:topLinePunct w:val="0"/>
        <w:autoSpaceDE w:val="0"/>
        <w:autoSpaceDN w:val="0"/>
        <w:bidi w:val="0"/>
        <w:spacing w:line="576" w:lineRule="exact"/>
        <w:ind w:left="0" w:leftChars="0"/>
        <w:jc w:val="left"/>
        <w:outlineLvl w:val="0"/>
        <w:rPr>
          <w:rFonts w:hint="eastAsia" w:ascii="黑体" w:hAnsi="黑体" w:eastAsia="黑体" w:cs="黑体"/>
          <w:b/>
          <w:bCs/>
          <w:color w:val="auto"/>
          <w:szCs w:val="32"/>
          <w:lang w:val="zh-CN"/>
        </w:rPr>
      </w:pPr>
      <w:bookmarkStart w:id="656" w:name="_Toc5476"/>
      <w:bookmarkStart w:id="657" w:name="_Toc4982"/>
      <w:r>
        <w:rPr>
          <w:rFonts w:hint="eastAsia" w:ascii="黑体" w:hAnsi="黑体" w:eastAsia="黑体" w:cs="黑体"/>
          <w:b/>
          <w:bCs/>
          <w:color w:val="auto"/>
          <w:szCs w:val="32"/>
          <w:lang w:val="zh-CN"/>
        </w:rPr>
        <w:t>三、评价基本情况</w:t>
      </w:r>
      <w:bookmarkEnd w:id="651"/>
      <w:bookmarkEnd w:id="652"/>
      <w:bookmarkEnd w:id="653"/>
      <w:bookmarkEnd w:id="654"/>
      <w:bookmarkEnd w:id="655"/>
      <w:bookmarkEnd w:id="656"/>
      <w:bookmarkEnd w:id="657"/>
    </w:p>
    <w:p>
      <w:pPr>
        <w:pageBreakBefore w:val="0"/>
        <w:overflowPunct/>
        <w:topLinePunct w:val="0"/>
        <w:bidi w:val="0"/>
        <w:spacing w:line="576" w:lineRule="exact"/>
        <w:ind w:left="0" w:leftChars="0" w:firstLine="643"/>
        <w:outlineLvl w:val="1"/>
        <w:rPr>
          <w:rFonts w:hint="eastAsia" w:ascii="楷体_GB2312" w:hAnsi="楷体_GB2312" w:eastAsia="楷体_GB2312" w:cs="楷体_GB2312"/>
          <w:b/>
          <w:bCs/>
          <w:color w:val="auto"/>
          <w:szCs w:val="32"/>
          <w:lang w:val="zh-CN"/>
        </w:rPr>
      </w:pPr>
      <w:bookmarkStart w:id="658" w:name="_Toc29387"/>
      <w:bookmarkStart w:id="659" w:name="_Toc6980"/>
      <w:bookmarkStart w:id="660" w:name="_Toc13372"/>
      <w:bookmarkStart w:id="661" w:name="_Toc28161"/>
      <w:bookmarkStart w:id="662" w:name="_Toc16118"/>
      <w:bookmarkStart w:id="663" w:name="_Toc23931"/>
      <w:bookmarkStart w:id="664" w:name="_Toc10810"/>
      <w:bookmarkStart w:id="665" w:name="_Toc9549"/>
      <w:bookmarkStart w:id="666" w:name="_Toc23159"/>
      <w:bookmarkStart w:id="667" w:name="_Toc12523"/>
      <w:bookmarkStart w:id="668" w:name="_Toc19480"/>
      <w:bookmarkStart w:id="669" w:name="_Toc11847"/>
      <w:bookmarkStart w:id="670" w:name="_Toc17094"/>
      <w:bookmarkStart w:id="671" w:name="_Toc16205"/>
      <w:bookmarkStart w:id="672" w:name="_Toc8665"/>
      <w:bookmarkStart w:id="673" w:name="_Toc10624"/>
      <w:r>
        <w:rPr>
          <w:rFonts w:hint="eastAsia" w:ascii="楷体_GB2312" w:hAnsi="楷体_GB2312" w:eastAsia="楷体_GB2312" w:cs="楷体_GB2312"/>
          <w:b/>
          <w:bCs/>
          <w:color w:val="auto"/>
          <w:szCs w:val="32"/>
          <w:lang w:val="zh-CN"/>
        </w:rPr>
        <w:fldChar w:fldCharType="begin"/>
      </w:r>
      <w:r>
        <w:rPr>
          <w:rFonts w:hint="eastAsia" w:ascii="楷体_GB2312" w:hAnsi="楷体_GB2312" w:eastAsia="楷体_GB2312" w:cs="楷体_GB2312"/>
          <w:b/>
          <w:bCs/>
          <w:color w:val="auto"/>
          <w:szCs w:val="32"/>
          <w:lang w:val="zh-CN"/>
        </w:rPr>
        <w:instrText xml:space="preserve"> HYPERLINK \l _Toc14927 </w:instrText>
      </w:r>
      <w:r>
        <w:rPr>
          <w:rFonts w:hint="eastAsia" w:ascii="楷体_GB2312" w:hAnsi="楷体_GB2312" w:eastAsia="楷体_GB2312" w:cs="楷体_GB2312"/>
          <w:b/>
          <w:bCs/>
          <w:color w:val="auto"/>
          <w:szCs w:val="32"/>
          <w:lang w:val="zh-CN"/>
        </w:rPr>
        <w:fldChar w:fldCharType="separate"/>
      </w:r>
      <w:r>
        <w:rPr>
          <w:rFonts w:hint="eastAsia" w:ascii="楷体_GB2312" w:hAnsi="楷体_GB2312" w:eastAsia="楷体_GB2312" w:cs="楷体_GB2312"/>
          <w:b/>
          <w:bCs/>
          <w:color w:val="auto"/>
          <w:szCs w:val="32"/>
          <w:lang w:val="zh-CN"/>
        </w:rPr>
        <w:t>（一）绩效评价目的</w:t>
      </w:r>
      <w:bookmarkEnd w:id="658"/>
      <w:bookmarkEnd w:id="659"/>
      <w:bookmarkEnd w:id="660"/>
      <w:bookmarkEnd w:id="661"/>
      <w:bookmarkEnd w:id="662"/>
      <w:bookmarkEnd w:id="663"/>
      <w:bookmarkEnd w:id="664"/>
      <w:bookmarkEnd w:id="665"/>
      <w:bookmarkEnd w:id="666"/>
      <w:bookmarkEnd w:id="667"/>
      <w:bookmarkEnd w:id="668"/>
      <w:bookmarkEnd w:id="669"/>
    </w:p>
    <w:p>
      <w:pPr>
        <w:pageBreakBefore w:val="0"/>
        <w:overflowPunct/>
        <w:topLinePunct w:val="0"/>
        <w:bidi w:val="0"/>
        <w:spacing w:line="576" w:lineRule="exact"/>
        <w:ind w:left="0" w:leftChars="0" w:firstLine="643"/>
        <w:outlineLvl w:val="9"/>
        <w:rPr>
          <w:rFonts w:hint="eastAsia" w:eastAsia="楷体_GB2312" w:cs="仿宋_GB2312"/>
          <w:color w:val="auto"/>
          <w:szCs w:val="32"/>
          <w:lang w:eastAsia="zh-CN"/>
        </w:rPr>
      </w:pPr>
      <w:r>
        <w:rPr>
          <w:rFonts w:hint="eastAsia" w:ascii="楷体_GB2312" w:hAnsi="楷体_GB2312" w:eastAsia="楷体_GB2312" w:cs="楷体_GB2312"/>
          <w:b/>
          <w:bCs/>
          <w:color w:val="auto"/>
          <w:szCs w:val="32"/>
          <w:lang w:val="zh-CN"/>
        </w:rPr>
        <w:fldChar w:fldCharType="end"/>
      </w:r>
      <w:r>
        <w:rPr>
          <w:rFonts w:hint="eastAsia" w:ascii="仿宋_GB2312" w:hAnsi="仿宋_GB2312" w:eastAsia="仿宋_GB2312" w:cs="仿宋_GB2312"/>
          <w:color w:val="auto"/>
          <w:sz w:val="32"/>
          <w:szCs w:val="32"/>
          <w:highlight w:val="none"/>
        </w:rPr>
        <w:t>通过运用规范的绩效评价指标体系和科学的绩效评价方法，全面、客观评价</w:t>
      </w:r>
      <w:r>
        <w:rPr>
          <w:rFonts w:hint="eastAsia" w:cs="仿宋_GB2312"/>
          <w:color w:val="auto"/>
          <w:sz w:val="32"/>
          <w:szCs w:val="32"/>
          <w:highlight w:val="none"/>
          <w:lang w:val="en-US" w:eastAsia="zh-CN"/>
        </w:rPr>
        <w:t>西宁市城中区</w:t>
      </w:r>
      <w:r>
        <w:rPr>
          <w:rFonts w:hint="eastAsia" w:cs="Times New Roman"/>
          <w:color w:val="auto"/>
          <w:lang w:val="en-US" w:eastAsia="zh-CN"/>
        </w:rPr>
        <w:t>总寨塬智能温室园区道路工程和排水工程项目</w:t>
      </w:r>
      <w:r>
        <w:rPr>
          <w:rFonts w:hint="eastAsia" w:ascii="仿宋_GB2312" w:hAnsi="仿宋_GB2312" w:eastAsia="仿宋_GB2312" w:cs="仿宋_GB2312"/>
          <w:color w:val="auto"/>
          <w:sz w:val="32"/>
          <w:szCs w:val="32"/>
          <w:highlight w:val="none"/>
          <w:lang w:eastAsia="zh-CN"/>
        </w:rPr>
        <w:t>的实施情况、资金支出情况</w:t>
      </w:r>
      <w:r>
        <w:rPr>
          <w:rFonts w:hint="eastAsia" w:ascii="仿宋_GB2312" w:hAnsi="仿宋_GB2312" w:eastAsia="仿宋_GB2312" w:cs="仿宋_GB2312"/>
          <w:color w:val="auto"/>
          <w:sz w:val="32"/>
          <w:szCs w:val="32"/>
          <w:highlight w:val="none"/>
        </w:rPr>
        <w:t>和效益发挥等方面的规范性、合理性、有效性。同时，及时总结经验，发现不足，针对存在的问题提出合理化建议，提高</w:t>
      </w:r>
      <w:r>
        <w:rPr>
          <w:rFonts w:hint="eastAsia" w:ascii="仿宋_GB2312" w:hAnsi="仿宋_GB2312" w:eastAsia="仿宋_GB2312" w:cs="仿宋_GB2312"/>
          <w:color w:val="auto"/>
          <w:sz w:val="32"/>
          <w:szCs w:val="32"/>
          <w:highlight w:val="none"/>
          <w:lang w:eastAsia="zh-CN"/>
        </w:rPr>
        <w:t>项目实施单位</w:t>
      </w:r>
      <w:r>
        <w:rPr>
          <w:rFonts w:hint="eastAsia" w:ascii="仿宋_GB2312" w:hAnsi="仿宋_GB2312" w:eastAsia="仿宋_GB2312" w:cs="仿宋_GB2312"/>
          <w:color w:val="auto"/>
          <w:sz w:val="32"/>
          <w:szCs w:val="32"/>
          <w:highlight w:val="none"/>
        </w:rPr>
        <w:t>的管理能力，</w:t>
      </w:r>
      <w:r>
        <w:rPr>
          <w:rFonts w:hint="eastAsia" w:ascii="仿宋_GB2312" w:hAnsi="仿宋_GB2312" w:eastAsia="仿宋_GB2312" w:cs="仿宋_GB2312"/>
          <w:color w:val="auto"/>
          <w:sz w:val="32"/>
          <w:szCs w:val="32"/>
          <w:highlight w:val="none"/>
          <w:lang w:eastAsia="zh-CN"/>
        </w:rPr>
        <w:t>从而更好地发挥财政资金的效益</w:t>
      </w:r>
      <w:r>
        <w:rPr>
          <w:rFonts w:hint="eastAsia" w:ascii="仿宋_GB2312" w:hAnsi="仿宋_GB2312" w:eastAsia="仿宋_GB2312" w:cs="仿宋_GB2312"/>
          <w:color w:val="auto"/>
          <w:sz w:val="32"/>
          <w:szCs w:val="32"/>
          <w:highlight w:val="none"/>
        </w:rPr>
        <w:t>。</w:t>
      </w:r>
    </w:p>
    <w:bookmarkEnd w:id="670"/>
    <w:bookmarkEnd w:id="671"/>
    <w:bookmarkEnd w:id="672"/>
    <w:bookmarkEnd w:id="673"/>
    <w:p>
      <w:pPr>
        <w:pageBreakBefore w:val="0"/>
        <w:overflowPunct/>
        <w:topLinePunct w:val="0"/>
        <w:bidi w:val="0"/>
        <w:spacing w:line="576" w:lineRule="exact"/>
        <w:ind w:left="0" w:leftChars="0" w:firstLine="643"/>
        <w:outlineLvl w:val="1"/>
        <w:rPr>
          <w:rFonts w:ascii="楷体_GB2312" w:hAnsi="楷体_GB2312" w:eastAsia="楷体_GB2312" w:cs="楷体_GB2312"/>
          <w:b/>
          <w:bCs/>
          <w:color w:val="auto"/>
          <w:szCs w:val="32"/>
        </w:rPr>
      </w:pPr>
      <w:bookmarkStart w:id="674" w:name="_Toc14203"/>
      <w:bookmarkStart w:id="675" w:name="_Toc20603"/>
      <w:bookmarkStart w:id="676" w:name="_Toc26329"/>
      <w:bookmarkStart w:id="677" w:name="_Toc2896"/>
      <w:bookmarkStart w:id="678" w:name="_Toc21803"/>
      <w:bookmarkStart w:id="679" w:name="_Toc27881"/>
      <w:bookmarkStart w:id="680" w:name="_Toc1968"/>
      <w:bookmarkStart w:id="681" w:name="_Toc6831"/>
      <w:bookmarkStart w:id="682" w:name="_Toc318"/>
      <w:bookmarkStart w:id="683" w:name="_Toc22081"/>
      <w:bookmarkStart w:id="684" w:name="_Toc18116"/>
      <w:bookmarkStart w:id="685" w:name="_Toc30182"/>
      <w:bookmarkStart w:id="686" w:name="_Toc24232"/>
      <w:bookmarkStart w:id="687" w:name="_Toc4247"/>
      <w:r>
        <w:rPr>
          <w:rFonts w:hint="eastAsia" w:ascii="楷体_GB2312" w:hAnsi="楷体_GB2312" w:eastAsia="楷体_GB2312" w:cs="楷体_GB2312"/>
          <w:b/>
          <w:bCs/>
          <w:color w:val="auto"/>
          <w:szCs w:val="32"/>
        </w:rPr>
        <w:fldChar w:fldCharType="begin"/>
      </w:r>
      <w:r>
        <w:rPr>
          <w:rFonts w:hint="eastAsia" w:ascii="楷体_GB2312" w:hAnsi="楷体_GB2312" w:eastAsia="楷体_GB2312" w:cs="楷体_GB2312"/>
          <w:b/>
          <w:bCs/>
          <w:color w:val="auto"/>
          <w:szCs w:val="32"/>
        </w:rPr>
        <w:instrText xml:space="preserve"> HYPERLINK \l _Toc22735 </w:instrText>
      </w:r>
      <w:r>
        <w:rPr>
          <w:rFonts w:hint="eastAsia" w:ascii="楷体_GB2312" w:hAnsi="楷体_GB2312" w:eastAsia="楷体_GB2312" w:cs="楷体_GB2312"/>
          <w:b/>
          <w:bCs/>
          <w:color w:val="auto"/>
          <w:szCs w:val="32"/>
        </w:rPr>
        <w:fldChar w:fldCharType="separate"/>
      </w:r>
      <w:r>
        <w:rPr>
          <w:rFonts w:hint="eastAsia" w:ascii="楷体_GB2312" w:hAnsi="楷体_GB2312" w:eastAsia="楷体_GB2312" w:cs="楷体_GB2312"/>
          <w:b/>
          <w:bCs/>
          <w:color w:val="auto"/>
          <w:szCs w:val="32"/>
        </w:rPr>
        <w:t>（二）绩效评价对象</w:t>
      </w:r>
      <w:r>
        <w:rPr>
          <w:rFonts w:hint="eastAsia" w:ascii="楷体_GB2312" w:hAnsi="楷体_GB2312" w:eastAsia="楷体_GB2312" w:cs="楷体_GB2312"/>
          <w:b/>
          <w:bCs/>
          <w:color w:val="auto"/>
          <w:szCs w:val="32"/>
        </w:rPr>
        <w:fldChar w:fldCharType="end"/>
      </w:r>
      <w:r>
        <w:rPr>
          <w:rFonts w:hint="eastAsia" w:ascii="楷体_GB2312" w:hAnsi="楷体_GB2312" w:eastAsia="楷体_GB2312" w:cs="楷体_GB2312"/>
          <w:b/>
          <w:bCs/>
          <w:color w:val="auto"/>
          <w:szCs w:val="32"/>
        </w:rPr>
        <w:t>和范围</w:t>
      </w:r>
      <w:bookmarkEnd w:id="674"/>
      <w:bookmarkEnd w:id="675"/>
      <w:bookmarkEnd w:id="676"/>
      <w:bookmarkEnd w:id="677"/>
      <w:bookmarkEnd w:id="678"/>
      <w:bookmarkEnd w:id="679"/>
      <w:bookmarkEnd w:id="680"/>
      <w:bookmarkEnd w:id="681"/>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Times New Roman" w:hAnsi="Times New Roman" w:eastAsia="仿宋_GB2312" w:cs="Times New Roman"/>
          <w:color w:val="auto"/>
          <w:sz w:val="32"/>
          <w:szCs w:val="32"/>
          <w:highlight w:val="none"/>
          <w:lang w:val="en-US" w:eastAsia="zh-CN"/>
        </w:rPr>
      </w:pPr>
      <w:bookmarkStart w:id="688" w:name="_Toc28731"/>
      <w:r>
        <w:rPr>
          <w:rFonts w:hint="eastAsia" w:ascii="仿宋_GB2312" w:hAnsi="仿宋_GB2312" w:eastAsia="仿宋_GB2312" w:cs="仿宋_GB2312"/>
          <w:color w:val="auto"/>
          <w:sz w:val="32"/>
          <w:szCs w:val="32"/>
          <w:highlight w:val="none"/>
          <w:lang w:val="en-US" w:eastAsia="zh-CN"/>
        </w:rPr>
        <w:t>绩效评价对象：</w:t>
      </w:r>
      <w:r>
        <w:rPr>
          <w:rFonts w:hint="eastAsia" w:cs="仿宋_GB2312"/>
          <w:color w:val="auto"/>
          <w:sz w:val="32"/>
          <w:szCs w:val="32"/>
          <w:highlight w:val="none"/>
          <w:lang w:val="en-US" w:eastAsia="zh-CN"/>
        </w:rPr>
        <w:t>西宁市城中区</w:t>
      </w:r>
      <w:r>
        <w:rPr>
          <w:rFonts w:hint="eastAsia" w:cs="Times New Roman"/>
          <w:color w:val="auto"/>
          <w:lang w:val="en-US" w:eastAsia="zh-CN"/>
        </w:rPr>
        <w:t>总寨塬智能温室园区道路工程项目和排水工程项目资金</w:t>
      </w:r>
      <w:r>
        <w:rPr>
          <w:rFonts w:hint="eastAsia" w:ascii="Times New Roman" w:hAnsi="Times New Roman" w:eastAsia="仿宋_GB2312" w:cs="Times New Roman"/>
          <w:color w:val="auto"/>
          <w:sz w:val="32"/>
          <w:szCs w:val="32"/>
          <w:highlight w:val="none"/>
          <w:lang w:val="en-US" w:eastAsia="zh-CN"/>
        </w:rPr>
        <w:t>332.82万元。</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ascii="仿宋_GB2312" w:hAnsi="仿宋_GB2312" w:eastAsia="仿宋_GB2312" w:cs="仿宋_GB2312"/>
          <w:color w:val="auto"/>
          <w:sz w:val="32"/>
          <w:szCs w:val="32"/>
          <w:highlight w:val="none"/>
          <w:lang w:val="en-US" w:eastAsia="zh-CN"/>
        </w:rPr>
      </w:pPr>
      <w:r>
        <w:rPr>
          <w:rFonts w:hint="eastAsia" w:ascii="Times New Roman" w:hAnsi="Times New Roman" w:eastAsia="仿宋_GB2312" w:cs="Times New Roman"/>
          <w:color w:val="auto"/>
          <w:sz w:val="32"/>
          <w:szCs w:val="32"/>
          <w:highlight w:val="none"/>
          <w:lang w:val="en-US" w:eastAsia="zh-CN"/>
        </w:rPr>
        <w:t>评价范围：2020年西宁市城</w:t>
      </w:r>
      <w:r>
        <w:rPr>
          <w:rFonts w:hint="eastAsia" w:cs="仿宋_GB2312"/>
          <w:color w:val="auto"/>
          <w:sz w:val="32"/>
          <w:szCs w:val="32"/>
          <w:highlight w:val="none"/>
          <w:lang w:val="en-US" w:eastAsia="zh-CN"/>
        </w:rPr>
        <w:t>中区农业农村和乡村振兴局实施的西宁市城中区总寨塬智能温室园区道路工程和排水工程项目全部建设内容。</w:t>
      </w:r>
    </w:p>
    <w:p>
      <w:pPr>
        <w:pageBreakBefore w:val="0"/>
        <w:overflowPunct/>
        <w:topLinePunct w:val="0"/>
        <w:bidi w:val="0"/>
        <w:spacing w:line="576" w:lineRule="exact"/>
        <w:ind w:left="0" w:leftChars="0" w:firstLine="643"/>
        <w:outlineLvl w:val="1"/>
        <w:rPr>
          <w:rFonts w:ascii="楷体_GB2312" w:hAnsi="楷体_GB2312" w:eastAsia="楷体_GB2312" w:cs="楷体_GB2312"/>
          <w:b/>
          <w:bCs/>
          <w:color w:val="auto"/>
          <w:szCs w:val="32"/>
        </w:rPr>
      </w:pPr>
      <w:bookmarkStart w:id="689" w:name="_Toc23645"/>
      <w:bookmarkStart w:id="690" w:name="_Toc11727"/>
      <w:bookmarkStart w:id="691" w:name="_Toc15405"/>
      <w:bookmarkStart w:id="692" w:name="_Toc13905"/>
      <w:bookmarkStart w:id="693" w:name="_Toc17764"/>
      <w:r>
        <w:rPr>
          <w:rFonts w:hint="eastAsia" w:ascii="楷体_GB2312" w:hAnsi="楷体_GB2312" w:eastAsia="楷体_GB2312" w:cs="楷体_GB2312"/>
          <w:b/>
          <w:bCs/>
          <w:color w:val="auto"/>
          <w:szCs w:val="32"/>
        </w:rPr>
        <w:t>（三）绩效评价依据</w:t>
      </w:r>
      <w:bookmarkEnd w:id="682"/>
      <w:bookmarkEnd w:id="683"/>
      <w:bookmarkEnd w:id="684"/>
      <w:bookmarkEnd w:id="685"/>
      <w:bookmarkEnd w:id="686"/>
      <w:bookmarkEnd w:id="687"/>
      <w:bookmarkEnd w:id="688"/>
      <w:bookmarkEnd w:id="689"/>
      <w:bookmarkEnd w:id="690"/>
      <w:bookmarkEnd w:id="691"/>
      <w:bookmarkEnd w:id="692"/>
      <w:bookmarkEnd w:id="693"/>
    </w:p>
    <w:p>
      <w:pPr>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Cs/>
          <w:color w:val="auto"/>
          <w:sz w:val="32"/>
          <w:szCs w:val="32"/>
          <w:highlight w:val="none"/>
        </w:rPr>
      </w:pPr>
      <w:bookmarkStart w:id="694" w:name="_Toc11457"/>
      <w:bookmarkStart w:id="695" w:name="_Toc20288"/>
      <w:bookmarkStart w:id="696" w:name="_Toc7509"/>
      <w:r>
        <w:rPr>
          <w:rFonts w:hint="eastAsia" w:ascii="仿宋_GB2312" w:hAnsi="仿宋_GB2312" w:eastAsia="仿宋_GB2312" w:cs="仿宋_GB2312"/>
          <w:bCs/>
          <w:color w:val="auto"/>
          <w:sz w:val="32"/>
          <w:szCs w:val="32"/>
          <w:highlight w:val="none"/>
        </w:rPr>
        <w:t>结合</w:t>
      </w:r>
      <w:r>
        <w:rPr>
          <w:rFonts w:hint="eastAsia" w:cs="仿宋_GB2312"/>
          <w:color w:val="auto"/>
          <w:sz w:val="32"/>
          <w:szCs w:val="32"/>
          <w:highlight w:val="none"/>
          <w:lang w:val="en-US" w:eastAsia="zh-CN"/>
        </w:rPr>
        <w:t>西宁市城中区</w:t>
      </w:r>
      <w:r>
        <w:rPr>
          <w:rFonts w:hint="eastAsia" w:cs="Times New Roman"/>
          <w:color w:val="auto"/>
          <w:lang w:val="en-US" w:eastAsia="zh-CN"/>
        </w:rPr>
        <w:t>总寨塬智能温室园区道路工程和排水工程项目</w:t>
      </w:r>
      <w:r>
        <w:rPr>
          <w:rFonts w:hint="eastAsia" w:ascii="仿宋_GB2312" w:hAnsi="仿宋_GB2312" w:eastAsia="仿宋_GB2312" w:cs="仿宋_GB2312"/>
          <w:bCs/>
          <w:color w:val="auto"/>
          <w:sz w:val="32"/>
          <w:szCs w:val="32"/>
          <w:highlight w:val="none"/>
        </w:rPr>
        <w:t>的实际，此次绩效评价具体评价依据如下（包含但不限于以下内容）：</w:t>
      </w:r>
    </w:p>
    <w:p>
      <w:pPr>
        <w:pageBreakBefore w:val="0"/>
        <w:overflowPunct/>
        <w:topLinePunct w:val="0"/>
        <w:bidi w:val="0"/>
        <w:spacing w:line="576" w:lineRule="exact"/>
        <w:ind w:left="0" w:leftChars="0" w:firstLine="643"/>
        <w:outlineLvl w:val="2"/>
        <w:rPr>
          <w:rFonts w:hint="eastAsia" w:cs="Times New Roman"/>
          <w:color w:val="auto"/>
        </w:rPr>
      </w:pPr>
      <w:bookmarkStart w:id="697" w:name="_Toc9844"/>
      <w:bookmarkStart w:id="698" w:name="_Toc15279"/>
      <w:r>
        <w:rPr>
          <w:rFonts w:hint="eastAsia" w:ascii="仿宋_GB2312" w:hAnsi="仿宋_GB2312" w:eastAsia="仿宋_GB2312" w:cs="仿宋_GB2312"/>
          <w:b/>
          <w:bCs/>
          <w:color w:val="auto"/>
          <w:kern w:val="0"/>
          <w:lang w:val="en-US" w:eastAsia="zh-CN"/>
        </w:rPr>
        <w:t>1.</w:t>
      </w:r>
      <w:r>
        <w:rPr>
          <w:rFonts w:hint="eastAsia" w:ascii="仿宋_GB2312" w:hAnsi="仿宋_GB2312" w:eastAsia="仿宋_GB2312" w:cs="仿宋_GB2312"/>
          <w:b/>
          <w:bCs/>
          <w:color w:val="auto"/>
          <w:kern w:val="0"/>
        </w:rPr>
        <w:t>预算绩效管理相关依据</w:t>
      </w:r>
      <w:bookmarkEnd w:id="697"/>
      <w:bookmarkEnd w:id="698"/>
    </w:p>
    <w:p>
      <w:pPr>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Cs/>
          <w:color w:val="auto"/>
          <w:sz w:val="32"/>
          <w:szCs w:val="32"/>
          <w:highlight w:val="none"/>
        </w:rPr>
      </w:pPr>
      <w:r>
        <w:rPr>
          <w:rFonts w:hint="eastAsia" w:cs="仿宋_GB2312"/>
          <w:bCs/>
          <w:color w:val="auto"/>
          <w:sz w:val="32"/>
          <w:szCs w:val="32"/>
          <w:highlight w:val="none"/>
          <w:lang w:eastAsia="zh-CN"/>
        </w:rPr>
        <w:t>（</w:t>
      </w:r>
      <w:r>
        <w:rPr>
          <w:rFonts w:hint="eastAsia" w:cs="仿宋_GB2312"/>
          <w:bCs/>
          <w:color w:val="auto"/>
          <w:sz w:val="32"/>
          <w:szCs w:val="32"/>
          <w:highlight w:val="none"/>
          <w:lang w:val="en-US" w:eastAsia="zh-CN"/>
        </w:rPr>
        <w:t>1</w:t>
      </w:r>
      <w:r>
        <w:rPr>
          <w:rFonts w:hint="eastAsia"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《中华人民共和国预算法》；</w:t>
      </w:r>
    </w:p>
    <w:p>
      <w:pPr>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Cs/>
          <w:color w:val="auto"/>
          <w:sz w:val="32"/>
          <w:szCs w:val="32"/>
          <w:highlight w:val="none"/>
          <w:lang w:eastAsia="zh-CN"/>
        </w:rPr>
      </w:pPr>
      <w:r>
        <w:rPr>
          <w:rFonts w:hint="eastAsia" w:cs="仿宋_GB2312"/>
          <w:bCs/>
          <w:color w:val="auto"/>
          <w:sz w:val="32"/>
          <w:szCs w:val="32"/>
          <w:highlight w:val="none"/>
          <w:lang w:val="en-US" w:eastAsia="zh-CN"/>
        </w:rPr>
        <w:t>（2）</w:t>
      </w:r>
      <w:r>
        <w:rPr>
          <w:rFonts w:hint="eastAsia" w:ascii="仿宋_GB2312" w:hAnsi="仿宋_GB2312" w:eastAsia="仿宋_GB2312" w:cs="仿宋_GB2312"/>
          <w:bCs/>
          <w:color w:val="auto"/>
          <w:sz w:val="32"/>
          <w:szCs w:val="32"/>
          <w:highlight w:val="none"/>
        </w:rPr>
        <w:t>《中华人民共和国预算法实施条例》（中华人民共和国国务院令 第</w:t>
      </w:r>
      <w:r>
        <w:rPr>
          <w:rFonts w:hint="eastAsia" w:ascii="Times New Roman" w:hAnsi="Times New Roman" w:eastAsia="仿宋_GB2312" w:cs="Times New Roman"/>
          <w:color w:val="auto"/>
          <w:sz w:val="32"/>
          <w:szCs w:val="32"/>
          <w:highlight w:val="none"/>
        </w:rPr>
        <w:t>729</w:t>
      </w:r>
      <w:r>
        <w:rPr>
          <w:rFonts w:hint="eastAsia" w:ascii="仿宋_GB2312" w:hAnsi="仿宋_GB2312" w:eastAsia="仿宋_GB2312" w:cs="仿宋_GB2312"/>
          <w:bCs/>
          <w:color w:val="auto"/>
          <w:sz w:val="32"/>
          <w:szCs w:val="32"/>
          <w:highlight w:val="none"/>
        </w:rPr>
        <w:t>号）</w:t>
      </w:r>
      <w:r>
        <w:rPr>
          <w:rFonts w:hint="eastAsia" w:cs="仿宋_GB2312"/>
          <w:bCs/>
          <w:color w:val="auto"/>
          <w:sz w:val="32"/>
          <w:szCs w:val="32"/>
          <w:highlight w:val="none"/>
          <w:lang w:eastAsia="zh-CN"/>
        </w:rPr>
        <w:t>；</w:t>
      </w:r>
    </w:p>
    <w:p>
      <w:pPr>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bCs/>
          <w:color w:val="auto"/>
          <w:sz w:val="32"/>
          <w:szCs w:val="32"/>
          <w:highlight w:val="none"/>
          <w:lang w:val="en-US" w:eastAsia="zh-CN"/>
        </w:rPr>
      </w:pPr>
      <w:r>
        <w:rPr>
          <w:rFonts w:hint="eastAsia" w:cs="仿宋_GB2312"/>
          <w:bCs/>
          <w:color w:val="auto"/>
          <w:sz w:val="32"/>
          <w:szCs w:val="32"/>
          <w:highlight w:val="none"/>
          <w:lang w:val="en-US" w:eastAsia="zh-CN"/>
        </w:rPr>
        <w:t>（3）《中共中央 国务院关于全面实施预算绩效管理的意见》（中</w:t>
      </w:r>
      <w:r>
        <w:rPr>
          <w:rFonts w:hint="eastAsia" w:ascii="Times New Roman" w:hAnsi="Times New Roman" w:eastAsia="仿宋_GB2312" w:cs="Times New Roman"/>
          <w:color w:val="auto"/>
          <w:sz w:val="32"/>
          <w:szCs w:val="32"/>
          <w:highlight w:val="none"/>
          <w:lang w:val="en-US" w:eastAsia="zh-CN"/>
        </w:rPr>
        <w:t>发〔2018〕34号</w:t>
      </w:r>
      <w:r>
        <w:rPr>
          <w:rFonts w:hint="eastAsia" w:cs="仿宋_GB2312"/>
          <w:bCs/>
          <w:color w:val="auto"/>
          <w:sz w:val="32"/>
          <w:szCs w:val="32"/>
          <w:highlight w:val="none"/>
          <w:lang w:val="en-US" w:eastAsia="zh-CN"/>
        </w:rPr>
        <w:t>）；</w:t>
      </w:r>
    </w:p>
    <w:p>
      <w:pPr>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Cs/>
          <w:color w:val="auto"/>
          <w:sz w:val="32"/>
          <w:szCs w:val="32"/>
          <w:highlight w:val="none"/>
        </w:rPr>
      </w:pPr>
      <w:r>
        <w:rPr>
          <w:rFonts w:hint="eastAsia" w:cs="仿宋_GB2312"/>
          <w:bCs/>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财政部</w:t>
      </w:r>
      <w:r>
        <w:rPr>
          <w:rFonts w:hint="eastAsia" w:ascii="仿宋_GB2312" w:hAnsi="仿宋_GB2312" w:eastAsia="仿宋_GB2312" w:cs="仿宋_GB2312"/>
          <w:color w:val="auto"/>
          <w:sz w:val="32"/>
          <w:szCs w:val="32"/>
          <w:highlight w:val="none"/>
        </w:rPr>
        <w:t>关于贯彻落实</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中共中央 国务院关于全面实施预算绩效管理的意见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的通知》（财预</w:t>
      </w:r>
      <w:r>
        <w:rPr>
          <w:rFonts w:hint="eastAsia" w:ascii="Times New Roman" w:hAnsi="Times New Roman" w:eastAsia="仿宋_GB2312" w:cs="Times New Roman"/>
          <w:color w:val="auto"/>
          <w:sz w:val="32"/>
          <w:szCs w:val="32"/>
          <w:highlight w:val="none"/>
        </w:rPr>
        <w:t>〔2018〕167号</w:t>
      </w:r>
      <w:r>
        <w:rPr>
          <w:rFonts w:hint="eastAsia" w:ascii="仿宋_GB2312" w:hAnsi="仿宋_GB2312" w:eastAsia="仿宋_GB2312" w:cs="仿宋_GB2312"/>
          <w:color w:val="auto"/>
          <w:sz w:val="32"/>
          <w:szCs w:val="32"/>
          <w:highlight w:val="none"/>
        </w:rPr>
        <w:t>）；</w:t>
      </w:r>
    </w:p>
    <w:p>
      <w:pPr>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Cs/>
          <w:color w:val="auto"/>
          <w:sz w:val="32"/>
          <w:szCs w:val="32"/>
          <w:highlight w:val="none"/>
          <w:lang w:eastAsia="zh-CN"/>
        </w:rPr>
      </w:pPr>
      <w:r>
        <w:rPr>
          <w:rFonts w:hint="eastAsia" w:cs="仿宋_GB2312"/>
          <w:bCs/>
          <w:color w:val="auto"/>
          <w:sz w:val="32"/>
          <w:szCs w:val="32"/>
          <w:highlight w:val="none"/>
          <w:lang w:val="en-US" w:eastAsia="zh-CN"/>
        </w:rPr>
        <w:t>（5）</w:t>
      </w:r>
      <w:r>
        <w:rPr>
          <w:rFonts w:hint="eastAsia" w:ascii="仿宋_GB2312" w:hAnsi="仿宋_GB2312" w:eastAsia="仿宋_GB2312" w:cs="仿宋_GB2312"/>
          <w:bCs/>
          <w:color w:val="auto"/>
          <w:sz w:val="32"/>
          <w:szCs w:val="32"/>
          <w:highlight w:val="none"/>
        </w:rPr>
        <w:t>《财政部关于印发</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项目支出绩效评价管理办法</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的通知》（财</w:t>
      </w:r>
      <w:r>
        <w:rPr>
          <w:rFonts w:hint="eastAsia" w:ascii="Times New Roman" w:hAnsi="Times New Roman" w:eastAsia="仿宋_GB2312" w:cs="Times New Roman"/>
          <w:color w:val="auto"/>
          <w:sz w:val="32"/>
          <w:szCs w:val="32"/>
          <w:highlight w:val="none"/>
        </w:rPr>
        <w:t>预〔2020〕10号</w:t>
      </w:r>
      <w:r>
        <w:rPr>
          <w:rFonts w:hint="eastAsia" w:ascii="仿宋_GB2312" w:hAnsi="仿宋_GB2312" w:eastAsia="仿宋_GB2312" w:cs="仿宋_GB2312"/>
          <w:bCs/>
          <w:color w:val="auto"/>
          <w:sz w:val="32"/>
          <w:szCs w:val="32"/>
          <w:highlight w:val="none"/>
        </w:rPr>
        <w:t>）</w:t>
      </w:r>
      <w:r>
        <w:rPr>
          <w:rFonts w:hint="eastAsia" w:ascii="仿宋_GB2312" w:hAnsi="仿宋_GB2312" w:eastAsia="仿宋_GB2312" w:cs="仿宋_GB2312"/>
          <w:bCs/>
          <w:color w:val="auto"/>
          <w:sz w:val="32"/>
          <w:szCs w:val="32"/>
          <w:highlight w:val="none"/>
          <w:lang w:eastAsia="zh-CN"/>
        </w:rPr>
        <w:t>；</w:t>
      </w:r>
    </w:p>
    <w:p>
      <w:pPr>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Cs/>
          <w:color w:val="auto"/>
          <w:sz w:val="32"/>
          <w:szCs w:val="32"/>
          <w:highlight w:val="none"/>
          <w:lang w:val="en-US" w:eastAsia="zh-CN"/>
        </w:rPr>
      </w:pPr>
      <w:r>
        <w:rPr>
          <w:rFonts w:hint="eastAsia" w:cs="仿宋_GB2312"/>
          <w:bCs/>
          <w:color w:val="auto"/>
          <w:sz w:val="32"/>
          <w:szCs w:val="32"/>
          <w:highlight w:val="none"/>
          <w:lang w:val="en-US" w:eastAsia="zh-CN"/>
        </w:rPr>
        <w:t>（6）</w:t>
      </w:r>
      <w:r>
        <w:rPr>
          <w:rFonts w:hint="eastAsia" w:ascii="仿宋_GB2312" w:hAnsi="仿宋_GB2312" w:eastAsia="仿宋_GB2312" w:cs="仿宋_GB2312"/>
          <w:bCs/>
          <w:color w:val="auto"/>
          <w:sz w:val="32"/>
          <w:szCs w:val="32"/>
          <w:highlight w:val="none"/>
          <w:lang w:val="en-US" w:eastAsia="zh-CN"/>
        </w:rPr>
        <w:t>《中共</w:t>
      </w:r>
      <w:r>
        <w:rPr>
          <w:rFonts w:hint="eastAsia" w:cs="仿宋_GB2312"/>
          <w:bCs/>
          <w:color w:val="auto"/>
          <w:sz w:val="32"/>
          <w:szCs w:val="32"/>
          <w:highlight w:val="none"/>
          <w:lang w:val="en-US" w:eastAsia="zh-CN"/>
        </w:rPr>
        <w:t>青海</w:t>
      </w:r>
      <w:r>
        <w:rPr>
          <w:rFonts w:hint="eastAsia" w:ascii="仿宋_GB2312" w:hAnsi="仿宋_GB2312" w:eastAsia="仿宋_GB2312" w:cs="仿宋_GB2312"/>
          <w:bCs/>
          <w:color w:val="auto"/>
          <w:sz w:val="32"/>
          <w:szCs w:val="32"/>
          <w:highlight w:val="none"/>
          <w:lang w:val="en-US" w:eastAsia="zh-CN"/>
        </w:rPr>
        <w:t xml:space="preserve">省委 </w:t>
      </w:r>
      <w:r>
        <w:rPr>
          <w:rFonts w:hint="eastAsia" w:cs="仿宋_GB2312"/>
          <w:bCs/>
          <w:color w:val="auto"/>
          <w:sz w:val="32"/>
          <w:szCs w:val="32"/>
          <w:highlight w:val="none"/>
          <w:lang w:val="en-US" w:eastAsia="zh-CN"/>
        </w:rPr>
        <w:t>青海</w:t>
      </w:r>
      <w:r>
        <w:rPr>
          <w:rFonts w:hint="eastAsia" w:ascii="仿宋_GB2312" w:hAnsi="仿宋_GB2312" w:eastAsia="仿宋_GB2312" w:cs="仿宋_GB2312"/>
          <w:bCs/>
          <w:color w:val="auto"/>
          <w:sz w:val="32"/>
          <w:szCs w:val="32"/>
          <w:highlight w:val="none"/>
          <w:lang w:val="en-US" w:eastAsia="zh-CN"/>
        </w:rPr>
        <w:t>省人民政府关于全面实施预算绩效管理的实施意见》（</w:t>
      </w:r>
      <w:r>
        <w:rPr>
          <w:rFonts w:hint="eastAsia" w:cs="仿宋_GB2312"/>
          <w:bCs/>
          <w:color w:val="auto"/>
          <w:sz w:val="32"/>
          <w:szCs w:val="32"/>
          <w:highlight w:val="none"/>
          <w:lang w:val="en-US" w:eastAsia="zh-CN"/>
        </w:rPr>
        <w:t>青</w:t>
      </w:r>
      <w:r>
        <w:rPr>
          <w:rFonts w:hint="eastAsia" w:ascii="Times New Roman" w:hAnsi="Times New Roman" w:eastAsia="仿宋_GB2312" w:cs="Times New Roman"/>
          <w:color w:val="auto"/>
          <w:sz w:val="32"/>
          <w:szCs w:val="32"/>
          <w:highlight w:val="none"/>
          <w:lang w:val="en-US" w:eastAsia="zh-CN"/>
        </w:rPr>
        <w:t>发〔2019〕11号）</w:t>
      </w:r>
      <w:r>
        <w:rPr>
          <w:rFonts w:hint="eastAsia" w:ascii="仿宋_GB2312" w:hAnsi="仿宋_GB2312" w:eastAsia="仿宋_GB2312" w:cs="仿宋_GB2312"/>
          <w:bCs/>
          <w:color w:val="auto"/>
          <w:sz w:val="32"/>
          <w:szCs w:val="32"/>
          <w:highlight w:val="none"/>
          <w:lang w:val="en-US" w:eastAsia="zh-CN"/>
        </w:rPr>
        <w:t>；</w:t>
      </w:r>
    </w:p>
    <w:p>
      <w:pPr>
        <w:pageBreakBefore w:val="0"/>
        <w:overflowPunct/>
        <w:topLinePunct w:val="0"/>
        <w:bidi w:val="0"/>
        <w:spacing w:line="576" w:lineRule="exact"/>
        <w:ind w:left="0" w:leftChars="0" w:firstLine="643"/>
        <w:outlineLvl w:val="2"/>
        <w:rPr>
          <w:rFonts w:hint="eastAsia" w:cs="Times New Roman"/>
          <w:color w:val="auto"/>
          <w:lang w:val="en-US" w:eastAsia="zh-CN"/>
        </w:rPr>
      </w:pPr>
      <w:bookmarkStart w:id="699" w:name="_Toc21706"/>
      <w:bookmarkStart w:id="700" w:name="_Toc25006"/>
      <w:r>
        <w:rPr>
          <w:rFonts w:hint="eastAsia" w:cs="仿宋_GB2312"/>
          <w:b/>
          <w:bCs/>
          <w:color w:val="auto"/>
          <w:kern w:val="0"/>
          <w:lang w:val="en-US" w:eastAsia="zh-CN"/>
        </w:rPr>
        <w:t>2</w:t>
      </w:r>
      <w:r>
        <w:rPr>
          <w:rFonts w:hint="eastAsia" w:ascii="仿宋_GB2312" w:hAnsi="仿宋_GB2312" w:eastAsia="仿宋_GB2312" w:cs="仿宋_GB2312"/>
          <w:b/>
          <w:bCs/>
          <w:color w:val="auto"/>
          <w:kern w:val="0"/>
          <w:lang w:val="en-US" w:eastAsia="zh-CN"/>
        </w:rPr>
        <w:t>.</w:t>
      </w:r>
      <w:r>
        <w:rPr>
          <w:rFonts w:hint="eastAsia" w:cs="仿宋_GB2312"/>
          <w:b/>
          <w:bCs/>
          <w:color w:val="auto"/>
          <w:kern w:val="0"/>
          <w:lang w:val="en-US" w:eastAsia="zh-CN"/>
        </w:rPr>
        <w:t>其他</w:t>
      </w:r>
      <w:r>
        <w:rPr>
          <w:rFonts w:hint="eastAsia" w:ascii="仿宋_GB2312" w:hAnsi="仿宋_GB2312" w:eastAsia="仿宋_GB2312" w:cs="仿宋_GB2312"/>
          <w:b/>
          <w:bCs/>
          <w:color w:val="auto"/>
          <w:kern w:val="0"/>
        </w:rPr>
        <w:t>相关依据</w:t>
      </w:r>
      <w:bookmarkEnd w:id="699"/>
      <w:bookmarkEnd w:id="700"/>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bCs/>
          <w:color w:val="auto"/>
          <w:sz w:val="32"/>
          <w:szCs w:val="32"/>
          <w:highlight w:val="none"/>
          <w:lang w:val="en-US" w:eastAsia="zh-CN"/>
        </w:rPr>
      </w:pPr>
      <w:r>
        <w:rPr>
          <w:rFonts w:hint="eastAsia" w:cs="仿宋_GB2312"/>
          <w:bCs/>
          <w:color w:val="auto"/>
          <w:sz w:val="32"/>
          <w:szCs w:val="32"/>
          <w:highlight w:val="none"/>
          <w:lang w:val="en-US" w:eastAsia="zh-CN"/>
        </w:rPr>
        <w:t>（1）《城乡规划法》；</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仿宋_GB2312"/>
          <w:bCs/>
          <w:color w:val="auto"/>
          <w:sz w:val="32"/>
          <w:szCs w:val="32"/>
          <w:highlight w:val="none"/>
          <w:lang w:val="en-US" w:eastAsia="zh-CN"/>
        </w:rPr>
      </w:pPr>
      <w:r>
        <w:rPr>
          <w:rFonts w:hint="eastAsia" w:cs="仿宋_GB2312"/>
          <w:bCs/>
          <w:color w:val="auto"/>
          <w:sz w:val="32"/>
          <w:szCs w:val="32"/>
          <w:highlight w:val="none"/>
          <w:lang w:val="en-US" w:eastAsia="zh-CN"/>
        </w:rPr>
        <w:t>（2）《中华人民共和国水土保持法》；</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Cs/>
          <w:color w:val="auto"/>
          <w:sz w:val="32"/>
          <w:szCs w:val="32"/>
          <w:highlight w:val="none"/>
          <w:lang w:eastAsia="zh-CN"/>
        </w:rPr>
      </w:pPr>
      <w:r>
        <w:rPr>
          <w:rFonts w:hint="eastAsia" w:cs="仿宋_GB2312"/>
          <w:bCs/>
          <w:color w:val="auto"/>
          <w:sz w:val="32"/>
          <w:szCs w:val="32"/>
          <w:highlight w:val="none"/>
          <w:lang w:val="en-US" w:eastAsia="zh-CN"/>
        </w:rPr>
        <w:t>（3）《青海省生态文明建设促进条例》；</w:t>
      </w:r>
    </w:p>
    <w:p>
      <w:pPr>
        <w:pageBreakBefore w:val="0"/>
        <w:kinsoku/>
        <w:wordWrap/>
        <w:overflowPunct/>
        <w:topLinePunct w:val="0"/>
        <w:autoSpaceDE/>
        <w:autoSpaceDN/>
        <w:bidi w:val="0"/>
        <w:spacing w:beforeAutospacing="0" w:afterAutospacing="0" w:line="576" w:lineRule="exact"/>
        <w:ind w:left="0" w:leftChars="0" w:right="0" w:firstLine="640" w:firstLineChars="200"/>
        <w:rPr>
          <w:rFonts w:hint="eastAsia" w:cs="仿宋_GB2312"/>
          <w:bCs/>
          <w:color w:val="auto"/>
          <w:sz w:val="32"/>
          <w:szCs w:val="32"/>
          <w:highlight w:val="none"/>
          <w:lang w:val="en-US" w:eastAsia="zh-CN"/>
        </w:rPr>
      </w:pPr>
      <w:r>
        <w:rPr>
          <w:rFonts w:hint="eastAsia" w:cs="仿宋_GB2312"/>
          <w:bCs/>
          <w:color w:val="auto"/>
          <w:sz w:val="32"/>
          <w:szCs w:val="32"/>
          <w:highlight w:val="none"/>
          <w:lang w:val="en-US" w:eastAsia="zh-CN"/>
        </w:rPr>
        <w:t>（4）《建设工程质量管理条例》;</w:t>
      </w:r>
    </w:p>
    <w:p>
      <w:pPr>
        <w:pageBreakBefore w:val="0"/>
        <w:kinsoku/>
        <w:wordWrap/>
        <w:overflowPunct/>
        <w:topLinePunct w:val="0"/>
        <w:autoSpaceDE/>
        <w:autoSpaceDN/>
        <w:bidi w:val="0"/>
        <w:spacing w:beforeAutospacing="0" w:afterAutospacing="0" w:line="576" w:lineRule="exact"/>
        <w:ind w:left="0" w:leftChars="0" w:right="0" w:firstLine="640" w:firstLineChars="200"/>
        <w:rPr>
          <w:rFonts w:hint="eastAsia" w:ascii="仿宋_GB2312" w:hAnsi="仿宋_GB2312" w:eastAsia="仿宋_GB2312" w:cs="仿宋_GB2312"/>
          <w:bCs/>
          <w:color w:val="auto"/>
          <w:sz w:val="32"/>
          <w:szCs w:val="32"/>
          <w:highlight w:val="none"/>
          <w:lang w:val="en-US" w:eastAsia="zh-CN"/>
        </w:rPr>
      </w:pPr>
      <w:r>
        <w:rPr>
          <w:rFonts w:hint="eastAsia" w:cs="仿宋_GB2312"/>
          <w:bCs/>
          <w:color w:val="auto"/>
          <w:sz w:val="32"/>
          <w:szCs w:val="32"/>
          <w:highlight w:val="none"/>
          <w:lang w:val="en-US" w:eastAsia="zh-CN"/>
        </w:rPr>
        <w:t>（5）</w:t>
      </w:r>
      <w:r>
        <w:rPr>
          <w:rFonts w:hint="eastAsia" w:cs="仿宋_GB2312"/>
          <w:bCs/>
          <w:color w:val="auto"/>
          <w:sz w:val="32"/>
          <w:szCs w:val="32"/>
          <w:highlight w:val="none"/>
          <w:lang w:eastAsia="zh-CN"/>
        </w:rPr>
        <w:t>《</w:t>
      </w:r>
      <w:r>
        <w:rPr>
          <w:rFonts w:hint="eastAsia" w:cs="仿宋_GB2312"/>
          <w:bCs/>
          <w:color w:val="auto"/>
          <w:sz w:val="32"/>
          <w:szCs w:val="32"/>
          <w:highlight w:val="none"/>
          <w:lang w:val="en-US" w:eastAsia="zh-CN"/>
        </w:rPr>
        <w:t>水利工程建设监理规定</w:t>
      </w:r>
      <w:r>
        <w:rPr>
          <w:rFonts w:hint="eastAsia" w:cs="仿宋_GB2312"/>
          <w:bCs/>
          <w:color w:val="auto"/>
          <w:sz w:val="32"/>
          <w:szCs w:val="32"/>
          <w:highlight w:val="none"/>
          <w:lang w:eastAsia="zh-CN"/>
        </w:rPr>
        <w:t>》（</w:t>
      </w:r>
      <w:r>
        <w:rPr>
          <w:rFonts w:hint="eastAsia" w:cs="仿宋_GB2312"/>
          <w:bCs/>
          <w:color w:val="auto"/>
          <w:sz w:val="32"/>
          <w:szCs w:val="32"/>
          <w:highlight w:val="none"/>
          <w:lang w:val="en-US" w:eastAsia="zh-CN"/>
        </w:rPr>
        <w:t>水利部第</w:t>
      </w:r>
      <w:r>
        <w:rPr>
          <w:rFonts w:hint="eastAsia" w:ascii="Times New Roman" w:hAnsi="Times New Roman" w:eastAsia="仿宋_GB2312" w:cs="Times New Roman"/>
          <w:color w:val="auto"/>
          <w:sz w:val="32"/>
          <w:szCs w:val="32"/>
          <w:highlight w:val="none"/>
          <w:lang w:val="en-US" w:eastAsia="zh-CN"/>
        </w:rPr>
        <w:t>28</w:t>
      </w:r>
      <w:r>
        <w:rPr>
          <w:rFonts w:hint="eastAsia" w:cs="仿宋_GB2312"/>
          <w:bCs/>
          <w:color w:val="auto"/>
          <w:sz w:val="32"/>
          <w:szCs w:val="32"/>
          <w:highlight w:val="none"/>
          <w:lang w:val="en-US" w:eastAsia="zh-CN"/>
        </w:rPr>
        <w:t>号令</w:t>
      </w:r>
      <w:r>
        <w:rPr>
          <w:rFonts w:hint="eastAsia" w:cs="仿宋_GB2312"/>
          <w:bCs/>
          <w:color w:val="auto"/>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Cs/>
          <w:color w:val="auto"/>
          <w:sz w:val="32"/>
          <w:szCs w:val="32"/>
          <w:highlight w:val="none"/>
          <w:lang w:val="en-US" w:eastAsia="zh-CN"/>
        </w:rPr>
      </w:pPr>
      <w:r>
        <w:rPr>
          <w:rFonts w:hint="eastAsia" w:cs="仿宋_GB2312"/>
          <w:bCs/>
          <w:color w:val="auto"/>
          <w:sz w:val="32"/>
          <w:szCs w:val="32"/>
          <w:highlight w:val="none"/>
          <w:lang w:val="en-US" w:eastAsia="zh-CN"/>
        </w:rPr>
        <w:t>（6）《灌溉与排水工程技术管理规程》</w:t>
      </w:r>
    </w:p>
    <w:p>
      <w:pPr>
        <w:pageBreakBefore w:val="0"/>
        <w:kinsoku/>
        <w:wordWrap/>
        <w:overflowPunct/>
        <w:topLinePunct w:val="0"/>
        <w:autoSpaceDE/>
        <w:autoSpaceDN/>
        <w:bidi w:val="0"/>
        <w:spacing w:beforeAutospacing="0" w:afterAutospacing="0" w:line="576" w:lineRule="exact"/>
        <w:ind w:left="0" w:leftChars="0" w:right="0" w:firstLine="640" w:firstLineChars="200"/>
        <w:rPr>
          <w:rFonts w:hint="eastAsia" w:cs="仿宋_GB2312"/>
          <w:bCs/>
          <w:color w:val="auto"/>
          <w:sz w:val="32"/>
          <w:szCs w:val="32"/>
          <w:highlight w:val="none"/>
          <w:lang w:val="en-US" w:eastAsia="zh-CN"/>
        </w:rPr>
      </w:pPr>
      <w:r>
        <w:rPr>
          <w:rFonts w:hint="eastAsia" w:cs="仿宋_GB2312"/>
          <w:bCs/>
          <w:color w:val="auto"/>
          <w:sz w:val="32"/>
          <w:szCs w:val="32"/>
          <w:highlight w:val="none"/>
          <w:lang w:val="en-US" w:eastAsia="zh-CN"/>
        </w:rPr>
        <w:t>（7）《水土保持综合治理技术规范》；</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eastAsia" w:ascii="Calibri" w:hAnsi="Calibri" w:eastAsia="仿宋_GB2312" w:cs="仿宋_GB2312"/>
          <w:bCs/>
          <w:color w:val="auto"/>
          <w:kern w:val="2"/>
          <w:sz w:val="32"/>
          <w:szCs w:val="32"/>
          <w:highlight w:val="none"/>
          <w:lang w:val="en-US" w:eastAsia="zh-CN" w:bidi="ar-SA"/>
        </w:rPr>
      </w:pPr>
      <w:r>
        <w:rPr>
          <w:rFonts w:hint="eastAsia" w:ascii="仿宋_GB2312" w:hAnsi="仿宋_GB2312" w:eastAsia="仿宋_GB2312" w:cs="仿宋_GB2312"/>
          <w:bCs/>
          <w:color w:val="auto"/>
          <w:kern w:val="2"/>
          <w:sz w:val="32"/>
          <w:szCs w:val="32"/>
          <w:highlight w:val="none"/>
          <w:lang w:val="en-US" w:eastAsia="zh-CN" w:bidi="ar-SA"/>
        </w:rPr>
        <w:t>（8）《城中区总寨塬智能连栋温室园区排水工程实施方案》；</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eastAsia" w:ascii="仿宋_GB2312" w:hAnsi="仿宋_GB2312" w:eastAsia="仿宋_GB2312" w:cs="仿宋_GB2312"/>
          <w:b w:val="0"/>
          <w:bCs/>
          <w:color w:val="auto"/>
          <w:kern w:val="2"/>
          <w:sz w:val="32"/>
          <w:szCs w:val="32"/>
          <w:highlight w:val="none"/>
          <w:lang w:val="en-US" w:eastAsia="zh-CN" w:bidi="ar-SA"/>
        </w:rPr>
      </w:pPr>
      <w:r>
        <w:rPr>
          <w:rFonts w:hint="eastAsia" w:ascii="仿宋_GB2312" w:hAnsi="仿宋_GB2312" w:eastAsia="仿宋_GB2312" w:cs="仿宋_GB2312"/>
          <w:bCs/>
          <w:color w:val="auto"/>
          <w:kern w:val="2"/>
          <w:sz w:val="32"/>
          <w:szCs w:val="32"/>
          <w:highlight w:val="none"/>
          <w:lang w:val="en-US" w:eastAsia="zh-CN" w:bidi="ar-SA"/>
        </w:rPr>
        <w:t>（9）</w:t>
      </w:r>
      <w:r>
        <w:rPr>
          <w:rFonts w:hint="eastAsia" w:ascii="仿宋_GB2312" w:hAnsi="仿宋_GB2312" w:eastAsia="仿宋_GB2312" w:cs="仿宋_GB2312"/>
          <w:color w:val="auto"/>
          <w:kern w:val="2"/>
          <w:sz w:val="32"/>
          <w:szCs w:val="32"/>
          <w:highlight w:val="none"/>
          <w:lang w:val="en-US" w:eastAsia="zh-CN" w:bidi="ar-SA"/>
        </w:rPr>
        <w:t>项目其他相关管理制度等资料。</w:t>
      </w:r>
    </w:p>
    <w:p>
      <w:pPr>
        <w:pageBreakBefore w:val="0"/>
        <w:overflowPunct/>
        <w:topLinePunct w:val="0"/>
        <w:bidi w:val="0"/>
        <w:spacing w:line="576" w:lineRule="exact"/>
        <w:ind w:left="0" w:leftChars="0" w:firstLine="643"/>
        <w:outlineLvl w:val="1"/>
        <w:rPr>
          <w:rFonts w:hint="eastAsia" w:ascii="楷体_GB2312" w:hAnsi="楷体_GB2312" w:eastAsia="楷体_GB2312" w:cs="楷体_GB2312"/>
          <w:b/>
          <w:bCs/>
          <w:color w:val="auto"/>
          <w:szCs w:val="32"/>
          <w:lang w:val="zh-CN"/>
        </w:rPr>
      </w:pPr>
      <w:bookmarkStart w:id="701" w:name="_Toc3997"/>
      <w:bookmarkStart w:id="702" w:name="_Toc29111"/>
      <w:bookmarkStart w:id="703" w:name="_Toc16805"/>
      <w:bookmarkStart w:id="704" w:name="_Toc25206"/>
      <w:bookmarkStart w:id="705" w:name="_Toc23105"/>
      <w:r>
        <w:rPr>
          <w:rFonts w:hint="eastAsia" w:ascii="楷体_GB2312" w:hAnsi="楷体_GB2312" w:eastAsia="楷体_GB2312" w:cs="楷体_GB2312"/>
          <w:b/>
          <w:bCs/>
          <w:color w:val="auto"/>
          <w:szCs w:val="32"/>
          <w:lang w:val="zh-CN"/>
        </w:rPr>
        <w:t>（四）评价原则、评价方法</w:t>
      </w:r>
      <w:bookmarkEnd w:id="694"/>
      <w:bookmarkEnd w:id="695"/>
      <w:bookmarkEnd w:id="696"/>
      <w:bookmarkEnd w:id="701"/>
      <w:bookmarkEnd w:id="702"/>
      <w:bookmarkEnd w:id="703"/>
      <w:bookmarkEnd w:id="704"/>
      <w:bookmarkEnd w:id="705"/>
    </w:p>
    <w:p>
      <w:pPr>
        <w:pageBreakBefore w:val="0"/>
        <w:overflowPunct/>
        <w:topLinePunct w:val="0"/>
        <w:bidi w:val="0"/>
        <w:spacing w:line="576" w:lineRule="exact"/>
        <w:ind w:left="0" w:leftChars="0" w:firstLine="643"/>
        <w:rPr>
          <w:rFonts w:cs="Times New Roman"/>
          <w:color w:val="auto"/>
          <w:highlight w:val="none"/>
        </w:rPr>
      </w:pPr>
      <w:r>
        <w:rPr>
          <w:rFonts w:hint="eastAsia" w:cs="Times New Roman"/>
          <w:b/>
          <w:bCs/>
          <w:color w:val="auto"/>
          <w:highlight w:val="none"/>
          <w:lang w:val="en-US" w:eastAsia="zh-CN"/>
        </w:rPr>
        <w:t>1.</w:t>
      </w:r>
      <w:r>
        <w:rPr>
          <w:rFonts w:hint="eastAsia" w:cs="Times New Roman"/>
          <w:b/>
          <w:bCs/>
          <w:color w:val="auto"/>
          <w:highlight w:val="none"/>
          <w:lang w:eastAsia="zh-CN"/>
        </w:rPr>
        <w:t>评价原则</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本次绩效评价遵循以下原则：</w:t>
      </w:r>
    </w:p>
    <w:p>
      <w:pPr>
        <w:keepNext w:val="0"/>
        <w:keepLines w:val="0"/>
        <w:pageBreakBefore w:val="0"/>
        <w:widowControl w:val="0"/>
        <w:kinsoku/>
        <w:wordWrap/>
        <w:overflowPunct/>
        <w:topLinePunct w:val="0"/>
        <w:autoSpaceDE/>
        <w:autoSpaceDN/>
        <w:bidi w:val="0"/>
        <w:spacing w:line="576" w:lineRule="exact"/>
        <w:ind w:left="0" w:leftChars="0" w:firstLine="643" w:firstLineChars="200"/>
        <w:jc w:val="both"/>
        <w:textAlignment w:val="auto"/>
        <w:rPr>
          <w:rFonts w:hint="default" w:cs="仿宋_GB2312"/>
          <w:b w:val="0"/>
          <w:bCs w:val="0"/>
          <w:color w:val="auto"/>
          <w:kern w:val="0"/>
          <w:sz w:val="32"/>
          <w:szCs w:val="32"/>
          <w:highlight w:val="none"/>
          <w:lang w:val="en-US" w:eastAsia="zh-CN"/>
        </w:rPr>
      </w:pPr>
      <w:bookmarkStart w:id="706" w:name="_Toc8396"/>
      <w:bookmarkStart w:id="707" w:name="_Toc26924"/>
      <w:r>
        <w:rPr>
          <w:rFonts w:hint="eastAsia" w:cs="仿宋_GB2312"/>
          <w:b/>
          <w:bCs/>
          <w:color w:val="auto"/>
          <w:kern w:val="0"/>
          <w:sz w:val="32"/>
          <w:szCs w:val="32"/>
          <w:highlight w:val="none"/>
          <w:lang w:val="en-US" w:eastAsia="zh-CN"/>
        </w:rPr>
        <w:t>（</w:t>
      </w:r>
      <w:r>
        <w:rPr>
          <w:rFonts w:hint="eastAsia" w:ascii="仿宋_GB2312" w:hAnsi="仿宋_GB2312" w:eastAsia="仿宋_GB2312" w:cs="仿宋_GB2312"/>
          <w:b/>
          <w:bCs/>
          <w:color w:val="auto"/>
          <w:kern w:val="0"/>
          <w:sz w:val="32"/>
          <w:szCs w:val="32"/>
          <w:highlight w:val="none"/>
          <w:lang w:val="en-US" w:eastAsia="zh-CN"/>
        </w:rPr>
        <w:t>1</w:t>
      </w:r>
      <w:r>
        <w:rPr>
          <w:rFonts w:hint="eastAsia" w:cs="仿宋_GB2312"/>
          <w:b/>
          <w:bCs/>
          <w:color w:val="auto"/>
          <w:kern w:val="0"/>
          <w:sz w:val="32"/>
          <w:szCs w:val="32"/>
          <w:highlight w:val="none"/>
          <w:lang w:val="en-US" w:eastAsia="zh-CN"/>
        </w:rPr>
        <w:t>）</w:t>
      </w:r>
      <w:r>
        <w:rPr>
          <w:rFonts w:hint="eastAsia" w:ascii="仿宋_GB2312" w:hAnsi="仿宋_GB2312" w:eastAsia="仿宋_GB2312" w:cs="仿宋_GB2312"/>
          <w:b/>
          <w:bCs/>
          <w:color w:val="auto"/>
          <w:kern w:val="0"/>
          <w:sz w:val="32"/>
          <w:szCs w:val="32"/>
          <w:highlight w:val="none"/>
        </w:rPr>
        <w:t>科学</w:t>
      </w:r>
      <w:r>
        <w:rPr>
          <w:rFonts w:hint="eastAsia" w:cs="仿宋_GB2312"/>
          <w:b/>
          <w:bCs/>
          <w:color w:val="auto"/>
          <w:kern w:val="0"/>
          <w:sz w:val="32"/>
          <w:szCs w:val="32"/>
          <w:highlight w:val="none"/>
          <w:lang w:val="en-US" w:eastAsia="zh-CN"/>
        </w:rPr>
        <w:t>公正</w:t>
      </w:r>
      <w:r>
        <w:rPr>
          <w:rFonts w:hint="eastAsia" w:ascii="仿宋_GB2312" w:hAnsi="仿宋_GB2312" w:eastAsia="仿宋_GB2312" w:cs="仿宋_GB2312"/>
          <w:b/>
          <w:bCs/>
          <w:color w:val="auto"/>
          <w:kern w:val="0"/>
          <w:sz w:val="32"/>
          <w:szCs w:val="32"/>
          <w:highlight w:val="none"/>
          <w:lang w:eastAsia="zh-CN"/>
        </w:rPr>
        <w:t>。</w:t>
      </w:r>
      <w:r>
        <w:rPr>
          <w:rFonts w:hint="eastAsia" w:cs="仿宋_GB2312"/>
          <w:b w:val="0"/>
          <w:bCs w:val="0"/>
          <w:color w:val="auto"/>
          <w:kern w:val="0"/>
          <w:sz w:val="32"/>
          <w:szCs w:val="32"/>
          <w:highlight w:val="none"/>
          <w:lang w:val="en-US" w:eastAsia="zh-CN"/>
        </w:rPr>
        <w:t>运用科学合理的方法，按照规范的程序，对项目绩效进行客观、公正的反映。</w:t>
      </w:r>
    </w:p>
    <w:p>
      <w:pPr>
        <w:keepNext w:val="0"/>
        <w:keepLines w:val="0"/>
        <w:pageBreakBefore w:val="0"/>
        <w:widowControl w:val="0"/>
        <w:kinsoku/>
        <w:wordWrap/>
        <w:overflowPunct/>
        <w:topLinePunct w:val="0"/>
        <w:autoSpaceDE/>
        <w:autoSpaceDN/>
        <w:bidi w:val="0"/>
        <w:spacing w:line="576" w:lineRule="exact"/>
        <w:ind w:left="0" w:leftChars="0" w:firstLine="643" w:firstLineChars="200"/>
        <w:jc w:val="both"/>
        <w:textAlignment w:val="auto"/>
        <w:rPr>
          <w:rFonts w:hint="default" w:ascii="仿宋_GB2312" w:hAnsi="仿宋_GB2312" w:eastAsia="仿宋_GB2312" w:cs="仿宋_GB2312"/>
          <w:b w:val="0"/>
          <w:bCs w:val="0"/>
          <w:color w:val="auto"/>
          <w:kern w:val="0"/>
          <w:sz w:val="32"/>
          <w:szCs w:val="32"/>
          <w:highlight w:val="none"/>
          <w:lang w:val="en-US" w:eastAsia="zh-CN"/>
        </w:rPr>
      </w:pPr>
      <w:r>
        <w:rPr>
          <w:rFonts w:hint="eastAsia" w:cs="仿宋_GB2312"/>
          <w:b/>
          <w:bCs/>
          <w:color w:val="auto"/>
          <w:kern w:val="0"/>
          <w:sz w:val="32"/>
          <w:szCs w:val="32"/>
          <w:highlight w:val="none"/>
          <w:lang w:val="en-US" w:eastAsia="zh-CN"/>
        </w:rPr>
        <w:t>（2）激励约束</w:t>
      </w:r>
      <w:r>
        <w:rPr>
          <w:rFonts w:hint="eastAsia" w:ascii="仿宋_GB2312" w:hAnsi="仿宋_GB2312" w:eastAsia="仿宋_GB2312" w:cs="仿宋_GB2312"/>
          <w:b/>
          <w:bCs/>
          <w:color w:val="auto"/>
          <w:kern w:val="0"/>
          <w:sz w:val="32"/>
          <w:szCs w:val="32"/>
          <w:highlight w:val="none"/>
          <w:lang w:eastAsia="zh-CN"/>
        </w:rPr>
        <w:t>。</w:t>
      </w:r>
      <w:r>
        <w:rPr>
          <w:rFonts w:hint="eastAsia" w:cs="仿宋_GB2312"/>
          <w:b w:val="0"/>
          <w:bCs w:val="0"/>
          <w:color w:val="auto"/>
          <w:kern w:val="0"/>
          <w:sz w:val="32"/>
          <w:szCs w:val="32"/>
          <w:highlight w:val="none"/>
          <w:lang w:val="en-US" w:eastAsia="zh-CN"/>
        </w:rPr>
        <w:t>绩效评价结果应与预算安排、政策调整、改进管理实质性挂钩，体现奖优罚劣和激励相容导向，有效要安排、低效要压减、无效要问责。</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jc w:val="both"/>
        <w:textAlignment w:val="auto"/>
        <w:rPr>
          <w:rFonts w:hint="default" w:ascii="仿宋_GB2312" w:hAnsi="仿宋_GB2312" w:eastAsia="仿宋_GB2312" w:cs="仿宋_GB2312"/>
          <w:color w:val="auto"/>
          <w:kern w:val="0"/>
          <w:sz w:val="32"/>
          <w:szCs w:val="32"/>
          <w:highlight w:val="none"/>
          <w:lang w:val="en-US" w:eastAsia="zh-CN"/>
        </w:rPr>
      </w:pPr>
      <w:r>
        <w:rPr>
          <w:rFonts w:hint="eastAsia" w:cs="仿宋_GB2312"/>
          <w:b/>
          <w:bCs/>
          <w:color w:val="auto"/>
          <w:kern w:val="0"/>
          <w:sz w:val="32"/>
          <w:szCs w:val="32"/>
          <w:highlight w:val="none"/>
          <w:lang w:val="en-US" w:eastAsia="zh-CN"/>
        </w:rPr>
        <w:t>（3）公开透明。</w:t>
      </w:r>
      <w:r>
        <w:rPr>
          <w:rFonts w:hint="eastAsia" w:cs="仿宋_GB2312"/>
          <w:color w:val="auto"/>
          <w:kern w:val="0"/>
          <w:sz w:val="32"/>
          <w:szCs w:val="32"/>
          <w:highlight w:val="none"/>
          <w:lang w:val="en-US" w:eastAsia="zh-CN"/>
        </w:rPr>
        <w:t>绩效评价结果依法依规公开，接受社会监督。</w:t>
      </w:r>
    </w:p>
    <w:bookmarkEnd w:id="706"/>
    <w:bookmarkEnd w:id="707"/>
    <w:p>
      <w:pPr>
        <w:pageBreakBefore w:val="0"/>
        <w:overflowPunct/>
        <w:topLinePunct w:val="0"/>
        <w:bidi w:val="0"/>
        <w:spacing w:line="576" w:lineRule="exact"/>
        <w:ind w:left="0" w:leftChars="0"/>
        <w:rPr>
          <w:rFonts w:hint="eastAsia" w:eastAsia="仿宋_GB2312" w:cs="Times New Roman"/>
          <w:b/>
          <w:bCs w:val="0"/>
          <w:color w:val="auto"/>
          <w:szCs w:val="32"/>
          <w:lang w:eastAsia="zh-CN"/>
        </w:rPr>
      </w:pPr>
      <w:r>
        <w:rPr>
          <w:rFonts w:hint="eastAsia" w:cs="Times New Roman"/>
          <w:b/>
          <w:bCs w:val="0"/>
          <w:color w:val="auto"/>
          <w:szCs w:val="32"/>
          <w:lang w:val="en-US" w:eastAsia="zh-CN"/>
        </w:rPr>
        <w:t>2.评价方式</w:t>
      </w:r>
    </w:p>
    <w:p>
      <w:pPr>
        <w:pageBreakBefore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Cs/>
          <w:color w:val="auto"/>
          <w:sz w:val="32"/>
          <w:szCs w:val="32"/>
          <w:highlight w:val="none"/>
        </w:rPr>
        <w:t>根据</w:t>
      </w:r>
      <w:r>
        <w:rPr>
          <w:rFonts w:hint="eastAsia" w:ascii="仿宋_GB2312" w:hAnsi="仿宋_GB2312" w:eastAsia="仿宋_GB2312" w:cs="仿宋_GB2312"/>
          <w:bCs/>
          <w:color w:val="auto"/>
          <w:sz w:val="32"/>
          <w:szCs w:val="32"/>
          <w:highlight w:val="none"/>
          <w:lang w:eastAsia="zh-CN"/>
        </w:rPr>
        <w:t>本次</w:t>
      </w:r>
      <w:r>
        <w:rPr>
          <w:rFonts w:hint="eastAsia" w:ascii="仿宋_GB2312" w:hAnsi="仿宋_GB2312" w:eastAsia="仿宋_GB2312" w:cs="仿宋_GB2312"/>
          <w:bCs/>
          <w:color w:val="auto"/>
          <w:sz w:val="32"/>
          <w:szCs w:val="32"/>
          <w:highlight w:val="none"/>
        </w:rPr>
        <w:t>绩效评价对象的具体情况，采用</w:t>
      </w:r>
      <w:r>
        <w:rPr>
          <w:rFonts w:hint="eastAsia" w:ascii="仿宋_GB2312" w:hAnsi="仿宋_GB2312" w:eastAsia="仿宋_GB2312" w:cs="仿宋_GB2312"/>
          <w:bCs/>
          <w:color w:val="auto"/>
          <w:sz w:val="32"/>
          <w:szCs w:val="32"/>
          <w:highlight w:val="none"/>
          <w:lang w:eastAsia="zh-CN"/>
        </w:rPr>
        <w:t>以下</w:t>
      </w:r>
      <w:r>
        <w:rPr>
          <w:rFonts w:hint="eastAsia" w:ascii="仿宋_GB2312" w:hAnsi="仿宋_GB2312" w:eastAsia="仿宋_GB2312" w:cs="仿宋_GB2312"/>
          <w:bCs/>
          <w:color w:val="auto"/>
          <w:sz w:val="32"/>
          <w:szCs w:val="32"/>
          <w:highlight w:val="none"/>
        </w:rPr>
        <w:t>绩效评价方法</w:t>
      </w:r>
      <w:r>
        <w:rPr>
          <w:rFonts w:hint="eastAsia" w:ascii="仿宋_GB2312" w:hAnsi="仿宋_GB2312" w:eastAsia="仿宋_GB2312" w:cs="仿宋_GB2312"/>
          <w:bCs/>
          <w:color w:val="auto"/>
          <w:sz w:val="32"/>
          <w:szCs w:val="32"/>
          <w:highlight w:val="none"/>
          <w:lang w:eastAsia="zh-CN"/>
        </w:rPr>
        <w:t>对项目</w:t>
      </w:r>
      <w:r>
        <w:rPr>
          <w:rFonts w:hint="eastAsia" w:ascii="仿宋_GB2312" w:hAnsi="仿宋_GB2312" w:eastAsia="仿宋_GB2312" w:cs="仿宋_GB2312"/>
          <w:bCs/>
          <w:color w:val="auto"/>
          <w:sz w:val="32"/>
          <w:szCs w:val="32"/>
          <w:highlight w:val="none"/>
        </w:rPr>
        <w:t>进行综合评价分析。</w:t>
      </w:r>
    </w:p>
    <w:p>
      <w:pPr>
        <w:pageBreakBefore w:val="0"/>
        <w:overflowPunct/>
        <w:topLinePunct w:val="0"/>
        <w:bidi w:val="0"/>
        <w:spacing w:line="576" w:lineRule="exact"/>
        <w:ind w:left="0" w:leftChars="0" w:firstLine="643" w:firstLineChars="200"/>
        <w:rPr>
          <w:rFonts w:hint="eastAsia" w:ascii="仿宋_GB2312" w:hAnsi="仿宋_GB2312" w:eastAsia="仿宋_GB2312" w:cs="仿宋_GB2312"/>
          <w:color w:val="auto"/>
          <w:sz w:val="32"/>
          <w:szCs w:val="32"/>
          <w:highlight w:val="none"/>
          <w:lang w:val="en-US" w:eastAsia="zh-CN"/>
        </w:rPr>
      </w:pPr>
      <w:r>
        <w:rPr>
          <w:rFonts w:hint="eastAsia" w:cs="仿宋_GB2312"/>
          <w:b/>
          <w:bCs/>
          <w:color w:val="auto"/>
          <w:kern w:val="0"/>
          <w:sz w:val="32"/>
          <w:szCs w:val="32"/>
          <w:highlight w:val="none"/>
          <w:lang w:val="en-US" w:eastAsia="zh-CN"/>
        </w:rPr>
        <w:t>（</w:t>
      </w:r>
      <w:r>
        <w:rPr>
          <w:rFonts w:hint="eastAsia" w:ascii="仿宋_GB2312" w:hAnsi="仿宋_GB2312" w:eastAsia="仿宋_GB2312" w:cs="仿宋_GB2312"/>
          <w:b/>
          <w:bCs/>
          <w:color w:val="auto"/>
          <w:kern w:val="0"/>
          <w:sz w:val="32"/>
          <w:szCs w:val="32"/>
          <w:highlight w:val="none"/>
          <w:lang w:val="en-US" w:eastAsia="zh-CN"/>
        </w:rPr>
        <w:t>1</w:t>
      </w:r>
      <w:r>
        <w:rPr>
          <w:rFonts w:hint="eastAsia" w:cs="仿宋_GB2312"/>
          <w:b/>
          <w:bCs/>
          <w:color w:val="auto"/>
          <w:kern w:val="0"/>
          <w:sz w:val="32"/>
          <w:szCs w:val="32"/>
          <w:highlight w:val="none"/>
          <w:lang w:val="en-US" w:eastAsia="zh-CN"/>
        </w:rPr>
        <w:t>）</w:t>
      </w:r>
      <w:r>
        <w:rPr>
          <w:rFonts w:hint="eastAsia" w:ascii="仿宋_GB2312" w:hAnsi="仿宋_GB2312" w:eastAsia="仿宋_GB2312" w:cs="仿宋_GB2312"/>
          <w:b/>
          <w:bCs/>
          <w:color w:val="auto"/>
          <w:sz w:val="32"/>
          <w:szCs w:val="32"/>
          <w:highlight w:val="none"/>
          <w:lang w:val="en-US" w:eastAsia="zh-CN"/>
        </w:rPr>
        <w:t>比较法。</w:t>
      </w:r>
      <w:r>
        <w:rPr>
          <w:rFonts w:hint="eastAsia" w:ascii="仿宋_GB2312" w:hAnsi="仿宋_GB2312" w:eastAsia="仿宋_GB2312" w:cs="仿宋_GB2312"/>
          <w:color w:val="auto"/>
          <w:sz w:val="32"/>
          <w:szCs w:val="32"/>
          <w:highlight w:val="none"/>
          <w:lang w:val="en-US" w:eastAsia="zh-CN"/>
        </w:rPr>
        <w:t>通过对</w:t>
      </w:r>
      <w:r>
        <w:rPr>
          <w:rFonts w:hint="eastAsia" w:cs="仿宋_GB2312"/>
          <w:color w:val="auto"/>
          <w:sz w:val="32"/>
          <w:szCs w:val="32"/>
          <w:highlight w:val="none"/>
          <w:lang w:val="en-US" w:eastAsia="zh-CN"/>
        </w:rPr>
        <w:t>西宁市城中区</w:t>
      </w:r>
      <w:r>
        <w:rPr>
          <w:rFonts w:hint="eastAsia" w:cs="Times New Roman"/>
          <w:color w:val="auto"/>
          <w:lang w:val="en-US" w:eastAsia="zh-CN"/>
        </w:rPr>
        <w:t>总寨塬智能温室园区道路工程和排水工程项目</w:t>
      </w:r>
      <w:r>
        <w:rPr>
          <w:rFonts w:hint="eastAsia" w:ascii="仿宋_GB2312" w:hAnsi="仿宋_GB2312" w:eastAsia="仿宋_GB2312" w:cs="仿宋_GB2312"/>
          <w:color w:val="auto"/>
          <w:sz w:val="32"/>
          <w:szCs w:val="32"/>
          <w:highlight w:val="none"/>
          <w:lang w:val="en-US" w:eastAsia="zh-CN"/>
        </w:rPr>
        <w:t>实施方案、</w:t>
      </w:r>
      <w:r>
        <w:rPr>
          <w:rFonts w:hint="eastAsia" w:cs="仿宋_GB2312"/>
          <w:color w:val="auto"/>
          <w:sz w:val="32"/>
          <w:szCs w:val="32"/>
          <w:highlight w:val="none"/>
          <w:lang w:val="en-US" w:eastAsia="zh-CN"/>
        </w:rPr>
        <w:t>设计报告、绩效目标</w:t>
      </w:r>
      <w:r>
        <w:rPr>
          <w:rFonts w:hint="eastAsia" w:ascii="仿宋_GB2312" w:hAnsi="仿宋_GB2312" w:eastAsia="仿宋_GB2312" w:cs="仿宋_GB2312"/>
          <w:color w:val="auto"/>
          <w:sz w:val="32"/>
          <w:szCs w:val="32"/>
          <w:highlight w:val="none"/>
          <w:lang w:val="en-US" w:eastAsia="zh-CN"/>
        </w:rPr>
        <w:t>和实际情况对比，在此基础上采取定量分析与定性分析相结合的方法，</w:t>
      </w:r>
      <w:r>
        <w:rPr>
          <w:rFonts w:hint="eastAsia" w:ascii="仿宋_GB2312" w:hAnsi="仿宋_GB2312" w:eastAsia="仿宋_GB2312" w:cs="仿宋_GB2312"/>
          <w:color w:val="auto"/>
          <w:highlight w:val="none"/>
          <w:lang w:val="en-US" w:eastAsia="zh-CN"/>
        </w:rPr>
        <w:t>进行</w:t>
      </w:r>
      <w:r>
        <w:rPr>
          <w:rFonts w:hint="eastAsia" w:ascii="仿宋_GB2312" w:hAnsi="仿宋_GB2312" w:eastAsia="仿宋_GB2312" w:cs="仿宋_GB2312"/>
          <w:color w:val="auto"/>
          <w:sz w:val="32"/>
          <w:szCs w:val="32"/>
          <w:highlight w:val="none"/>
          <w:lang w:val="en-US" w:eastAsia="zh-CN"/>
        </w:rPr>
        <w:t>综合分析，最后依据分析结果开展绩效评价。</w:t>
      </w:r>
    </w:p>
    <w:p>
      <w:pPr>
        <w:pageBreakBefore w:val="0"/>
        <w:overflowPunct/>
        <w:topLinePunct w:val="0"/>
        <w:bidi w:val="0"/>
        <w:spacing w:line="576" w:lineRule="exact"/>
        <w:ind w:left="0" w:leftChars="0" w:firstLine="643" w:firstLineChars="200"/>
        <w:rPr>
          <w:rFonts w:hint="eastAsia" w:ascii="仿宋_GB2312" w:hAnsi="仿宋_GB2312" w:eastAsia="仿宋_GB2312" w:cs="仿宋_GB2312"/>
          <w:color w:val="auto"/>
          <w:kern w:val="0"/>
          <w:sz w:val="32"/>
          <w:szCs w:val="32"/>
          <w:highlight w:val="none"/>
          <w:lang w:eastAsia="zh-CN"/>
        </w:rPr>
      </w:pPr>
      <w:r>
        <w:rPr>
          <w:rFonts w:hint="eastAsia" w:cs="仿宋_GB2312"/>
          <w:b/>
          <w:bCs/>
          <w:color w:val="auto"/>
          <w:kern w:val="0"/>
          <w:sz w:val="32"/>
          <w:szCs w:val="32"/>
          <w:highlight w:val="none"/>
          <w:lang w:val="en-US" w:eastAsia="zh-CN"/>
        </w:rPr>
        <w:t>（2）</w:t>
      </w:r>
      <w:r>
        <w:rPr>
          <w:rFonts w:hint="eastAsia" w:ascii="仿宋_GB2312" w:hAnsi="仿宋_GB2312" w:eastAsia="仿宋_GB2312" w:cs="仿宋_GB2312"/>
          <w:b/>
          <w:bCs/>
          <w:color w:val="auto"/>
          <w:sz w:val="32"/>
          <w:szCs w:val="32"/>
          <w:highlight w:val="none"/>
          <w:lang w:val="en-US" w:eastAsia="zh-CN"/>
        </w:rPr>
        <w:t>成本效益分析法。</w:t>
      </w:r>
      <w:r>
        <w:rPr>
          <w:rFonts w:hint="eastAsia" w:ascii="仿宋_GB2312" w:hAnsi="仿宋_GB2312" w:eastAsia="仿宋_GB2312" w:cs="仿宋_GB2312"/>
          <w:color w:val="auto"/>
          <w:highlight w:val="none"/>
        </w:rPr>
        <w:t>将项目的所有成本和收益一一列出，并进行量化</w:t>
      </w:r>
      <w:r>
        <w:rPr>
          <w:rFonts w:hint="eastAsia" w:ascii="仿宋_GB2312" w:hAnsi="仿宋_GB2312" w:eastAsia="仿宋_GB2312" w:cs="仿宋_GB2312"/>
          <w:color w:val="auto"/>
          <w:highlight w:val="none"/>
          <w:lang w:eastAsia="zh-CN"/>
        </w:rPr>
        <w:t>。</w:t>
      </w:r>
      <w:r>
        <w:rPr>
          <w:rFonts w:hint="eastAsia" w:ascii="仿宋_GB2312" w:hAnsi="仿宋_GB2312" w:eastAsia="仿宋_GB2312" w:cs="仿宋_GB2312"/>
          <w:color w:val="auto"/>
          <w:highlight w:val="none"/>
        </w:rPr>
        <w:t>通过比较项目的全部成本和效益来评估项目价值，以达到财政资金的使用效益最大化</w:t>
      </w:r>
      <w:r>
        <w:rPr>
          <w:rFonts w:hint="eastAsia" w:ascii="仿宋_GB2312" w:hAnsi="仿宋_GB2312" w:eastAsia="仿宋_GB2312" w:cs="仿宋_GB2312"/>
          <w:color w:val="auto"/>
          <w:highlight w:val="none"/>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textAlignment w:val="auto"/>
        <w:rPr>
          <w:rFonts w:hint="eastAsia" w:ascii="仿宋_GB2312" w:hAnsi="仿宋_GB2312" w:eastAsia="仿宋_GB2312" w:cs="仿宋_GB2312"/>
          <w:color w:val="auto"/>
          <w:highlight w:val="none"/>
          <w:lang w:val="en-US" w:eastAsia="zh-CN"/>
        </w:rPr>
      </w:pPr>
      <w:r>
        <w:rPr>
          <w:rFonts w:hint="eastAsia" w:cs="仿宋_GB2312"/>
          <w:b/>
          <w:bCs/>
          <w:color w:val="auto"/>
          <w:kern w:val="0"/>
          <w:sz w:val="32"/>
          <w:szCs w:val="32"/>
          <w:highlight w:val="none"/>
          <w:lang w:val="en-US" w:eastAsia="zh-CN"/>
        </w:rPr>
        <w:t>（3）</w:t>
      </w:r>
      <w:r>
        <w:rPr>
          <w:rFonts w:hint="eastAsia" w:ascii="仿宋_GB2312" w:hAnsi="仿宋_GB2312" w:eastAsia="仿宋_GB2312" w:cs="仿宋_GB2312"/>
          <w:b/>
          <w:bCs/>
          <w:color w:val="auto"/>
          <w:sz w:val="32"/>
          <w:szCs w:val="32"/>
          <w:highlight w:val="none"/>
          <w:lang w:val="en-US" w:eastAsia="zh-CN"/>
        </w:rPr>
        <w:t>公众评判法。</w:t>
      </w:r>
      <w:r>
        <w:rPr>
          <w:rFonts w:hint="eastAsia" w:ascii="仿宋_GB2312" w:hAnsi="仿宋_GB2312" w:eastAsia="仿宋_GB2312" w:cs="仿宋_GB2312"/>
          <w:color w:val="auto"/>
          <w:highlight w:val="none"/>
          <w:lang w:val="en-US" w:eastAsia="zh-CN"/>
        </w:rPr>
        <w:t>通过</w:t>
      </w:r>
      <w:r>
        <w:rPr>
          <w:rFonts w:hint="eastAsia" w:cs="仿宋_GB2312"/>
          <w:color w:val="auto"/>
          <w:highlight w:val="none"/>
          <w:lang w:val="en-US" w:eastAsia="zh-CN"/>
        </w:rPr>
        <w:t>对受益对象开展</w:t>
      </w:r>
      <w:r>
        <w:rPr>
          <w:rFonts w:hint="eastAsia" w:ascii="仿宋_GB2312" w:hAnsi="仿宋_GB2312" w:eastAsia="仿宋_GB2312" w:cs="仿宋_GB2312"/>
          <w:color w:val="auto"/>
          <w:highlight w:val="none"/>
          <w:lang w:val="en-US" w:eastAsia="zh-CN"/>
        </w:rPr>
        <w:t>调查问卷及访谈，了解</w:t>
      </w:r>
      <w:r>
        <w:rPr>
          <w:rFonts w:hint="eastAsia" w:cs="仿宋_GB2312"/>
          <w:color w:val="auto"/>
          <w:sz w:val="32"/>
          <w:szCs w:val="32"/>
          <w:highlight w:val="none"/>
          <w:lang w:val="en-US" w:eastAsia="zh-CN"/>
        </w:rPr>
        <w:t>西宁市城中区</w:t>
      </w:r>
      <w:r>
        <w:rPr>
          <w:rFonts w:hint="eastAsia" w:cs="Times New Roman"/>
          <w:color w:val="auto"/>
          <w:lang w:val="en-US" w:eastAsia="zh-CN"/>
        </w:rPr>
        <w:t>总寨塬智能温室园区道路工程和排水工程项目</w:t>
      </w:r>
      <w:r>
        <w:rPr>
          <w:rFonts w:hint="eastAsia" w:ascii="仿宋_GB2312" w:hAnsi="仿宋_GB2312" w:eastAsia="仿宋_GB2312" w:cs="仿宋_GB2312"/>
          <w:color w:val="auto"/>
          <w:highlight w:val="none"/>
          <w:lang w:val="en-US" w:eastAsia="zh-CN"/>
        </w:rPr>
        <w:t>的实施状况、</w:t>
      </w:r>
      <w:r>
        <w:rPr>
          <w:rFonts w:hint="eastAsia" w:cs="仿宋_GB2312"/>
          <w:color w:val="auto"/>
          <w:highlight w:val="none"/>
          <w:lang w:val="en-US" w:eastAsia="zh-CN"/>
        </w:rPr>
        <w:t>项目实施效果</w:t>
      </w:r>
      <w:r>
        <w:rPr>
          <w:rFonts w:hint="eastAsia" w:ascii="仿宋_GB2312" w:hAnsi="仿宋_GB2312" w:eastAsia="仿宋_GB2312" w:cs="仿宋_GB2312"/>
          <w:color w:val="auto"/>
          <w:highlight w:val="none"/>
          <w:lang w:val="en-US" w:eastAsia="zh-CN"/>
        </w:rPr>
        <w:t>和</w:t>
      </w:r>
      <w:r>
        <w:rPr>
          <w:rFonts w:hint="eastAsia" w:cs="仿宋_GB2312"/>
          <w:color w:val="auto"/>
          <w:highlight w:val="none"/>
          <w:lang w:val="en-US" w:eastAsia="zh-CN"/>
        </w:rPr>
        <w:t>受益</w:t>
      </w:r>
      <w:r>
        <w:rPr>
          <w:rFonts w:hint="eastAsia" w:ascii="仿宋_GB2312" w:hAnsi="仿宋_GB2312" w:eastAsia="仿宋_GB2312" w:cs="仿宋_GB2312"/>
          <w:color w:val="auto"/>
          <w:highlight w:val="none"/>
          <w:lang w:val="en-US" w:eastAsia="zh-CN"/>
        </w:rPr>
        <w:t>群众的满意度，总结分析项目实施</w:t>
      </w:r>
      <w:r>
        <w:rPr>
          <w:rFonts w:hint="eastAsia" w:cs="仿宋_GB2312"/>
          <w:color w:val="auto"/>
          <w:highlight w:val="none"/>
          <w:lang w:val="en-US" w:eastAsia="zh-CN"/>
        </w:rPr>
        <w:t>后受益</w:t>
      </w:r>
      <w:r>
        <w:rPr>
          <w:rFonts w:hint="eastAsia" w:ascii="仿宋_GB2312" w:hAnsi="仿宋_GB2312" w:eastAsia="仿宋_GB2312" w:cs="仿宋_GB2312"/>
          <w:color w:val="auto"/>
          <w:highlight w:val="none"/>
          <w:lang w:val="en-US" w:eastAsia="zh-CN"/>
        </w:rPr>
        <w:t>群众的认可度和满意度情况及项目实施效果。</w:t>
      </w:r>
    </w:p>
    <w:p>
      <w:pPr>
        <w:pageBreakBefore w:val="0"/>
        <w:overflowPunct/>
        <w:topLinePunct w:val="0"/>
        <w:bidi w:val="0"/>
        <w:spacing w:line="576" w:lineRule="exact"/>
        <w:ind w:left="0" w:leftChars="0" w:firstLine="643"/>
        <w:outlineLvl w:val="1"/>
        <w:rPr>
          <w:rFonts w:hint="eastAsia" w:ascii="楷体_GB2312" w:hAnsi="楷体_GB2312" w:eastAsia="楷体_GB2312" w:cs="楷体_GB2312"/>
          <w:b/>
          <w:bCs/>
          <w:color w:val="auto"/>
          <w:szCs w:val="32"/>
          <w:lang w:val="zh-CN"/>
        </w:rPr>
      </w:pPr>
      <w:bookmarkStart w:id="708" w:name="_Toc30653"/>
      <w:bookmarkStart w:id="709" w:name="_Toc23827"/>
      <w:bookmarkStart w:id="710" w:name="_Toc22231"/>
      <w:bookmarkStart w:id="711" w:name="_Toc9795"/>
      <w:bookmarkStart w:id="712" w:name="_Toc4764"/>
      <w:bookmarkStart w:id="713" w:name="_Toc27664"/>
      <w:bookmarkStart w:id="714" w:name="_Toc28824"/>
      <w:bookmarkStart w:id="715" w:name="_Toc24899"/>
      <w:r>
        <w:rPr>
          <w:rFonts w:hint="eastAsia" w:ascii="楷体_GB2312" w:hAnsi="楷体_GB2312" w:eastAsia="楷体_GB2312" w:cs="楷体_GB2312"/>
          <w:b/>
          <w:bCs/>
          <w:color w:val="auto"/>
          <w:szCs w:val="32"/>
          <w:lang w:val="zh-CN"/>
        </w:rPr>
        <w:t>（</w:t>
      </w:r>
      <w:r>
        <w:rPr>
          <w:rFonts w:hint="eastAsia" w:ascii="楷体_GB2312" w:hAnsi="楷体_GB2312" w:eastAsia="楷体_GB2312" w:cs="楷体_GB2312"/>
          <w:b/>
          <w:bCs/>
          <w:color w:val="auto"/>
          <w:szCs w:val="32"/>
          <w:highlight w:val="none"/>
          <w:lang w:val="zh-CN"/>
        </w:rPr>
        <w:t>五）绩效评价指标体系</w:t>
      </w:r>
      <w:bookmarkEnd w:id="708"/>
      <w:bookmarkEnd w:id="709"/>
      <w:bookmarkEnd w:id="710"/>
      <w:bookmarkEnd w:id="711"/>
      <w:bookmarkEnd w:id="712"/>
      <w:bookmarkEnd w:id="713"/>
      <w:bookmarkEnd w:id="714"/>
      <w:bookmarkEnd w:id="715"/>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right="0" w:firstLine="640" w:firstLineChars="200"/>
        <w:textAlignment w:val="auto"/>
        <w:rPr>
          <w:rFonts w:hint="eastAsia" w:ascii="仿宋_GB2312" w:hAnsi="仿宋_GB2312" w:eastAsia="仿宋_GB2312" w:cs="仿宋_GB2312"/>
          <w:color w:val="auto"/>
          <w:sz w:val="32"/>
          <w:szCs w:val="32"/>
          <w:highlight w:val="none"/>
        </w:rPr>
      </w:pPr>
      <w:bookmarkStart w:id="716" w:name="_Toc18015"/>
      <w:bookmarkStart w:id="717" w:name="_Toc6602"/>
      <w:bookmarkStart w:id="718" w:name="_Toc17042"/>
      <w:bookmarkStart w:id="719" w:name="_Toc15552"/>
      <w:r>
        <w:rPr>
          <w:rFonts w:hint="eastAsia" w:ascii="仿宋_GB2312" w:hAnsi="仿宋_GB2312" w:eastAsia="仿宋_GB2312" w:cs="仿宋_GB2312"/>
          <w:color w:val="auto"/>
          <w:sz w:val="32"/>
          <w:szCs w:val="32"/>
          <w:highlight w:val="none"/>
        </w:rPr>
        <w:t>本次绩效评价指标体系</w:t>
      </w:r>
      <w:r>
        <w:rPr>
          <w:rFonts w:hint="eastAsia" w:ascii="仿宋_GB2312" w:hAnsi="仿宋_GB2312" w:eastAsia="仿宋_GB2312" w:cs="仿宋_GB2312"/>
          <w:color w:val="auto"/>
          <w:sz w:val="32"/>
          <w:szCs w:val="32"/>
          <w:highlight w:val="none"/>
          <w:lang w:eastAsia="zh-CN"/>
        </w:rPr>
        <w:t>紧紧</w:t>
      </w:r>
      <w:r>
        <w:rPr>
          <w:rFonts w:hint="eastAsia" w:ascii="仿宋_GB2312" w:hAnsi="仿宋_GB2312" w:eastAsia="仿宋_GB2312" w:cs="仿宋_GB2312"/>
          <w:color w:val="auto"/>
          <w:sz w:val="32"/>
          <w:szCs w:val="32"/>
          <w:highlight w:val="none"/>
        </w:rPr>
        <w:t>围绕</w:t>
      </w:r>
      <w:r>
        <w:rPr>
          <w:rFonts w:hint="eastAsia" w:cs="仿宋_GB2312"/>
          <w:color w:val="auto"/>
          <w:sz w:val="32"/>
          <w:szCs w:val="32"/>
          <w:highlight w:val="none"/>
          <w:lang w:val="en-US" w:eastAsia="zh-CN"/>
        </w:rPr>
        <w:t>西宁市城中区</w:t>
      </w:r>
      <w:r>
        <w:rPr>
          <w:rFonts w:hint="eastAsia" w:cs="Times New Roman"/>
          <w:color w:val="auto"/>
          <w:lang w:val="en-US" w:eastAsia="zh-CN"/>
        </w:rPr>
        <w:t>总寨塬智能温室园区道路工程和排水工程项目</w:t>
      </w:r>
      <w:r>
        <w:rPr>
          <w:rFonts w:hint="eastAsia" w:ascii="仿宋_GB2312" w:hAnsi="仿宋_GB2312" w:eastAsia="仿宋_GB2312" w:cs="仿宋_GB2312"/>
          <w:color w:val="auto"/>
          <w:sz w:val="32"/>
          <w:szCs w:val="32"/>
          <w:highlight w:val="none"/>
          <w:lang w:eastAsia="zh-CN"/>
        </w:rPr>
        <w:t>的</w:t>
      </w:r>
      <w:r>
        <w:rPr>
          <w:rFonts w:hint="eastAsia" w:ascii="仿宋_GB2312" w:hAnsi="仿宋_GB2312" w:eastAsia="仿宋_GB2312" w:cs="仿宋_GB2312"/>
          <w:color w:val="auto"/>
          <w:sz w:val="32"/>
          <w:szCs w:val="32"/>
          <w:highlight w:val="none"/>
        </w:rPr>
        <w:t>项目决策、组织</w:t>
      </w:r>
      <w:r>
        <w:rPr>
          <w:rFonts w:hint="eastAsia" w:ascii="仿宋_GB2312" w:hAnsi="仿宋_GB2312" w:eastAsia="仿宋_GB2312" w:cs="仿宋_GB2312"/>
          <w:color w:val="auto"/>
          <w:sz w:val="32"/>
          <w:szCs w:val="32"/>
          <w:highlight w:val="none"/>
          <w:lang w:eastAsia="zh-CN"/>
        </w:rPr>
        <w:t>实施</w:t>
      </w:r>
      <w:r>
        <w:rPr>
          <w:rFonts w:hint="eastAsia" w:ascii="仿宋_GB2312" w:hAnsi="仿宋_GB2312" w:eastAsia="仿宋_GB2312" w:cs="仿宋_GB2312"/>
          <w:color w:val="auto"/>
          <w:sz w:val="32"/>
          <w:szCs w:val="32"/>
          <w:highlight w:val="none"/>
        </w:rPr>
        <w:t>、资金投入与使用、项目实施</w:t>
      </w:r>
      <w:r>
        <w:rPr>
          <w:rFonts w:hint="eastAsia" w:ascii="仿宋_GB2312" w:hAnsi="仿宋_GB2312" w:eastAsia="仿宋_GB2312" w:cs="仿宋_GB2312"/>
          <w:color w:val="auto"/>
          <w:sz w:val="32"/>
          <w:szCs w:val="32"/>
          <w:highlight w:val="none"/>
          <w:lang w:eastAsia="zh-CN"/>
        </w:rPr>
        <w:t>过程</w:t>
      </w:r>
      <w:r>
        <w:rPr>
          <w:rFonts w:hint="eastAsia" w:ascii="仿宋_GB2312" w:hAnsi="仿宋_GB2312" w:eastAsia="仿宋_GB2312" w:cs="仿宋_GB2312"/>
          <w:color w:val="auto"/>
          <w:sz w:val="32"/>
          <w:szCs w:val="32"/>
          <w:highlight w:val="none"/>
        </w:rPr>
        <w:t>及</w:t>
      </w:r>
      <w:r>
        <w:rPr>
          <w:rFonts w:hint="eastAsia" w:ascii="仿宋_GB2312" w:hAnsi="仿宋_GB2312" w:eastAsia="仿宋_GB2312" w:cs="仿宋_GB2312"/>
          <w:color w:val="auto"/>
          <w:sz w:val="32"/>
          <w:szCs w:val="32"/>
          <w:highlight w:val="none"/>
          <w:lang w:eastAsia="zh-CN"/>
        </w:rPr>
        <w:t>目标任务的实现</w:t>
      </w:r>
      <w:r>
        <w:rPr>
          <w:rFonts w:hint="eastAsia" w:ascii="仿宋_GB2312" w:hAnsi="仿宋_GB2312" w:eastAsia="仿宋_GB2312" w:cs="仿宋_GB2312"/>
          <w:color w:val="auto"/>
          <w:sz w:val="32"/>
          <w:szCs w:val="32"/>
          <w:highlight w:val="none"/>
        </w:rPr>
        <w:t>情况等重要内容</w:t>
      </w:r>
      <w:r>
        <w:rPr>
          <w:rFonts w:hint="eastAsia" w:ascii="仿宋_GB2312" w:hAnsi="仿宋_GB2312" w:eastAsia="仿宋_GB2312" w:cs="仿宋_GB2312"/>
          <w:color w:val="auto"/>
          <w:sz w:val="32"/>
          <w:szCs w:val="32"/>
          <w:highlight w:val="none"/>
          <w:lang w:eastAsia="zh-CN"/>
        </w:rPr>
        <w:t>进行</w:t>
      </w:r>
      <w:r>
        <w:rPr>
          <w:rFonts w:hint="eastAsia" w:ascii="仿宋_GB2312" w:hAnsi="仿宋_GB2312" w:eastAsia="仿宋_GB2312" w:cs="仿宋_GB2312"/>
          <w:color w:val="auto"/>
          <w:sz w:val="32"/>
          <w:szCs w:val="32"/>
          <w:highlight w:val="none"/>
        </w:rPr>
        <w:t>设计，结合绩效评价方法，从项目决策、过程、产出、</w:t>
      </w:r>
      <w:r>
        <w:rPr>
          <w:rFonts w:hint="eastAsia" w:ascii="仿宋_GB2312" w:hAnsi="仿宋_GB2312" w:eastAsia="仿宋_GB2312" w:cs="仿宋_GB2312"/>
          <w:color w:val="auto"/>
          <w:sz w:val="32"/>
          <w:szCs w:val="32"/>
          <w:highlight w:val="none"/>
          <w:lang w:eastAsia="zh-CN"/>
        </w:rPr>
        <w:t>效益</w:t>
      </w:r>
      <w:r>
        <w:rPr>
          <w:rFonts w:hint="eastAsia" w:ascii="仿宋_GB2312" w:hAnsi="仿宋_GB2312" w:eastAsia="仿宋_GB2312" w:cs="仿宋_GB2312"/>
          <w:color w:val="auto"/>
          <w:sz w:val="32"/>
          <w:szCs w:val="32"/>
          <w:highlight w:val="none"/>
        </w:rPr>
        <w:t>四个方面对项目实施情况进行综合评价。各项</w:t>
      </w:r>
      <w:r>
        <w:rPr>
          <w:rFonts w:hint="eastAsia" w:ascii="仿宋_GB2312" w:hAnsi="仿宋_GB2312" w:eastAsia="仿宋_GB2312" w:cs="仿宋_GB2312"/>
          <w:bCs/>
          <w:color w:val="auto"/>
          <w:sz w:val="32"/>
          <w:szCs w:val="32"/>
          <w:highlight w:val="none"/>
        </w:rPr>
        <w:t>指标权重设计，按照《财政部关于印发</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项目支出绩效评价管理办法</w:t>
      </w:r>
      <w:r>
        <w:rPr>
          <w:rFonts w:hint="eastAsia" w:ascii="仿宋_GB2312" w:hAnsi="仿宋_GB2312" w:eastAsia="仿宋_GB2312" w:cs="仿宋_GB2312"/>
          <w:bCs/>
          <w:color w:val="auto"/>
          <w:sz w:val="32"/>
          <w:szCs w:val="32"/>
          <w:highlight w:val="none"/>
          <w:lang w:eastAsia="zh-CN"/>
        </w:rPr>
        <w:t>〉</w:t>
      </w:r>
      <w:r>
        <w:rPr>
          <w:rFonts w:hint="eastAsia" w:ascii="仿宋_GB2312" w:hAnsi="仿宋_GB2312" w:eastAsia="仿宋_GB2312" w:cs="仿宋_GB2312"/>
          <w:bCs/>
          <w:color w:val="auto"/>
          <w:sz w:val="32"/>
          <w:szCs w:val="32"/>
          <w:highlight w:val="none"/>
        </w:rPr>
        <w:t>的通知》（财预</w:t>
      </w:r>
      <w:r>
        <w:rPr>
          <w:rFonts w:hint="default" w:ascii="Times New Roman" w:hAnsi="Times New Roman" w:eastAsia="仿宋_GB2312" w:cs="Times New Roman"/>
          <w:bCs/>
          <w:color w:val="auto"/>
          <w:sz w:val="32"/>
          <w:szCs w:val="32"/>
          <w:highlight w:val="none"/>
        </w:rPr>
        <w:t>〔2020〕10</w:t>
      </w:r>
      <w:r>
        <w:rPr>
          <w:rFonts w:hint="eastAsia" w:ascii="仿宋_GB2312" w:hAnsi="仿宋_GB2312" w:eastAsia="仿宋_GB2312" w:cs="仿宋_GB2312"/>
          <w:bCs/>
          <w:color w:val="auto"/>
          <w:sz w:val="32"/>
          <w:szCs w:val="32"/>
          <w:highlight w:val="none"/>
        </w:rPr>
        <w:t>号）</w:t>
      </w:r>
      <w:r>
        <w:rPr>
          <w:rFonts w:hint="eastAsia" w:ascii="仿宋_GB2312" w:hAnsi="仿宋_GB2312" w:eastAsia="仿宋_GB2312" w:cs="仿宋_GB2312"/>
          <w:color w:val="auto"/>
          <w:sz w:val="32"/>
          <w:szCs w:val="32"/>
          <w:highlight w:val="none"/>
        </w:rPr>
        <w:t>文件中“应当</w:t>
      </w:r>
      <w:r>
        <w:rPr>
          <w:rFonts w:hint="eastAsia" w:ascii="仿宋_GB2312" w:hAnsi="仿宋_GB2312" w:eastAsia="仿宋_GB2312" w:cs="仿宋_GB2312"/>
          <w:bCs/>
          <w:color w:val="auto"/>
          <w:sz w:val="32"/>
          <w:szCs w:val="32"/>
          <w:highlight w:val="none"/>
        </w:rPr>
        <w:t>突出结果导向，原则上产出、效益指标权重不低于</w:t>
      </w:r>
      <w:r>
        <w:rPr>
          <w:rFonts w:hint="eastAsia" w:ascii="Times New Roman" w:hAnsi="Times New Roman" w:eastAsia="仿宋_GB2312" w:cs="Times New Roman"/>
          <w:bCs/>
          <w:color w:val="auto"/>
          <w:sz w:val="32"/>
          <w:szCs w:val="32"/>
          <w:highlight w:val="none"/>
        </w:rPr>
        <w:t>60%”的</w:t>
      </w:r>
      <w:r>
        <w:rPr>
          <w:rFonts w:hint="eastAsia" w:ascii="仿宋_GB2312" w:hAnsi="仿宋_GB2312" w:eastAsia="仿宋_GB2312" w:cs="仿宋_GB2312"/>
          <w:bCs/>
          <w:color w:val="auto"/>
          <w:sz w:val="32"/>
          <w:szCs w:val="32"/>
          <w:highlight w:val="none"/>
        </w:rPr>
        <w:t>要求进行合理赋分。具体评价指标内容如下：</w:t>
      </w:r>
    </w:p>
    <w:p>
      <w:pPr>
        <w:keepNext w:val="0"/>
        <w:keepLines w:val="0"/>
        <w:pageBreakBefore w:val="0"/>
        <w:kinsoku/>
        <w:wordWrap/>
        <w:overflowPunct/>
        <w:topLinePunct w:val="0"/>
        <w:autoSpaceDE/>
        <w:autoSpaceDN/>
        <w:bidi w:val="0"/>
        <w:adjustRightInd/>
        <w:snapToGrid/>
        <w:spacing w:line="576" w:lineRule="exact"/>
        <w:ind w:left="0" w:leftChars="0" w:firstLine="643"/>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1.决策</w:t>
      </w:r>
      <w:r>
        <w:rPr>
          <w:rFonts w:hint="eastAsia" w:ascii="仿宋_GB2312" w:hAnsi="仿宋_GB2312" w:eastAsia="仿宋_GB2312" w:cs="仿宋_GB2312"/>
          <w:color w:val="auto"/>
          <w:sz w:val="32"/>
          <w:szCs w:val="32"/>
          <w:highlight w:val="none"/>
        </w:rPr>
        <w:t>：占权重分</w:t>
      </w:r>
      <w:r>
        <w:rPr>
          <w:rFonts w:hint="eastAsia" w:ascii="Times New Roman" w:hAnsi="Times New Roman" w:eastAsia="仿宋_GB2312" w:cs="Times New Roman"/>
          <w:bCs/>
          <w:color w:val="auto"/>
          <w:sz w:val="32"/>
          <w:szCs w:val="32"/>
          <w:highlight w:val="none"/>
          <w:lang w:val="en-US" w:eastAsia="zh-CN"/>
        </w:rPr>
        <w:t>11.5</w:t>
      </w:r>
      <w:r>
        <w:rPr>
          <w:rFonts w:hint="eastAsia" w:ascii="Times New Roman" w:hAnsi="Times New Roman" w:eastAsia="仿宋_GB2312" w:cs="Times New Roman"/>
          <w:bCs/>
          <w:color w:val="auto"/>
          <w:sz w:val="32"/>
          <w:szCs w:val="32"/>
          <w:highlight w:val="none"/>
        </w:rPr>
        <w:t>分，</w:t>
      </w:r>
      <w:r>
        <w:rPr>
          <w:rFonts w:hint="eastAsia" w:ascii="仿宋_GB2312" w:hAnsi="仿宋_GB2312" w:eastAsia="仿宋_GB2312" w:cs="仿宋_GB2312"/>
          <w:color w:val="auto"/>
          <w:sz w:val="32"/>
          <w:szCs w:val="32"/>
          <w:highlight w:val="none"/>
        </w:rPr>
        <w:t>从项目</w:t>
      </w:r>
      <w:r>
        <w:rPr>
          <w:rFonts w:hint="eastAsia" w:ascii="仿宋_GB2312" w:hAnsi="仿宋_GB2312" w:eastAsia="仿宋_GB2312" w:cs="仿宋_GB2312"/>
          <w:color w:val="auto"/>
          <w:sz w:val="32"/>
          <w:szCs w:val="32"/>
          <w:highlight w:val="none"/>
          <w:lang w:eastAsia="zh-CN"/>
        </w:rPr>
        <w:t>决策</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eastAsia="zh-CN"/>
        </w:rPr>
        <w:t>绩效目标、资金投入三个</w:t>
      </w:r>
      <w:r>
        <w:rPr>
          <w:rFonts w:hint="eastAsia" w:ascii="仿宋_GB2312" w:hAnsi="仿宋_GB2312" w:eastAsia="仿宋_GB2312" w:cs="仿宋_GB2312"/>
          <w:color w:val="auto"/>
          <w:sz w:val="32"/>
          <w:szCs w:val="32"/>
          <w:highlight w:val="none"/>
        </w:rPr>
        <w:t>方面进行评价分析，主要</w:t>
      </w:r>
      <w:r>
        <w:rPr>
          <w:rFonts w:hint="eastAsia" w:ascii="仿宋_GB2312" w:hAnsi="仿宋_GB2312" w:eastAsia="仿宋_GB2312" w:cs="仿宋_GB2312"/>
          <w:color w:val="auto"/>
          <w:sz w:val="32"/>
          <w:szCs w:val="32"/>
          <w:highlight w:val="none"/>
          <w:lang w:eastAsia="zh-CN"/>
        </w:rPr>
        <w:t>考核项目立项依据充分性、项目程序合规性、绩效目标合理性、绩效指标明确性、</w:t>
      </w:r>
      <w:r>
        <w:rPr>
          <w:rFonts w:hint="eastAsia" w:cs="仿宋_GB2312"/>
          <w:color w:val="auto"/>
          <w:sz w:val="32"/>
          <w:szCs w:val="32"/>
          <w:highlight w:val="none"/>
          <w:lang w:val="en-US" w:eastAsia="zh-CN"/>
        </w:rPr>
        <w:t>资金预算合规性</w:t>
      </w:r>
      <w:r>
        <w:rPr>
          <w:rFonts w:hint="eastAsia" w:ascii="仿宋_GB2312" w:hAnsi="仿宋_GB2312" w:eastAsia="仿宋_GB2312" w:cs="仿宋_GB2312"/>
          <w:color w:val="auto"/>
          <w:sz w:val="32"/>
          <w:szCs w:val="32"/>
          <w:highlight w:val="none"/>
          <w:lang w:eastAsia="zh-CN"/>
        </w:rPr>
        <w:t>、资金</w:t>
      </w:r>
      <w:r>
        <w:rPr>
          <w:rFonts w:hint="eastAsia" w:cs="仿宋_GB2312"/>
          <w:color w:val="auto"/>
          <w:sz w:val="32"/>
          <w:szCs w:val="32"/>
          <w:highlight w:val="none"/>
          <w:lang w:val="en-US" w:eastAsia="zh-CN"/>
        </w:rPr>
        <w:t>到位率</w:t>
      </w:r>
      <w:r>
        <w:rPr>
          <w:rFonts w:hint="eastAsia" w:ascii="仿宋_GB2312" w:hAnsi="仿宋_GB2312" w:eastAsia="仿宋_GB2312" w:cs="仿宋_GB2312"/>
          <w:color w:val="auto"/>
          <w:sz w:val="32"/>
          <w:szCs w:val="32"/>
          <w:highlight w:val="none"/>
          <w:lang w:eastAsia="zh-CN"/>
        </w:rPr>
        <w:t>等方面</w:t>
      </w:r>
      <w:r>
        <w:rPr>
          <w:rFonts w:hint="eastAsia" w:ascii="仿宋_GB2312" w:hAnsi="仿宋_GB2312" w:eastAsia="仿宋_GB2312" w:cs="仿宋_GB2312"/>
          <w:color w:val="auto"/>
          <w:sz w:val="32"/>
          <w:szCs w:val="32"/>
          <w:highlight w:val="none"/>
        </w:rPr>
        <w:t>。</w:t>
      </w:r>
    </w:p>
    <w:p>
      <w:pPr>
        <w:keepNext w:val="0"/>
        <w:keepLines w:val="0"/>
        <w:pageBreakBefore w:val="0"/>
        <w:kinsoku/>
        <w:wordWrap/>
        <w:overflowPunct/>
        <w:topLinePunct w:val="0"/>
        <w:autoSpaceDE/>
        <w:autoSpaceDN/>
        <w:bidi w:val="0"/>
        <w:adjustRightInd/>
        <w:snapToGrid/>
        <w:spacing w:line="576" w:lineRule="exact"/>
        <w:ind w:left="0" w:leftChars="0" w:firstLine="643"/>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2.过程：</w:t>
      </w:r>
      <w:r>
        <w:rPr>
          <w:rFonts w:hint="eastAsia" w:ascii="仿宋_GB2312" w:hAnsi="仿宋_GB2312" w:eastAsia="仿宋_GB2312" w:cs="仿宋_GB2312"/>
          <w:color w:val="auto"/>
          <w:sz w:val="32"/>
          <w:szCs w:val="32"/>
          <w:highlight w:val="none"/>
        </w:rPr>
        <w:t>占权重</w:t>
      </w:r>
      <w:r>
        <w:rPr>
          <w:rFonts w:hint="eastAsia" w:ascii="Times New Roman" w:hAnsi="Times New Roman" w:eastAsia="仿宋_GB2312" w:cs="Times New Roman"/>
          <w:bCs/>
          <w:color w:val="auto"/>
          <w:sz w:val="32"/>
          <w:szCs w:val="32"/>
          <w:highlight w:val="none"/>
        </w:rPr>
        <w:t>分</w:t>
      </w:r>
      <w:r>
        <w:rPr>
          <w:rFonts w:hint="eastAsia" w:ascii="Times New Roman" w:hAnsi="Times New Roman" w:eastAsia="仿宋_GB2312" w:cs="Times New Roman"/>
          <w:bCs/>
          <w:color w:val="auto"/>
          <w:sz w:val="32"/>
          <w:szCs w:val="32"/>
          <w:highlight w:val="none"/>
          <w:lang w:val="en-US" w:eastAsia="zh-CN"/>
        </w:rPr>
        <w:t>23.5</w:t>
      </w:r>
      <w:r>
        <w:rPr>
          <w:rFonts w:hint="eastAsia" w:ascii="Times New Roman" w:hAnsi="Times New Roman" w:eastAsia="仿宋_GB2312" w:cs="Times New Roman"/>
          <w:bCs/>
          <w:color w:val="auto"/>
          <w:sz w:val="32"/>
          <w:szCs w:val="32"/>
          <w:highlight w:val="none"/>
        </w:rPr>
        <w:t>分，</w:t>
      </w:r>
      <w:r>
        <w:rPr>
          <w:rFonts w:hint="eastAsia" w:ascii="仿宋_GB2312" w:hAnsi="仿宋_GB2312" w:eastAsia="仿宋_GB2312" w:cs="仿宋_GB2312"/>
          <w:color w:val="auto"/>
          <w:sz w:val="32"/>
          <w:szCs w:val="32"/>
          <w:highlight w:val="none"/>
        </w:rPr>
        <w:t>从</w:t>
      </w:r>
      <w:r>
        <w:rPr>
          <w:rFonts w:hint="eastAsia" w:ascii="仿宋_GB2312" w:hAnsi="仿宋_GB2312" w:eastAsia="仿宋_GB2312" w:cs="仿宋_GB2312"/>
          <w:color w:val="auto"/>
          <w:sz w:val="32"/>
          <w:szCs w:val="32"/>
          <w:highlight w:val="none"/>
          <w:lang w:eastAsia="zh-CN"/>
        </w:rPr>
        <w:t>资金管理</w:t>
      </w:r>
      <w:r>
        <w:rPr>
          <w:rFonts w:hint="eastAsia" w:ascii="仿宋_GB2312" w:hAnsi="仿宋_GB2312" w:eastAsia="仿宋_GB2312" w:cs="仿宋_GB2312"/>
          <w:color w:val="auto"/>
          <w:sz w:val="32"/>
          <w:szCs w:val="32"/>
          <w:highlight w:val="none"/>
        </w:rPr>
        <w:t>和</w:t>
      </w:r>
      <w:r>
        <w:rPr>
          <w:rFonts w:hint="eastAsia" w:ascii="仿宋_GB2312" w:hAnsi="仿宋_GB2312" w:eastAsia="仿宋_GB2312" w:cs="仿宋_GB2312"/>
          <w:color w:val="auto"/>
          <w:sz w:val="32"/>
          <w:szCs w:val="32"/>
          <w:highlight w:val="none"/>
          <w:lang w:eastAsia="zh-CN"/>
        </w:rPr>
        <w:t>组织实施</w:t>
      </w:r>
      <w:r>
        <w:rPr>
          <w:rFonts w:hint="eastAsia" w:ascii="仿宋_GB2312" w:hAnsi="仿宋_GB2312" w:eastAsia="仿宋_GB2312" w:cs="仿宋_GB2312"/>
          <w:color w:val="auto"/>
          <w:sz w:val="32"/>
          <w:szCs w:val="32"/>
          <w:highlight w:val="none"/>
        </w:rPr>
        <w:t>两个方面进行评价分析，主要</w:t>
      </w:r>
      <w:r>
        <w:rPr>
          <w:rFonts w:hint="eastAsia" w:ascii="仿宋_GB2312" w:hAnsi="仿宋_GB2312" w:eastAsia="仿宋_GB2312" w:cs="仿宋_GB2312"/>
          <w:color w:val="auto"/>
          <w:sz w:val="32"/>
          <w:szCs w:val="32"/>
          <w:highlight w:val="none"/>
          <w:lang w:eastAsia="zh-CN"/>
        </w:rPr>
        <w:t>考核资金</w:t>
      </w:r>
      <w:r>
        <w:rPr>
          <w:rFonts w:hint="eastAsia" w:cs="仿宋_GB2312"/>
          <w:color w:val="auto"/>
          <w:sz w:val="32"/>
          <w:szCs w:val="32"/>
          <w:highlight w:val="none"/>
          <w:lang w:val="en-US" w:eastAsia="zh-CN"/>
        </w:rPr>
        <w:t>支出进度</w:t>
      </w:r>
      <w:r>
        <w:rPr>
          <w:rFonts w:hint="eastAsia" w:ascii="仿宋_GB2312" w:hAnsi="仿宋_GB2312" w:eastAsia="仿宋_GB2312" w:cs="仿宋_GB2312"/>
          <w:color w:val="auto"/>
          <w:sz w:val="32"/>
          <w:szCs w:val="32"/>
          <w:highlight w:val="none"/>
          <w:lang w:eastAsia="zh-CN"/>
        </w:rPr>
        <w:t>、资金使用合规性、</w:t>
      </w:r>
      <w:r>
        <w:rPr>
          <w:rFonts w:hint="eastAsia" w:cs="仿宋_GB2312"/>
          <w:color w:val="auto"/>
          <w:sz w:val="32"/>
          <w:szCs w:val="32"/>
          <w:highlight w:val="none"/>
          <w:lang w:val="en-US" w:eastAsia="zh-CN"/>
        </w:rPr>
        <w:t>财务</w:t>
      </w:r>
      <w:r>
        <w:rPr>
          <w:rFonts w:hint="eastAsia" w:ascii="仿宋_GB2312" w:hAnsi="仿宋_GB2312" w:eastAsia="仿宋_GB2312" w:cs="仿宋_GB2312"/>
          <w:color w:val="auto"/>
          <w:sz w:val="32"/>
          <w:szCs w:val="32"/>
          <w:highlight w:val="none"/>
          <w:lang w:eastAsia="zh-CN"/>
        </w:rPr>
        <w:t>管理规范性、管理制度健全性、</w:t>
      </w:r>
      <w:r>
        <w:rPr>
          <w:rFonts w:hint="eastAsia" w:cs="仿宋_GB2312"/>
          <w:color w:val="auto"/>
          <w:sz w:val="32"/>
          <w:szCs w:val="32"/>
          <w:highlight w:val="none"/>
          <w:lang w:val="en-US" w:eastAsia="zh-CN"/>
        </w:rPr>
        <w:t>招投标合规性、施工管理规范性、质量安全管理规范性、监理</w:t>
      </w:r>
      <w:r>
        <w:rPr>
          <w:rFonts w:hint="eastAsia" w:ascii="仿宋_GB2312" w:hAnsi="仿宋_GB2312" w:eastAsia="仿宋_GB2312" w:cs="仿宋_GB2312"/>
          <w:color w:val="auto"/>
          <w:sz w:val="32"/>
          <w:szCs w:val="32"/>
          <w:highlight w:val="none"/>
          <w:lang w:eastAsia="zh-CN"/>
        </w:rPr>
        <w:t>管理</w:t>
      </w:r>
      <w:r>
        <w:rPr>
          <w:rFonts w:hint="eastAsia" w:cs="仿宋_GB2312"/>
          <w:color w:val="auto"/>
          <w:sz w:val="32"/>
          <w:szCs w:val="32"/>
          <w:highlight w:val="none"/>
          <w:lang w:val="en-US" w:eastAsia="zh-CN"/>
        </w:rPr>
        <w:t>规范性</w:t>
      </w:r>
      <w:r>
        <w:rPr>
          <w:rFonts w:hint="eastAsia" w:ascii="仿宋_GB2312" w:hAnsi="仿宋_GB2312" w:eastAsia="仿宋_GB2312" w:cs="仿宋_GB2312"/>
          <w:color w:val="auto"/>
          <w:sz w:val="32"/>
          <w:szCs w:val="32"/>
          <w:highlight w:val="none"/>
          <w:lang w:eastAsia="zh-CN"/>
        </w:rPr>
        <w:t>、验收管理</w:t>
      </w:r>
      <w:r>
        <w:rPr>
          <w:rFonts w:hint="eastAsia" w:cs="仿宋_GB2312"/>
          <w:color w:val="auto"/>
          <w:sz w:val="32"/>
          <w:szCs w:val="32"/>
          <w:highlight w:val="none"/>
          <w:lang w:val="en-US" w:eastAsia="zh-CN"/>
        </w:rPr>
        <w:t>规范性</w:t>
      </w:r>
      <w:r>
        <w:rPr>
          <w:rFonts w:hint="eastAsia" w:ascii="仿宋_GB2312" w:hAnsi="仿宋_GB2312" w:eastAsia="仿宋_GB2312" w:cs="仿宋_GB2312"/>
          <w:color w:val="auto"/>
          <w:sz w:val="32"/>
          <w:szCs w:val="32"/>
          <w:highlight w:val="none"/>
          <w:lang w:eastAsia="zh-CN"/>
        </w:rPr>
        <w:t>、</w:t>
      </w:r>
      <w:r>
        <w:rPr>
          <w:rFonts w:hint="eastAsia" w:cs="仿宋_GB2312"/>
          <w:color w:val="auto"/>
          <w:sz w:val="32"/>
          <w:szCs w:val="32"/>
          <w:highlight w:val="none"/>
          <w:lang w:eastAsia="zh-CN"/>
        </w:rPr>
        <w:t>管护保障有效性、</w:t>
      </w:r>
      <w:r>
        <w:rPr>
          <w:rFonts w:hint="eastAsia" w:cs="仿宋_GB2312"/>
          <w:color w:val="auto"/>
          <w:sz w:val="32"/>
          <w:szCs w:val="32"/>
          <w:highlight w:val="none"/>
          <w:lang w:val="en-US" w:eastAsia="zh-CN"/>
        </w:rPr>
        <w:t>合同管理完备性、</w:t>
      </w:r>
      <w:r>
        <w:rPr>
          <w:rFonts w:hint="eastAsia" w:ascii="仿宋_GB2312" w:hAnsi="仿宋_GB2312" w:eastAsia="仿宋_GB2312" w:cs="仿宋_GB2312"/>
          <w:color w:val="auto"/>
          <w:sz w:val="32"/>
          <w:szCs w:val="32"/>
          <w:highlight w:val="none"/>
          <w:lang w:eastAsia="zh-CN"/>
        </w:rPr>
        <w:t>档案管理</w:t>
      </w:r>
      <w:r>
        <w:rPr>
          <w:rFonts w:hint="eastAsia" w:cs="仿宋_GB2312"/>
          <w:color w:val="auto"/>
          <w:sz w:val="32"/>
          <w:szCs w:val="32"/>
          <w:highlight w:val="none"/>
          <w:lang w:val="en-US" w:eastAsia="zh-CN"/>
        </w:rPr>
        <w:t>完整性</w:t>
      </w:r>
      <w:r>
        <w:rPr>
          <w:rFonts w:hint="eastAsia" w:ascii="仿宋_GB2312" w:hAnsi="仿宋_GB2312" w:eastAsia="仿宋_GB2312" w:cs="仿宋_GB2312"/>
          <w:color w:val="auto"/>
          <w:sz w:val="32"/>
          <w:szCs w:val="32"/>
          <w:highlight w:val="none"/>
          <w:lang w:eastAsia="zh-CN"/>
        </w:rPr>
        <w:t>等方面。</w:t>
      </w:r>
    </w:p>
    <w:p>
      <w:pPr>
        <w:keepNext w:val="0"/>
        <w:keepLines w:val="0"/>
        <w:pageBreakBefore w:val="0"/>
        <w:widowControl/>
        <w:kinsoku/>
        <w:wordWrap/>
        <w:overflowPunct/>
        <w:topLinePunct w:val="0"/>
        <w:autoSpaceDE/>
        <w:autoSpaceDN/>
        <w:bidi w:val="0"/>
        <w:adjustRightInd/>
        <w:snapToGrid/>
        <w:spacing w:line="576" w:lineRule="exact"/>
        <w:ind w:left="0" w:leftChars="0" w:firstLine="643"/>
        <w:textAlignment w:val="center"/>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b/>
          <w:bCs/>
          <w:color w:val="auto"/>
          <w:sz w:val="32"/>
          <w:szCs w:val="32"/>
          <w:highlight w:val="none"/>
        </w:rPr>
        <w:t>3.产出：</w:t>
      </w:r>
      <w:r>
        <w:rPr>
          <w:rFonts w:hint="eastAsia" w:ascii="仿宋_GB2312" w:hAnsi="仿宋_GB2312" w:eastAsia="仿宋_GB2312" w:cs="仿宋_GB2312"/>
          <w:color w:val="auto"/>
          <w:sz w:val="32"/>
          <w:szCs w:val="32"/>
          <w:highlight w:val="none"/>
        </w:rPr>
        <w:t>占权重</w:t>
      </w:r>
      <w:r>
        <w:rPr>
          <w:rFonts w:hint="eastAsia" w:ascii="Times New Roman" w:hAnsi="Times New Roman" w:eastAsia="仿宋_GB2312" w:cs="Times New Roman"/>
          <w:bCs/>
          <w:color w:val="auto"/>
          <w:sz w:val="32"/>
          <w:szCs w:val="32"/>
          <w:highlight w:val="none"/>
        </w:rPr>
        <w:t>分</w:t>
      </w:r>
      <w:r>
        <w:rPr>
          <w:rFonts w:hint="eastAsia" w:ascii="Times New Roman" w:hAnsi="Times New Roman" w:eastAsia="仿宋_GB2312" w:cs="Times New Roman"/>
          <w:bCs/>
          <w:color w:val="auto"/>
          <w:sz w:val="32"/>
          <w:szCs w:val="32"/>
          <w:highlight w:val="none"/>
          <w:lang w:val="en-US" w:eastAsia="zh-CN"/>
        </w:rPr>
        <w:t>30</w:t>
      </w:r>
      <w:r>
        <w:rPr>
          <w:rFonts w:hint="eastAsia" w:ascii="Times New Roman" w:hAnsi="Times New Roman" w:eastAsia="仿宋_GB2312" w:cs="Times New Roman"/>
          <w:bCs/>
          <w:color w:val="auto"/>
          <w:sz w:val="32"/>
          <w:szCs w:val="32"/>
          <w:highlight w:val="none"/>
        </w:rPr>
        <w:t>分</w:t>
      </w:r>
      <w:r>
        <w:rPr>
          <w:rFonts w:hint="eastAsia" w:ascii="仿宋_GB2312" w:hAnsi="仿宋_GB2312" w:eastAsia="仿宋_GB2312" w:cs="仿宋_GB2312"/>
          <w:color w:val="auto"/>
          <w:sz w:val="32"/>
          <w:szCs w:val="32"/>
          <w:highlight w:val="none"/>
        </w:rPr>
        <w:t>，从数量、质量、时效</w:t>
      </w:r>
      <w:r>
        <w:rPr>
          <w:rFonts w:hint="eastAsia" w:ascii="仿宋_GB2312" w:hAnsi="仿宋_GB2312" w:eastAsia="仿宋_GB2312" w:cs="仿宋_GB2312"/>
          <w:color w:val="auto"/>
          <w:sz w:val="32"/>
          <w:szCs w:val="32"/>
          <w:highlight w:val="none"/>
          <w:lang w:eastAsia="zh-CN"/>
        </w:rPr>
        <w:t>和成本四</w:t>
      </w:r>
      <w:r>
        <w:rPr>
          <w:rFonts w:hint="eastAsia" w:ascii="仿宋_GB2312" w:hAnsi="仿宋_GB2312" w:eastAsia="仿宋_GB2312" w:cs="仿宋_GB2312"/>
          <w:color w:val="auto"/>
          <w:sz w:val="32"/>
          <w:szCs w:val="32"/>
          <w:highlight w:val="none"/>
        </w:rPr>
        <w:t>个方面进行绩效分析，具体</w:t>
      </w:r>
      <w:r>
        <w:rPr>
          <w:rFonts w:hint="eastAsia" w:ascii="仿宋_GB2312" w:hAnsi="仿宋_GB2312" w:eastAsia="仿宋_GB2312" w:cs="仿宋_GB2312"/>
          <w:color w:val="auto"/>
          <w:sz w:val="32"/>
          <w:szCs w:val="32"/>
          <w:highlight w:val="none"/>
          <w:lang w:eastAsia="zh-CN"/>
        </w:rPr>
        <w:t>包括</w:t>
      </w:r>
      <w:r>
        <w:rPr>
          <w:rFonts w:hint="eastAsia" w:cs="仿宋_GB2312"/>
          <w:color w:val="auto"/>
          <w:sz w:val="32"/>
          <w:szCs w:val="32"/>
          <w:highlight w:val="none"/>
          <w:lang w:val="en-US" w:eastAsia="zh-CN"/>
        </w:rPr>
        <w:t>道路工程建设内容完工率</w:t>
      </w:r>
      <w:r>
        <w:rPr>
          <w:rFonts w:hint="eastAsia" w:ascii="仿宋_GB2312" w:hAnsi="仿宋_GB2312" w:eastAsia="仿宋_GB2312" w:cs="仿宋_GB2312"/>
          <w:color w:val="auto"/>
          <w:sz w:val="32"/>
          <w:szCs w:val="32"/>
          <w:highlight w:val="none"/>
          <w:lang w:eastAsia="zh-CN"/>
        </w:rPr>
        <w:t>、</w:t>
      </w:r>
      <w:r>
        <w:rPr>
          <w:rFonts w:hint="eastAsia" w:cs="仿宋_GB2312"/>
          <w:color w:val="auto"/>
          <w:sz w:val="32"/>
          <w:szCs w:val="32"/>
          <w:highlight w:val="none"/>
          <w:lang w:val="en-US" w:eastAsia="zh-CN"/>
        </w:rPr>
        <w:t>排水工程建设内容完工率、道路工程质量合格情况、排水工程质量合格情况、工程完工及时性、验收和移交及时性、</w:t>
      </w:r>
      <w:r>
        <w:rPr>
          <w:rFonts w:hint="eastAsia" w:ascii="仿宋_GB2312" w:hAnsi="仿宋_GB2312" w:eastAsia="仿宋_GB2312" w:cs="仿宋_GB2312"/>
          <w:color w:val="auto"/>
          <w:sz w:val="32"/>
          <w:szCs w:val="32"/>
          <w:highlight w:val="none"/>
          <w:lang w:eastAsia="zh-CN"/>
        </w:rPr>
        <w:t>成本节约</w:t>
      </w:r>
      <w:r>
        <w:rPr>
          <w:rFonts w:hint="eastAsia" w:cs="仿宋_GB2312"/>
          <w:color w:val="auto"/>
          <w:sz w:val="32"/>
          <w:szCs w:val="32"/>
          <w:highlight w:val="none"/>
          <w:lang w:val="en-US" w:eastAsia="zh-CN"/>
        </w:rPr>
        <w:t>率</w:t>
      </w:r>
      <w:r>
        <w:rPr>
          <w:rFonts w:hint="eastAsia" w:ascii="仿宋_GB2312" w:hAnsi="仿宋_GB2312" w:eastAsia="仿宋_GB2312" w:cs="仿宋_GB2312"/>
          <w:color w:val="auto"/>
          <w:sz w:val="32"/>
          <w:szCs w:val="32"/>
          <w:highlight w:val="none"/>
          <w:lang w:eastAsia="zh-CN"/>
        </w:rPr>
        <w:t>等。</w:t>
      </w:r>
    </w:p>
    <w:p>
      <w:pPr>
        <w:pageBreakBefore w:val="0"/>
        <w:kinsoku/>
        <w:wordWrap/>
        <w:overflowPunct/>
        <w:topLinePunct w:val="0"/>
        <w:autoSpaceDE/>
        <w:autoSpaceDN/>
        <w:bidi w:val="0"/>
        <w:adjustRightInd/>
        <w:snapToGrid/>
        <w:spacing w:line="576" w:lineRule="exact"/>
        <w:ind w:left="0" w:leftChars="0" w:firstLine="643"/>
        <w:rPr>
          <w:rFonts w:hint="eastAsia" w:ascii="Times New Roman" w:hAnsi="Times New Roman" w:eastAsia="仿宋_GB2312" w:cs="Times New Roman"/>
          <w:bCs/>
          <w:color w:val="auto"/>
          <w:sz w:val="32"/>
          <w:szCs w:val="32"/>
          <w:highlight w:val="none"/>
          <w:lang w:eastAsia="zh-CN"/>
        </w:rPr>
      </w:pPr>
      <w:r>
        <w:rPr>
          <w:rFonts w:hint="eastAsia" w:ascii="仿宋_GB2312" w:hAnsi="仿宋_GB2312" w:eastAsia="仿宋_GB2312" w:cs="仿宋_GB2312"/>
          <w:b/>
          <w:bCs/>
          <w:color w:val="auto"/>
          <w:sz w:val="32"/>
          <w:szCs w:val="32"/>
          <w:highlight w:val="none"/>
        </w:rPr>
        <w:t>4.效益：</w:t>
      </w:r>
      <w:r>
        <w:rPr>
          <w:rFonts w:hint="eastAsia" w:ascii="仿宋_GB2312" w:hAnsi="仿宋_GB2312" w:eastAsia="仿宋_GB2312" w:cs="仿宋_GB2312"/>
          <w:color w:val="auto"/>
          <w:sz w:val="32"/>
          <w:szCs w:val="32"/>
          <w:highlight w:val="none"/>
          <w:lang w:eastAsia="zh-CN"/>
        </w:rPr>
        <w:t>占权重分</w:t>
      </w:r>
      <w:r>
        <w:rPr>
          <w:rFonts w:hint="eastAsia" w:ascii="Times New Roman" w:hAnsi="Times New Roman" w:eastAsia="仿宋_GB2312" w:cs="Times New Roman"/>
          <w:bCs/>
          <w:color w:val="auto"/>
          <w:sz w:val="32"/>
          <w:szCs w:val="32"/>
          <w:highlight w:val="none"/>
          <w:lang w:val="en-US" w:eastAsia="zh-CN"/>
        </w:rPr>
        <w:t>35</w:t>
      </w:r>
      <w:r>
        <w:rPr>
          <w:rFonts w:hint="eastAsia" w:ascii="Times New Roman" w:hAnsi="Times New Roman" w:eastAsia="仿宋_GB2312" w:cs="Times New Roman"/>
          <w:bCs/>
          <w:color w:val="auto"/>
          <w:sz w:val="32"/>
          <w:szCs w:val="32"/>
          <w:highlight w:val="none"/>
          <w:lang w:eastAsia="zh-CN"/>
        </w:rPr>
        <w:t>分</w:t>
      </w:r>
      <w:r>
        <w:rPr>
          <w:rFonts w:hint="eastAsia" w:ascii="仿宋_GB2312" w:hAnsi="仿宋_GB2312" w:eastAsia="仿宋_GB2312" w:cs="仿宋_GB2312"/>
          <w:color w:val="auto"/>
          <w:sz w:val="32"/>
          <w:szCs w:val="32"/>
          <w:highlight w:val="none"/>
          <w:lang w:eastAsia="zh-CN"/>
        </w:rPr>
        <w:t>，从</w:t>
      </w:r>
      <w:r>
        <w:rPr>
          <w:rFonts w:hint="eastAsia" w:cs="仿宋_GB2312"/>
          <w:color w:val="auto"/>
          <w:sz w:val="32"/>
          <w:szCs w:val="32"/>
          <w:highlight w:val="none"/>
          <w:lang w:val="en-US" w:eastAsia="zh-CN"/>
        </w:rPr>
        <w:t>经济效益、</w:t>
      </w:r>
      <w:r>
        <w:rPr>
          <w:rFonts w:hint="eastAsia" w:ascii="仿宋_GB2312" w:hAnsi="仿宋_GB2312" w:eastAsia="仿宋_GB2312" w:cs="仿宋_GB2312"/>
          <w:color w:val="auto"/>
          <w:sz w:val="32"/>
          <w:szCs w:val="32"/>
          <w:highlight w:val="none"/>
          <w:lang w:eastAsia="zh-CN"/>
        </w:rPr>
        <w:t>社会效益、生态效益、可持续影响、满意度</w:t>
      </w:r>
      <w:r>
        <w:rPr>
          <w:rFonts w:hint="eastAsia" w:cs="仿宋_GB2312"/>
          <w:color w:val="auto"/>
          <w:sz w:val="32"/>
          <w:szCs w:val="32"/>
          <w:highlight w:val="none"/>
          <w:lang w:val="en-US" w:eastAsia="zh-CN"/>
        </w:rPr>
        <w:t>五</w:t>
      </w:r>
      <w:r>
        <w:rPr>
          <w:rFonts w:hint="eastAsia" w:ascii="仿宋_GB2312" w:hAnsi="仿宋_GB2312" w:eastAsia="仿宋_GB2312" w:cs="仿宋_GB2312"/>
          <w:color w:val="auto"/>
          <w:sz w:val="32"/>
          <w:szCs w:val="32"/>
          <w:highlight w:val="none"/>
          <w:lang w:eastAsia="zh-CN"/>
        </w:rPr>
        <w:t>个方面进行评价分析，主要考核项目实施后</w:t>
      </w:r>
      <w:r>
        <w:rPr>
          <w:rFonts w:hint="eastAsia" w:cs="仿宋_GB2312"/>
          <w:color w:val="auto"/>
          <w:sz w:val="32"/>
          <w:szCs w:val="32"/>
          <w:highlight w:val="none"/>
          <w:lang w:val="en-US" w:eastAsia="zh-CN"/>
        </w:rPr>
        <w:t>稳定蔬菜价格情况</w:t>
      </w:r>
      <w:r>
        <w:rPr>
          <w:rFonts w:hint="eastAsia" w:ascii="仿宋_GB2312" w:hAnsi="仿宋_GB2312" w:eastAsia="仿宋_GB2312" w:cs="仿宋_GB2312"/>
          <w:color w:val="auto"/>
          <w:sz w:val="32"/>
          <w:szCs w:val="32"/>
          <w:highlight w:val="none"/>
          <w:lang w:eastAsia="zh-CN"/>
        </w:rPr>
        <w:t>、</w:t>
      </w:r>
      <w:r>
        <w:rPr>
          <w:rFonts w:hint="eastAsia" w:cs="仿宋_GB2312"/>
          <w:color w:val="auto"/>
          <w:sz w:val="32"/>
          <w:szCs w:val="32"/>
          <w:highlight w:val="none"/>
          <w:lang w:val="en-US" w:eastAsia="zh-CN"/>
        </w:rPr>
        <w:t>提高农民收入、保障蔬菜供给、促进温室产业发展、提高自然灾害抵御能力、改善农业生产环境、提高土地资源利用率、推动绿色生态农业建设、促进人民安居乐业</w:t>
      </w:r>
      <w:r>
        <w:rPr>
          <w:rFonts w:hint="eastAsia" w:ascii="仿宋_GB2312" w:hAnsi="仿宋_GB2312" w:eastAsia="仿宋_GB2312" w:cs="仿宋_GB2312"/>
          <w:color w:val="auto"/>
          <w:sz w:val="32"/>
          <w:szCs w:val="32"/>
          <w:highlight w:val="none"/>
          <w:lang w:eastAsia="zh-CN"/>
        </w:rPr>
        <w:t>等方面发挥的效益，以及项目实施</w:t>
      </w:r>
      <w:r>
        <w:rPr>
          <w:rFonts w:hint="eastAsia" w:cs="仿宋_GB2312"/>
          <w:color w:val="auto"/>
          <w:sz w:val="32"/>
          <w:szCs w:val="32"/>
          <w:highlight w:val="none"/>
          <w:lang w:val="en-US" w:eastAsia="zh-CN"/>
        </w:rPr>
        <w:t>后园区工作人员和受益群体</w:t>
      </w:r>
      <w:r>
        <w:rPr>
          <w:rFonts w:hint="eastAsia" w:ascii="仿宋_GB2312" w:hAnsi="仿宋_GB2312" w:eastAsia="仿宋_GB2312" w:cs="仿宋_GB2312"/>
          <w:color w:val="auto"/>
          <w:sz w:val="32"/>
          <w:szCs w:val="32"/>
          <w:highlight w:val="none"/>
          <w:lang w:eastAsia="zh-CN"/>
        </w:rPr>
        <w:t>的满意度。</w:t>
      </w:r>
      <w:r>
        <w:rPr>
          <w:rFonts w:hint="eastAsia" w:cs="Times New Roman"/>
          <w:color w:val="auto"/>
          <w:lang w:val="en-US" w:eastAsia="zh-CN"/>
        </w:rPr>
        <w:t>具体指标体系见</w:t>
      </w:r>
      <w:r>
        <w:rPr>
          <w:rFonts w:hint="eastAsia" w:ascii="Times New Roman" w:hAnsi="Times New Roman" w:eastAsia="仿宋_GB2312" w:cs="Times New Roman"/>
          <w:bCs/>
          <w:color w:val="auto"/>
          <w:sz w:val="32"/>
          <w:szCs w:val="32"/>
          <w:highlight w:val="none"/>
          <w:lang w:val="en-US" w:eastAsia="zh-CN"/>
        </w:rPr>
        <w:t>附件1。</w:t>
      </w:r>
    </w:p>
    <w:p>
      <w:pPr>
        <w:pageBreakBefore w:val="0"/>
        <w:overflowPunct/>
        <w:topLinePunct w:val="0"/>
        <w:bidi w:val="0"/>
        <w:spacing w:line="576" w:lineRule="exact"/>
        <w:ind w:left="0" w:leftChars="0" w:firstLine="643"/>
        <w:outlineLvl w:val="1"/>
        <w:rPr>
          <w:rFonts w:hint="eastAsia" w:ascii="楷体_GB2312" w:hAnsi="楷体_GB2312" w:eastAsia="楷体_GB2312" w:cs="楷体_GB2312"/>
          <w:b/>
          <w:bCs/>
          <w:color w:val="auto"/>
          <w:szCs w:val="32"/>
          <w:lang w:val="zh-CN"/>
        </w:rPr>
      </w:pPr>
      <w:bookmarkStart w:id="720" w:name="_Toc13930"/>
      <w:bookmarkStart w:id="721" w:name="_Toc10192"/>
      <w:bookmarkStart w:id="722" w:name="_Toc8015"/>
      <w:bookmarkStart w:id="723" w:name="_Toc23860"/>
      <w:bookmarkStart w:id="724" w:name="_Toc10425"/>
      <w:r>
        <w:rPr>
          <w:rFonts w:hint="eastAsia" w:ascii="楷体_GB2312" w:hAnsi="楷体_GB2312" w:eastAsia="楷体_GB2312" w:cs="楷体_GB2312"/>
          <w:b/>
          <w:bCs/>
          <w:color w:val="auto"/>
          <w:szCs w:val="32"/>
          <w:lang w:val="zh-CN"/>
        </w:rPr>
        <w:t>（六）评价人员组成</w:t>
      </w:r>
      <w:bookmarkEnd w:id="716"/>
      <w:bookmarkEnd w:id="717"/>
      <w:bookmarkEnd w:id="718"/>
      <w:bookmarkEnd w:id="720"/>
      <w:bookmarkEnd w:id="721"/>
      <w:bookmarkEnd w:id="722"/>
      <w:bookmarkEnd w:id="723"/>
      <w:bookmarkEnd w:id="724"/>
    </w:p>
    <w:p>
      <w:pPr>
        <w:pageBreakBefore w:val="0"/>
        <w:overflowPunct/>
        <w:topLinePunct w:val="0"/>
        <w:bidi w:val="0"/>
        <w:spacing w:line="576" w:lineRule="exact"/>
        <w:ind w:left="0" w:leftChars="0"/>
        <w:rPr>
          <w:rFonts w:hAnsi="Calibri" w:cs="黑体"/>
          <w:bCs/>
          <w:color w:val="auto"/>
          <w:szCs w:val="32"/>
        </w:rPr>
      </w:pPr>
      <w:r>
        <w:rPr>
          <w:rFonts w:hint="eastAsia" w:hAnsi="Calibri" w:cs="黑体"/>
          <w:bCs/>
          <w:color w:val="auto"/>
          <w:szCs w:val="32"/>
        </w:rPr>
        <w:t>为加强对绩效评价工作的组织和管理，绩效评价机构根据此次工作需求，成立此次项目绩效评价工作组，负责项目绩效评价的组织协调、调研访谈及报告撰写等工作。</w:t>
      </w:r>
      <w:r>
        <w:rPr>
          <w:rFonts w:hint="eastAsia" w:ascii="仿宋_GB2312" w:hAnsi="仿宋_GB2312" w:eastAsia="仿宋_GB2312" w:cs="仿宋_GB2312"/>
          <w:color w:val="auto"/>
          <w:sz w:val="32"/>
          <w:szCs w:val="32"/>
          <w:highlight w:val="none"/>
          <w:lang w:val="en-US" w:eastAsia="zh-CN"/>
        </w:rPr>
        <w:t>在评价工作中，评价组成员由主评人、项目经理和项目助理组成，开展现场资料核查和实地调研工作。</w:t>
      </w:r>
      <w:r>
        <w:rPr>
          <w:rFonts w:hint="eastAsia" w:hAnsi="Calibri" w:cs="黑体"/>
          <w:bCs/>
          <w:color w:val="auto"/>
          <w:szCs w:val="32"/>
        </w:rPr>
        <w:t>具体人员组成如下：</w:t>
      </w:r>
    </w:p>
    <w:p>
      <w:pPr>
        <w:pageBreakBefore w:val="0"/>
        <w:overflowPunct/>
        <w:topLinePunct w:val="0"/>
        <w:bidi w:val="0"/>
        <w:spacing w:line="576" w:lineRule="exact"/>
        <w:ind w:left="0" w:leftChars="0" w:firstLine="643"/>
        <w:rPr>
          <w:rFonts w:hint="eastAsia" w:hAnsi="Calibri" w:cs="黑体"/>
          <w:bCs/>
          <w:color w:val="auto"/>
          <w:szCs w:val="32"/>
          <w:lang w:val="en-US" w:eastAsia="zh-CN"/>
        </w:rPr>
      </w:pPr>
      <w:r>
        <w:rPr>
          <w:rFonts w:hint="eastAsia" w:hAnsi="Calibri" w:cs="黑体"/>
          <w:b/>
          <w:color w:val="auto"/>
          <w:szCs w:val="32"/>
          <w:lang w:val="en-US" w:eastAsia="zh-CN"/>
        </w:rPr>
        <w:t>主评人：</w:t>
      </w:r>
      <w:r>
        <w:rPr>
          <w:rFonts w:hint="eastAsia" w:hAnsi="Calibri" w:cs="黑体"/>
          <w:bCs/>
          <w:color w:val="auto"/>
          <w:szCs w:val="32"/>
          <w:lang w:val="en-US" w:eastAsia="zh-CN"/>
        </w:rPr>
        <w:t>主要负责该项目绩效评价总体实施，包括绩效评价前期资料的准备、项目对接会沟通、现场核查工作的安排、评价过程中的协调、评价进度把控等工作。</w:t>
      </w:r>
    </w:p>
    <w:p>
      <w:pPr>
        <w:pageBreakBefore w:val="0"/>
        <w:overflowPunct/>
        <w:topLinePunct w:val="0"/>
        <w:bidi w:val="0"/>
        <w:spacing w:line="576" w:lineRule="exact"/>
        <w:ind w:left="0" w:leftChars="0" w:firstLine="643"/>
        <w:rPr>
          <w:rFonts w:hAnsi="Calibri" w:cs="黑体"/>
          <w:bCs/>
          <w:color w:val="auto"/>
          <w:szCs w:val="32"/>
        </w:rPr>
      </w:pPr>
      <w:r>
        <w:rPr>
          <w:rFonts w:hint="eastAsia" w:hAnsi="Calibri" w:cs="黑体"/>
          <w:b/>
          <w:color w:val="auto"/>
          <w:szCs w:val="32"/>
        </w:rPr>
        <w:t>项目经理：</w:t>
      </w:r>
      <w:r>
        <w:rPr>
          <w:rFonts w:hint="eastAsia" w:hAnsi="Calibri" w:cs="黑体"/>
          <w:bCs/>
          <w:color w:val="auto"/>
          <w:szCs w:val="32"/>
          <w:lang w:val="en-US" w:eastAsia="zh-CN"/>
        </w:rPr>
        <w:t>主要负责现场调查工作和报告撰写，</w:t>
      </w:r>
      <w:r>
        <w:rPr>
          <w:rFonts w:hint="eastAsia" w:hAnsi="Calibri" w:cs="黑体"/>
          <w:bCs/>
          <w:color w:val="auto"/>
          <w:szCs w:val="32"/>
        </w:rPr>
        <w:t>包括绩效评价前期资料的准备、现场核查工作的安排、评价过程中的沟通协调、数据分析及报告撰写等工作。</w:t>
      </w:r>
    </w:p>
    <w:p>
      <w:pPr>
        <w:pageBreakBefore w:val="0"/>
        <w:overflowPunct/>
        <w:topLinePunct w:val="0"/>
        <w:bidi w:val="0"/>
        <w:spacing w:line="576" w:lineRule="exact"/>
        <w:ind w:left="0" w:leftChars="0" w:firstLine="643"/>
        <w:rPr>
          <w:rFonts w:cs="Times New Roman"/>
          <w:color w:val="auto"/>
        </w:rPr>
      </w:pPr>
      <w:r>
        <w:rPr>
          <w:rFonts w:hint="eastAsia" w:hAnsi="Calibri" w:cs="黑体"/>
          <w:b/>
          <w:color w:val="auto"/>
          <w:szCs w:val="32"/>
        </w:rPr>
        <w:t>项目助理：</w:t>
      </w:r>
      <w:r>
        <w:rPr>
          <w:rFonts w:hint="eastAsia" w:hAnsi="Calibri" w:cs="黑体"/>
          <w:bCs/>
          <w:color w:val="auto"/>
          <w:szCs w:val="32"/>
          <w:lang w:val="en-US" w:eastAsia="zh-CN"/>
        </w:rPr>
        <w:t>主要负责辅助主评人和实地调研负责人开展绩效评价工作，现场资料查阅、资料收集与整理、现场问卷发放与收集、基础数据统计等工作。</w:t>
      </w:r>
      <w:r>
        <w:rPr>
          <w:rFonts w:hint="eastAsia" w:hAnsi="Calibri" w:cs="黑体"/>
          <w:bCs/>
          <w:color w:val="auto"/>
          <w:szCs w:val="32"/>
        </w:rPr>
        <w:t>具体人员的安排如下。</w:t>
      </w:r>
    </w:p>
    <w:p>
      <w:pPr>
        <w:pageBreakBefore w:val="0"/>
        <w:overflowPunct/>
        <w:topLinePunct w:val="0"/>
        <w:bidi w:val="0"/>
        <w:spacing w:line="576" w:lineRule="exact"/>
        <w:ind w:left="0" w:leftChars="0" w:firstLine="0" w:firstLineChars="0"/>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表</w:t>
      </w:r>
      <w:r>
        <w:rPr>
          <w:rFonts w:hint="eastAsia" w:ascii="宋体" w:hAnsi="宋体" w:eastAsia="宋体" w:cs="宋体"/>
          <w:b/>
          <w:color w:val="auto"/>
          <w:sz w:val="28"/>
          <w:szCs w:val="28"/>
          <w:lang w:val="en-US" w:eastAsia="zh-CN"/>
        </w:rPr>
        <w:t xml:space="preserve">1 </w:t>
      </w:r>
      <w:r>
        <w:rPr>
          <w:rFonts w:hint="eastAsia" w:ascii="宋体" w:hAnsi="宋体" w:eastAsia="宋体" w:cs="宋体"/>
          <w:b/>
          <w:color w:val="auto"/>
          <w:sz w:val="28"/>
          <w:szCs w:val="28"/>
        </w:rPr>
        <w:t>项目</w:t>
      </w:r>
      <w:r>
        <w:rPr>
          <w:rFonts w:hint="eastAsia" w:ascii="宋体" w:hAnsi="宋体" w:eastAsia="宋体" w:cs="宋体"/>
          <w:b/>
          <w:color w:val="auto"/>
          <w:sz w:val="28"/>
          <w:szCs w:val="28"/>
          <w:lang w:eastAsia="zh-CN"/>
        </w:rPr>
        <w:t>评价组</w:t>
      </w:r>
      <w:r>
        <w:rPr>
          <w:rFonts w:hint="eastAsia" w:ascii="宋体" w:hAnsi="宋体" w:eastAsia="宋体" w:cs="宋体"/>
          <w:b/>
          <w:color w:val="auto"/>
          <w:sz w:val="28"/>
          <w:szCs w:val="28"/>
        </w:rPr>
        <w:t>人员安排</w:t>
      </w:r>
    </w:p>
    <w:tbl>
      <w:tblPr>
        <w:tblStyle w:val="1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7"/>
        <w:gridCol w:w="1359"/>
        <w:gridCol w:w="1680"/>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893"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姓名</w:t>
            </w:r>
          </w:p>
        </w:tc>
        <w:tc>
          <w:tcPr>
            <w:tcW w:w="750" w:type="pct"/>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职称</w:t>
            </w:r>
          </w:p>
        </w:tc>
        <w:tc>
          <w:tcPr>
            <w:tcW w:w="927"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职责</w:t>
            </w:r>
          </w:p>
        </w:tc>
        <w:tc>
          <w:tcPr>
            <w:tcW w:w="2428" w:type="pct"/>
            <w:vAlign w:val="center"/>
          </w:tcPr>
          <w:p>
            <w:pPr>
              <w:pageBreakBefore w:val="0"/>
              <w:overflowPunct/>
              <w:topLinePunct w:val="0"/>
              <w:bidi w:val="0"/>
              <w:adjustRightInd w:val="0"/>
              <w:snapToGrid w:val="0"/>
              <w:spacing w:line="576" w:lineRule="exact"/>
              <w:ind w:left="0" w:leftChars="0" w:firstLine="0" w:firstLineChars="0"/>
              <w:jc w:val="center"/>
              <w:rPr>
                <w:rFonts w:ascii="宋体" w:hAnsi="宋体" w:eastAsia="宋体" w:cs="宋体"/>
                <w:b/>
                <w:sz w:val="24"/>
                <w:szCs w:val="24"/>
                <w:highlight w:val="none"/>
              </w:rPr>
            </w:pPr>
            <w:r>
              <w:rPr>
                <w:rFonts w:hint="eastAsia" w:ascii="宋体" w:hAnsi="宋体" w:eastAsia="宋体" w:cs="宋体"/>
                <w:b/>
                <w:sz w:val="24"/>
                <w:szCs w:val="24"/>
                <w:highlight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521" w:type="dxa"/>
            <w:shd w:val="clear" w:color="auto" w:fill="auto"/>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王守成</w:t>
            </w:r>
          </w:p>
        </w:tc>
        <w:tc>
          <w:tcPr>
            <w:tcW w:w="1278" w:type="dxa"/>
            <w:shd w:val="clear" w:color="auto" w:fill="auto"/>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中级会计师</w:t>
            </w:r>
          </w:p>
        </w:tc>
        <w:tc>
          <w:tcPr>
            <w:tcW w:w="1579" w:type="dxa"/>
            <w:shd w:val="clear" w:color="auto" w:fill="auto"/>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主评人</w:t>
            </w:r>
          </w:p>
        </w:tc>
        <w:tc>
          <w:tcPr>
            <w:tcW w:w="2428" w:type="pct"/>
            <w:shd w:val="clear" w:color="auto" w:fill="auto"/>
            <w:vAlign w:val="center"/>
          </w:tcPr>
          <w:p>
            <w:pPr>
              <w:pageBreakBefore w:val="0"/>
              <w:overflowPunct/>
              <w:topLinePunct w:val="0"/>
              <w:bidi w:val="0"/>
              <w:adjustRightInd w:val="0"/>
              <w:snapToGrid w:val="0"/>
              <w:spacing w:line="576" w:lineRule="exact"/>
              <w:ind w:left="0" w:leftChars="0" w:firstLine="0" w:firstLineChars="0"/>
              <w:jc w:val="both"/>
              <w:rPr>
                <w:rFonts w:ascii="宋体" w:hAnsi="宋体" w:eastAsia="宋体" w:cs="宋体"/>
                <w:b/>
                <w:sz w:val="24"/>
                <w:szCs w:val="24"/>
                <w:highlight w:val="none"/>
              </w:rPr>
            </w:pPr>
            <w:r>
              <w:rPr>
                <w:rFonts w:hint="eastAsia" w:ascii="宋体" w:hAnsi="宋体" w:eastAsia="宋体" w:cs="宋体"/>
                <w:kern w:val="2"/>
                <w:sz w:val="24"/>
                <w:szCs w:val="24"/>
                <w:highlight w:val="none"/>
                <w:lang w:val="en-US" w:eastAsia="zh-CN" w:bidi="ar-SA"/>
              </w:rPr>
              <w:t>统筹绩效评价整体工作。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张璐</w:t>
            </w:r>
          </w:p>
        </w:tc>
        <w:tc>
          <w:tcPr>
            <w:tcW w:w="1278" w:type="dxa"/>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初级经济师</w:t>
            </w:r>
          </w:p>
        </w:tc>
        <w:tc>
          <w:tcPr>
            <w:tcW w:w="1579" w:type="dxa"/>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项目经理</w:t>
            </w:r>
          </w:p>
        </w:tc>
        <w:tc>
          <w:tcPr>
            <w:tcW w:w="2428" w:type="pct"/>
            <w:vAlign w:val="center"/>
          </w:tcPr>
          <w:p>
            <w:pPr>
              <w:pageBreakBefore w:val="0"/>
              <w:overflowPunct/>
              <w:topLinePunct w:val="0"/>
              <w:bidi w:val="0"/>
              <w:adjustRightInd w:val="0"/>
              <w:snapToGrid w:val="0"/>
              <w:spacing w:line="576" w:lineRule="exact"/>
              <w:ind w:left="0" w:leftChars="0" w:firstLine="0" w:firstLineChars="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总体负责实地调研项目对接、组织开展项目实施座谈会（总体了解项目实施情况，资金使用情况）、查阅项目资料（包括项目和资金）总体负责对项目实施情况的核查调研、对项目助理发现的问题建议进行判断确认并进行汇总</w:t>
            </w:r>
            <w:r>
              <w:rPr>
                <w:rFonts w:hint="eastAsia" w:ascii="宋体" w:hAnsi="宋体" w:eastAsia="宋体" w:cs="宋体"/>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狄淑娟</w:t>
            </w:r>
          </w:p>
        </w:tc>
        <w:tc>
          <w:tcPr>
            <w:tcW w:w="1278" w:type="dxa"/>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初级会计师</w:t>
            </w:r>
          </w:p>
        </w:tc>
        <w:tc>
          <w:tcPr>
            <w:tcW w:w="1579" w:type="dxa"/>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项目助理</w:t>
            </w:r>
          </w:p>
        </w:tc>
        <w:tc>
          <w:tcPr>
            <w:tcW w:w="2428" w:type="pct"/>
            <w:vAlign w:val="center"/>
          </w:tcPr>
          <w:p>
            <w:pPr>
              <w:pageBreakBefore w:val="0"/>
              <w:overflowPunct/>
              <w:topLinePunct w:val="0"/>
              <w:bidi w:val="0"/>
              <w:adjustRightInd w:val="0"/>
              <w:snapToGrid w:val="0"/>
              <w:spacing w:line="576" w:lineRule="exact"/>
              <w:ind w:left="0" w:leftChars="0" w:firstLine="0" w:firstLineChars="0"/>
              <w:jc w:val="both"/>
              <w:rPr>
                <w:rFonts w:ascii="宋体" w:hAnsi="宋体" w:eastAsia="宋体" w:cs="宋体"/>
                <w:b/>
                <w:sz w:val="24"/>
                <w:szCs w:val="24"/>
                <w:highlight w:val="none"/>
              </w:rPr>
            </w:pPr>
            <w:r>
              <w:rPr>
                <w:rFonts w:hint="eastAsia" w:ascii="宋体" w:hAnsi="宋体" w:eastAsia="宋体" w:cs="宋体"/>
                <w:sz w:val="24"/>
                <w:szCs w:val="24"/>
                <w:highlight w:val="none"/>
              </w:rPr>
              <w:t>协助调研负责人开展项目实施文件的查阅，按照项目资料清单确认全部资料已查看到位，填写项目基本情况汇总表并交由</w:t>
            </w:r>
            <w:r>
              <w:rPr>
                <w:rFonts w:hint="eastAsia" w:ascii="宋体" w:hAnsi="宋体" w:eastAsia="宋体" w:cs="宋体"/>
                <w:sz w:val="24"/>
                <w:szCs w:val="24"/>
                <w:highlight w:val="none"/>
                <w:lang w:eastAsia="zh-CN"/>
              </w:rPr>
              <w:t>项目经理</w:t>
            </w:r>
            <w:r>
              <w:rPr>
                <w:rFonts w:hint="eastAsia" w:ascii="宋体" w:hAnsi="宋体" w:eastAsia="宋体" w:cs="宋体"/>
                <w:sz w:val="24"/>
                <w:szCs w:val="24"/>
                <w:highlight w:val="none"/>
              </w:rPr>
              <w:t>确认</w:t>
            </w:r>
            <w:r>
              <w:rPr>
                <w:rFonts w:hint="eastAsia" w:ascii="宋体" w:hAnsi="宋体" w:eastAsia="宋体" w:cs="宋体"/>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吴雪洁</w:t>
            </w:r>
          </w:p>
        </w:tc>
        <w:tc>
          <w:tcPr>
            <w:tcW w:w="1278" w:type="dxa"/>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初级会计师</w:t>
            </w:r>
          </w:p>
        </w:tc>
        <w:tc>
          <w:tcPr>
            <w:tcW w:w="1579" w:type="dxa"/>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项目助理</w:t>
            </w:r>
          </w:p>
        </w:tc>
        <w:tc>
          <w:tcPr>
            <w:tcW w:w="2428" w:type="pct"/>
            <w:vAlign w:val="center"/>
          </w:tcPr>
          <w:p>
            <w:pPr>
              <w:pageBreakBefore w:val="0"/>
              <w:overflowPunct/>
              <w:topLinePunct w:val="0"/>
              <w:bidi w:val="0"/>
              <w:adjustRightInd w:val="0"/>
              <w:snapToGrid w:val="0"/>
              <w:spacing w:line="576" w:lineRule="exact"/>
              <w:ind w:left="0" w:lef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协助</w:t>
            </w:r>
            <w:r>
              <w:rPr>
                <w:rFonts w:hint="eastAsia" w:ascii="宋体" w:hAnsi="宋体" w:eastAsia="宋体" w:cs="宋体"/>
                <w:sz w:val="24"/>
                <w:szCs w:val="24"/>
                <w:highlight w:val="none"/>
                <w:lang w:eastAsia="zh-CN"/>
              </w:rPr>
              <w:t>项目经理</w:t>
            </w:r>
            <w:r>
              <w:rPr>
                <w:rFonts w:hint="eastAsia" w:ascii="宋体" w:hAnsi="宋体" w:eastAsia="宋体" w:cs="宋体"/>
                <w:sz w:val="24"/>
                <w:szCs w:val="24"/>
                <w:highlight w:val="none"/>
              </w:rPr>
              <w:t>查看项目资金相关资料包括资金下达文件、核对资金使用数、会计账簿、项目明细账等；协助</w:t>
            </w:r>
            <w:r>
              <w:rPr>
                <w:rFonts w:hint="eastAsia" w:ascii="宋体" w:hAnsi="宋体" w:eastAsia="宋体" w:cs="宋体"/>
                <w:sz w:val="24"/>
                <w:szCs w:val="24"/>
                <w:highlight w:val="none"/>
                <w:lang w:eastAsia="zh-CN"/>
              </w:rPr>
              <w:t>项目经理</w:t>
            </w:r>
            <w:r>
              <w:rPr>
                <w:rFonts w:hint="eastAsia" w:ascii="宋体" w:hAnsi="宋体" w:eastAsia="宋体" w:cs="宋体"/>
                <w:sz w:val="24"/>
                <w:szCs w:val="24"/>
                <w:highlight w:val="none"/>
              </w:rPr>
              <w:t>对所收集的数据资料进行整理分析。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1" w:type="dxa"/>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魏巧玲</w:t>
            </w:r>
          </w:p>
        </w:tc>
        <w:tc>
          <w:tcPr>
            <w:tcW w:w="1278" w:type="dxa"/>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中级经济师</w:t>
            </w:r>
          </w:p>
        </w:tc>
        <w:tc>
          <w:tcPr>
            <w:tcW w:w="1579" w:type="dxa"/>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质控人员</w:t>
            </w:r>
          </w:p>
        </w:tc>
        <w:tc>
          <w:tcPr>
            <w:tcW w:w="2428" w:type="pct"/>
            <w:vAlign w:val="center"/>
          </w:tcPr>
          <w:p>
            <w:pPr>
              <w:pageBreakBefore w:val="0"/>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负责项目报告的质量控制，包括项目实施方案、指标体系、绩效评价报告等工作的审核及质量把控。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521" w:type="dxa"/>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高瑞</w:t>
            </w:r>
          </w:p>
        </w:tc>
        <w:tc>
          <w:tcPr>
            <w:tcW w:w="1278" w:type="dxa"/>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中级经济师</w:t>
            </w:r>
          </w:p>
        </w:tc>
        <w:tc>
          <w:tcPr>
            <w:tcW w:w="1579" w:type="dxa"/>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质控人员</w:t>
            </w:r>
          </w:p>
        </w:tc>
        <w:tc>
          <w:tcPr>
            <w:tcW w:w="2428" w:type="pct"/>
            <w:vAlign w:val="center"/>
          </w:tcPr>
          <w:p>
            <w:pPr>
              <w:pageBreakBefore w:val="0"/>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负责项目报告的质量控制，包括项目实施方案、指标体系、绩效评价报告等工作的审核及质量把控。</w:t>
            </w:r>
          </w:p>
        </w:tc>
      </w:tr>
      <w:bookmarkEnd w:id="719"/>
    </w:tbl>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1"/>
        <w:rPr>
          <w:rFonts w:hint="eastAsia" w:ascii="楷体_GB2312" w:hAnsi="楷体_GB2312" w:eastAsia="楷体_GB2312" w:cs="楷体_GB2312"/>
          <w:b/>
          <w:bCs/>
          <w:color w:val="auto"/>
          <w:szCs w:val="32"/>
          <w:lang w:val="zh-CN"/>
        </w:rPr>
      </w:pPr>
      <w:bookmarkStart w:id="725" w:name="_Toc21715"/>
      <w:bookmarkStart w:id="726" w:name="_Toc28090"/>
      <w:bookmarkStart w:id="727" w:name="_Toc23814"/>
      <w:bookmarkStart w:id="728" w:name="_Toc28883"/>
      <w:bookmarkStart w:id="729" w:name="_Toc30436"/>
      <w:bookmarkStart w:id="730" w:name="_Toc6102"/>
      <w:bookmarkStart w:id="731" w:name="_Toc25750"/>
      <w:bookmarkStart w:id="732" w:name="_Toc10267"/>
      <w:bookmarkStart w:id="733" w:name="_Toc24439"/>
      <w:r>
        <w:rPr>
          <w:rFonts w:hint="eastAsia" w:ascii="楷体_GB2312" w:hAnsi="楷体_GB2312" w:eastAsia="楷体_GB2312" w:cs="楷体_GB2312"/>
          <w:b/>
          <w:bCs/>
          <w:color w:val="auto"/>
          <w:szCs w:val="32"/>
          <w:lang w:val="zh-CN"/>
        </w:rPr>
        <w:t>（七）绩效评价工作过程</w:t>
      </w:r>
      <w:bookmarkEnd w:id="725"/>
      <w:bookmarkEnd w:id="726"/>
      <w:bookmarkEnd w:id="727"/>
      <w:bookmarkEnd w:id="728"/>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eastAsia" w:ascii="仿宋_GB2312" w:hAnsi="仿宋_GB2312" w:eastAsia="仿宋_GB2312" w:cs="仿宋_GB2312"/>
          <w:b/>
          <w:bCs/>
          <w:color w:val="auto"/>
          <w:kern w:val="2"/>
          <w:sz w:val="32"/>
          <w:szCs w:val="32"/>
          <w:highlight w:val="none"/>
          <w:lang w:val="en-US" w:eastAsia="zh-CN" w:bidi="ar-SA"/>
        </w:rPr>
      </w:pPr>
      <w:bookmarkStart w:id="734" w:name="_Toc19734_WPSOffice_Level1"/>
      <w:bookmarkStart w:id="735" w:name="_Toc31805_WPSOffice_Level2"/>
      <w:bookmarkStart w:id="736" w:name="_Toc29919"/>
      <w:bookmarkStart w:id="737" w:name="_Toc7887_WPSOffice_Level2"/>
      <w:bookmarkStart w:id="738" w:name="_Toc14497_WPSOffice_Level1"/>
      <w:bookmarkStart w:id="739" w:name="_Toc32150_WPSOffice_Level1"/>
      <w:bookmarkStart w:id="740" w:name="_Toc11403"/>
      <w:bookmarkStart w:id="741" w:name="_Toc24900"/>
      <w:r>
        <w:rPr>
          <w:rFonts w:hint="eastAsia" w:ascii="仿宋_GB2312" w:hAnsi="仿宋_GB2312" w:eastAsia="仿宋_GB2312" w:cs="仿宋_GB2312"/>
          <w:b/>
          <w:bCs/>
          <w:color w:val="auto"/>
          <w:kern w:val="2"/>
          <w:sz w:val="32"/>
          <w:szCs w:val="32"/>
          <w:highlight w:val="none"/>
          <w:lang w:val="en-US" w:eastAsia="zh-CN" w:bidi="ar-SA"/>
        </w:rPr>
        <w:t>1.项目前期准备</w:t>
      </w:r>
      <w:bookmarkEnd w:id="734"/>
      <w:bookmarkEnd w:id="735"/>
      <w:bookmarkEnd w:id="736"/>
      <w:bookmarkEnd w:id="737"/>
      <w:bookmarkEnd w:id="738"/>
      <w:bookmarkEnd w:id="739"/>
      <w:bookmarkEnd w:id="740"/>
      <w:bookmarkEnd w:id="741"/>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10月26日至11月24日，项目绩</w:t>
      </w:r>
      <w:r>
        <w:rPr>
          <w:rFonts w:hint="eastAsia" w:cs="仿宋_GB2312"/>
          <w:b w:val="0"/>
          <w:bCs w:val="0"/>
          <w:color w:val="auto"/>
          <w:sz w:val="32"/>
          <w:szCs w:val="32"/>
          <w:highlight w:val="none"/>
          <w:lang w:val="en-US" w:eastAsia="zh-CN"/>
        </w:rPr>
        <w:t>效评价工作组由于疫情影响重点开展项目绩效评价非现场工作。</w:t>
      </w:r>
      <w:r>
        <w:rPr>
          <w:rFonts w:hint="eastAsia" w:cs="仿宋_GB2312"/>
          <w:b/>
          <w:bCs/>
          <w:color w:val="auto"/>
          <w:sz w:val="32"/>
          <w:szCs w:val="32"/>
          <w:highlight w:val="none"/>
          <w:lang w:val="en-US" w:eastAsia="zh-CN"/>
        </w:rPr>
        <w:t>一是</w:t>
      </w:r>
      <w:r>
        <w:rPr>
          <w:rFonts w:hint="eastAsia" w:ascii="仿宋_GB2312" w:eastAsia="仿宋_GB2312" w:cs="Times New Roman"/>
          <w:bCs/>
          <w:color w:val="auto"/>
          <w:sz w:val="32"/>
          <w:szCs w:val="32"/>
          <w:highlight w:val="none"/>
        </w:rPr>
        <w:t>在与委托方及项目主管单位充分沟通的基础</w:t>
      </w:r>
      <w:r>
        <w:rPr>
          <w:rFonts w:hint="eastAsia" w:cs="Times New Roman"/>
          <w:bCs/>
          <w:color w:val="auto"/>
          <w:sz w:val="32"/>
          <w:szCs w:val="32"/>
          <w:highlight w:val="none"/>
          <w:lang w:val="en-US" w:eastAsia="zh-CN"/>
        </w:rPr>
        <w:t>后</w:t>
      </w:r>
      <w:r>
        <w:rPr>
          <w:rFonts w:hint="eastAsia" w:ascii="仿宋_GB2312" w:eastAsia="仿宋_GB2312" w:cs="Times New Roman"/>
          <w:bCs/>
          <w:color w:val="auto"/>
          <w:sz w:val="32"/>
          <w:szCs w:val="32"/>
          <w:highlight w:val="none"/>
        </w:rPr>
        <w:t>，结合</w:t>
      </w:r>
      <w:r>
        <w:rPr>
          <w:rFonts w:hint="eastAsia" w:cs="Times New Roman"/>
          <w:bCs/>
          <w:color w:val="auto"/>
          <w:sz w:val="32"/>
          <w:szCs w:val="32"/>
          <w:highlight w:val="none"/>
          <w:lang w:eastAsia="zh-CN"/>
        </w:rPr>
        <w:t>收集的基础资料</w:t>
      </w:r>
      <w:r>
        <w:rPr>
          <w:rFonts w:hint="eastAsia" w:ascii="仿宋_GB2312" w:eastAsia="仿宋_GB2312" w:cs="Times New Roman"/>
          <w:bCs/>
          <w:color w:val="auto"/>
          <w:sz w:val="32"/>
          <w:szCs w:val="32"/>
          <w:highlight w:val="none"/>
        </w:rPr>
        <w:t>，</w:t>
      </w:r>
      <w:r>
        <w:rPr>
          <w:rFonts w:hint="eastAsia" w:cs="Times New Roman"/>
          <w:bCs/>
          <w:color w:val="auto"/>
          <w:sz w:val="32"/>
          <w:szCs w:val="32"/>
          <w:highlight w:val="none"/>
          <w:lang w:eastAsia="zh-CN"/>
        </w:rPr>
        <w:t>制定包括符合项目特性的</w:t>
      </w:r>
      <w:r>
        <w:rPr>
          <w:rFonts w:hint="eastAsia" w:ascii="仿宋_GB2312" w:eastAsia="仿宋_GB2312" w:cs="Times New Roman"/>
          <w:bCs/>
          <w:color w:val="auto"/>
          <w:sz w:val="32"/>
          <w:szCs w:val="32"/>
          <w:highlight w:val="none"/>
        </w:rPr>
        <w:t>绩效评价指标体系</w:t>
      </w:r>
      <w:r>
        <w:rPr>
          <w:rFonts w:hint="eastAsia" w:cs="Times New Roman"/>
          <w:bCs/>
          <w:color w:val="auto"/>
          <w:sz w:val="32"/>
          <w:szCs w:val="32"/>
          <w:highlight w:val="none"/>
          <w:lang w:eastAsia="zh-CN"/>
        </w:rPr>
        <w:t>、调查问卷、资料清单、工作底稿以及工作流程的绩效评价实施方案</w:t>
      </w:r>
      <w:r>
        <w:rPr>
          <w:rFonts w:hint="eastAsia" w:ascii="仿宋_GB2312" w:eastAsia="仿宋_GB2312" w:cs="Times New Roman"/>
          <w:bCs/>
          <w:color w:val="auto"/>
          <w:sz w:val="32"/>
          <w:szCs w:val="32"/>
          <w:highlight w:val="none"/>
        </w:rPr>
        <w:t>。</w:t>
      </w:r>
      <w:r>
        <w:rPr>
          <w:rFonts w:hint="eastAsia" w:cs="Times New Roman"/>
          <w:b/>
          <w:bCs w:val="0"/>
          <w:color w:val="auto"/>
          <w:sz w:val="32"/>
          <w:szCs w:val="32"/>
          <w:highlight w:val="none"/>
          <w:lang w:eastAsia="zh-CN"/>
        </w:rPr>
        <w:t>二是</w:t>
      </w:r>
      <w:r>
        <w:rPr>
          <w:rFonts w:hint="eastAsia" w:ascii="仿宋_GB2312" w:eastAsia="仿宋_GB2312" w:cs="Times New Roman"/>
          <w:bCs/>
          <w:color w:val="auto"/>
          <w:sz w:val="32"/>
          <w:szCs w:val="32"/>
          <w:highlight w:val="none"/>
        </w:rPr>
        <w:t>与</w:t>
      </w:r>
      <w:r>
        <w:rPr>
          <w:rFonts w:hint="eastAsia" w:cs="Times New Roman"/>
          <w:bCs/>
          <w:color w:val="auto"/>
          <w:sz w:val="32"/>
          <w:szCs w:val="32"/>
          <w:highlight w:val="none"/>
          <w:lang w:eastAsia="zh-CN"/>
        </w:rPr>
        <w:t>项目主管单位</w:t>
      </w:r>
      <w:r>
        <w:rPr>
          <w:rFonts w:hint="eastAsia" w:ascii="仿宋_GB2312" w:eastAsia="仿宋_GB2312" w:cs="Times New Roman"/>
          <w:bCs/>
          <w:color w:val="auto"/>
          <w:sz w:val="32"/>
          <w:szCs w:val="32"/>
          <w:highlight w:val="none"/>
        </w:rPr>
        <w:t>对接人员</w:t>
      </w:r>
      <w:r>
        <w:rPr>
          <w:rFonts w:hint="eastAsia" w:cs="Times New Roman"/>
          <w:bCs/>
          <w:color w:val="auto"/>
          <w:sz w:val="32"/>
          <w:szCs w:val="32"/>
          <w:highlight w:val="none"/>
          <w:lang w:eastAsia="zh-CN"/>
        </w:rPr>
        <w:t>进行沟通，</w:t>
      </w:r>
      <w:r>
        <w:rPr>
          <w:rFonts w:hint="eastAsia" w:ascii="仿宋_GB2312" w:eastAsia="仿宋_GB2312" w:cs="Times New Roman"/>
          <w:bCs/>
          <w:color w:val="auto"/>
          <w:sz w:val="32"/>
          <w:szCs w:val="32"/>
          <w:highlight w:val="none"/>
        </w:rPr>
        <w:t>将评价所需文件资料清单</w:t>
      </w:r>
      <w:r>
        <w:rPr>
          <w:rFonts w:hint="eastAsia" w:cs="Times New Roman"/>
          <w:bCs/>
          <w:color w:val="auto"/>
          <w:sz w:val="32"/>
          <w:szCs w:val="32"/>
          <w:highlight w:val="none"/>
          <w:lang w:eastAsia="zh-CN"/>
        </w:rPr>
        <w:t>与</w:t>
      </w:r>
      <w:r>
        <w:rPr>
          <w:rFonts w:hint="eastAsia" w:ascii="仿宋_GB2312" w:eastAsia="仿宋_GB2312" w:cs="Times New Roman"/>
          <w:bCs/>
          <w:color w:val="auto"/>
          <w:sz w:val="32"/>
          <w:szCs w:val="32"/>
          <w:highlight w:val="none"/>
        </w:rPr>
        <w:t>评价工作通知提前发送至相关单位进行准备。</w:t>
      </w:r>
      <w:r>
        <w:rPr>
          <w:rFonts w:hint="eastAsia" w:cs="Times New Roman"/>
          <w:b/>
          <w:bCs w:val="0"/>
          <w:color w:val="auto"/>
          <w:sz w:val="32"/>
          <w:szCs w:val="32"/>
          <w:highlight w:val="none"/>
          <w:lang w:eastAsia="zh-CN"/>
        </w:rPr>
        <w:t>三是</w:t>
      </w:r>
      <w:r>
        <w:rPr>
          <w:rFonts w:hint="eastAsia" w:cs="Times New Roman"/>
          <w:b w:val="0"/>
          <w:bCs/>
          <w:color w:val="auto"/>
          <w:sz w:val="32"/>
          <w:szCs w:val="32"/>
          <w:highlight w:val="none"/>
          <w:lang w:eastAsia="zh-CN"/>
        </w:rPr>
        <w:t>就收集的文件资料进行核查整理，并将未能提供的佐证材料电话沟通及时补充资料。</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eastAsia" w:ascii="仿宋_GB2312" w:hAnsi="仿宋_GB2312" w:eastAsia="仿宋_GB2312" w:cs="仿宋_GB2312"/>
          <w:b/>
          <w:bCs/>
          <w:color w:val="auto"/>
          <w:kern w:val="2"/>
          <w:sz w:val="32"/>
          <w:szCs w:val="32"/>
          <w:highlight w:val="none"/>
          <w:lang w:val="en-US" w:eastAsia="zh-CN" w:bidi="ar-SA"/>
        </w:rPr>
      </w:pPr>
      <w:bookmarkStart w:id="742" w:name="_Toc31875_WPSOffice_Level2"/>
      <w:bookmarkStart w:id="743" w:name="_Toc12242_WPSOffice_Level2"/>
      <w:bookmarkStart w:id="744" w:name="_Toc26577_WPSOffice_Level1"/>
      <w:bookmarkStart w:id="745" w:name="_Toc13198_WPSOffice_Level1"/>
      <w:bookmarkStart w:id="746" w:name="_Toc12983_WPSOffice_Level1"/>
      <w:bookmarkStart w:id="747" w:name="_Toc7176"/>
      <w:bookmarkStart w:id="748" w:name="_Toc12607"/>
      <w:bookmarkStart w:id="749" w:name="_Toc2341"/>
      <w:r>
        <w:rPr>
          <w:rFonts w:hint="eastAsia" w:ascii="仿宋_GB2312" w:hAnsi="仿宋_GB2312" w:eastAsia="仿宋_GB2312" w:cs="仿宋_GB2312"/>
          <w:b/>
          <w:bCs/>
          <w:color w:val="auto"/>
          <w:kern w:val="2"/>
          <w:sz w:val="32"/>
          <w:szCs w:val="32"/>
          <w:highlight w:val="none"/>
          <w:lang w:val="en-US" w:eastAsia="zh-CN" w:bidi="ar-SA"/>
        </w:rPr>
        <w:t>2.</w:t>
      </w:r>
      <w:bookmarkEnd w:id="742"/>
      <w:bookmarkEnd w:id="743"/>
      <w:bookmarkEnd w:id="744"/>
      <w:bookmarkEnd w:id="745"/>
      <w:bookmarkEnd w:id="746"/>
      <w:r>
        <w:rPr>
          <w:rFonts w:hint="eastAsia" w:ascii="仿宋_GB2312" w:hAnsi="仿宋_GB2312" w:eastAsia="仿宋_GB2312" w:cs="仿宋_GB2312"/>
          <w:b/>
          <w:bCs/>
          <w:color w:val="auto"/>
          <w:kern w:val="2"/>
          <w:sz w:val="32"/>
          <w:szCs w:val="32"/>
          <w:highlight w:val="none"/>
          <w:lang w:val="en-US" w:eastAsia="zh-CN" w:bidi="ar-SA"/>
        </w:rPr>
        <w:t>项目现场工作</w:t>
      </w:r>
      <w:bookmarkEnd w:id="747"/>
      <w:bookmarkEnd w:id="748"/>
      <w:bookmarkEnd w:id="749"/>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ascii="Times New Roman" w:hAnsi="Times New Roman" w:eastAsia="仿宋_GB2312" w:cs="Times New Roman"/>
          <w:bCs/>
          <w:color w:val="auto"/>
          <w:sz w:val="32"/>
          <w:szCs w:val="32"/>
          <w:highlight w:val="none"/>
          <w:lang w:val="en-US" w:eastAsia="zh-CN"/>
        </w:rPr>
        <w:t>11月24日，</w:t>
      </w:r>
      <w:r>
        <w:rPr>
          <w:rFonts w:hint="eastAsia" w:cs="仿宋_GB2312"/>
          <w:b w:val="0"/>
          <w:bCs w:val="0"/>
          <w:color w:val="auto"/>
          <w:sz w:val="32"/>
          <w:szCs w:val="32"/>
          <w:highlight w:val="none"/>
          <w:lang w:val="en-US" w:eastAsia="zh-CN"/>
        </w:rPr>
        <w:t>项目绩效评价工作组赴城中区农业农村和乡村振兴局开展现场评价工作。</w:t>
      </w:r>
      <w:r>
        <w:rPr>
          <w:rFonts w:hint="eastAsia" w:cs="仿宋_GB2312"/>
          <w:b/>
          <w:bCs/>
          <w:color w:val="auto"/>
          <w:sz w:val="32"/>
          <w:szCs w:val="32"/>
          <w:highlight w:val="none"/>
          <w:lang w:val="en-US" w:eastAsia="zh-CN"/>
        </w:rPr>
        <w:t>一是</w:t>
      </w:r>
      <w:r>
        <w:rPr>
          <w:rFonts w:hint="eastAsia" w:cs="仿宋_GB2312"/>
          <w:b w:val="0"/>
          <w:bCs w:val="0"/>
          <w:color w:val="auto"/>
          <w:sz w:val="32"/>
          <w:szCs w:val="32"/>
          <w:highlight w:val="none"/>
          <w:lang w:val="en-US" w:eastAsia="zh-CN"/>
        </w:rPr>
        <w:t>核查收集项目剩余资料；</w:t>
      </w:r>
      <w:r>
        <w:rPr>
          <w:rFonts w:hint="eastAsia" w:cs="仿宋_GB2312"/>
          <w:b/>
          <w:bCs/>
          <w:color w:val="auto"/>
          <w:sz w:val="32"/>
          <w:szCs w:val="32"/>
          <w:highlight w:val="none"/>
          <w:lang w:val="en-US" w:eastAsia="zh-CN"/>
        </w:rPr>
        <w:t>二是</w:t>
      </w:r>
      <w:r>
        <w:rPr>
          <w:rFonts w:hint="eastAsia" w:cs="仿宋_GB2312"/>
          <w:b w:val="0"/>
          <w:bCs w:val="0"/>
          <w:color w:val="auto"/>
          <w:sz w:val="32"/>
          <w:szCs w:val="32"/>
          <w:highlight w:val="none"/>
          <w:lang w:val="en-US" w:eastAsia="zh-CN"/>
        </w:rPr>
        <w:t>就相关问题与项目负责人深入沟通了解项目实际情况，主要了解建设资金支出情况、道路和排水设施建设及投入使用情况等；</w:t>
      </w:r>
      <w:r>
        <w:rPr>
          <w:rFonts w:hint="eastAsia" w:cs="仿宋_GB2312"/>
          <w:b/>
          <w:bCs/>
          <w:color w:val="auto"/>
          <w:sz w:val="32"/>
          <w:szCs w:val="32"/>
          <w:highlight w:val="none"/>
          <w:lang w:val="en-US" w:eastAsia="zh-CN"/>
        </w:rPr>
        <w:t>三是</w:t>
      </w:r>
      <w:r>
        <w:rPr>
          <w:rFonts w:hint="eastAsia" w:cs="仿宋_GB2312"/>
          <w:b w:val="0"/>
          <w:bCs w:val="0"/>
          <w:color w:val="auto"/>
          <w:sz w:val="32"/>
          <w:szCs w:val="32"/>
          <w:highlight w:val="none"/>
          <w:lang w:val="en-US" w:eastAsia="zh-CN"/>
        </w:rPr>
        <w:t>评价组实地调研，查看总寨塬道路和排水设施使用情况，并以现调查问卷的形式开展满意度调查，主要了受益群众和园区工作人员对西宁市城中区总寨塬智能温室园区道路工程和排水工程建设及投入使用的满意度及认可度。</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eastAsia" w:ascii="仿宋_GB2312" w:hAnsi="仿宋_GB2312" w:eastAsia="仿宋_GB2312" w:cs="仿宋_GB2312"/>
          <w:b/>
          <w:bCs/>
          <w:color w:val="auto"/>
          <w:kern w:val="2"/>
          <w:sz w:val="32"/>
          <w:szCs w:val="32"/>
          <w:highlight w:val="none"/>
          <w:lang w:val="en-US" w:eastAsia="zh-CN" w:bidi="ar-SA"/>
        </w:rPr>
      </w:pPr>
      <w:bookmarkStart w:id="750" w:name="_Toc26831"/>
      <w:bookmarkStart w:id="751" w:name="_Toc27538"/>
      <w:r>
        <w:rPr>
          <w:rFonts w:hint="eastAsia" w:ascii="仿宋_GB2312" w:hAnsi="仿宋_GB2312" w:eastAsia="仿宋_GB2312" w:cs="仿宋_GB2312"/>
          <w:b/>
          <w:bCs/>
          <w:color w:val="auto"/>
          <w:kern w:val="2"/>
          <w:sz w:val="32"/>
          <w:szCs w:val="32"/>
          <w:highlight w:val="none"/>
          <w:lang w:val="en-US" w:eastAsia="zh-CN" w:bidi="ar-SA"/>
        </w:rPr>
        <w:t>3.绩效评价打分</w:t>
      </w:r>
      <w:bookmarkEnd w:id="750"/>
      <w:bookmarkEnd w:id="751"/>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ascii="仿宋_GB2312" w:eastAsia="仿宋_GB2312" w:cs="Times New Roman"/>
          <w:bCs/>
          <w:color w:val="auto"/>
          <w:sz w:val="32"/>
          <w:szCs w:val="32"/>
          <w:highlight w:val="none"/>
        </w:rPr>
      </w:pPr>
      <w:r>
        <w:rPr>
          <w:rFonts w:hint="eastAsia" w:cs="仿宋_GB2312"/>
          <w:color w:val="auto"/>
          <w:sz w:val="32"/>
          <w:szCs w:val="32"/>
          <w:highlight w:val="none"/>
          <w:lang w:val="en-US" w:eastAsia="zh-CN"/>
        </w:rPr>
        <w:t>项目</w:t>
      </w:r>
      <w:r>
        <w:rPr>
          <w:rFonts w:hint="eastAsia" w:ascii="仿宋_GB2312" w:hAnsi="仿宋_GB2312" w:eastAsia="仿宋_GB2312" w:cs="仿宋_GB2312"/>
          <w:color w:val="auto"/>
          <w:sz w:val="32"/>
          <w:szCs w:val="32"/>
          <w:highlight w:val="none"/>
          <w:lang w:val="en-US" w:eastAsia="zh-CN"/>
        </w:rPr>
        <w:t>绩效</w:t>
      </w:r>
      <w:r>
        <w:rPr>
          <w:rFonts w:hint="eastAsia" w:ascii="仿宋_GB2312" w:hAnsi="仿宋_GB2312" w:eastAsia="仿宋_GB2312" w:cs="仿宋_GB2312"/>
          <w:color w:val="auto"/>
          <w:sz w:val="32"/>
          <w:szCs w:val="32"/>
          <w:highlight w:val="none"/>
        </w:rPr>
        <w:t>评价</w:t>
      </w:r>
      <w:r>
        <w:rPr>
          <w:rFonts w:hint="eastAsia" w:ascii="仿宋_GB2312" w:hAnsi="仿宋_GB2312" w:eastAsia="仿宋_GB2312" w:cs="仿宋_GB2312"/>
          <w:color w:val="auto"/>
          <w:sz w:val="32"/>
          <w:szCs w:val="32"/>
          <w:highlight w:val="none"/>
          <w:lang w:eastAsia="zh-CN"/>
        </w:rPr>
        <w:t>工</w:t>
      </w:r>
      <w:r>
        <w:rPr>
          <w:rFonts w:hint="eastAsia" w:cs="Times New Roman"/>
          <w:bCs/>
          <w:color w:val="auto"/>
          <w:sz w:val="32"/>
          <w:szCs w:val="32"/>
          <w:highlight w:val="none"/>
          <w:lang w:eastAsia="zh-CN"/>
        </w:rPr>
        <w:t>作组</w:t>
      </w:r>
      <w:r>
        <w:rPr>
          <w:rFonts w:hint="eastAsia" w:ascii="仿宋_GB2312" w:eastAsia="仿宋_GB2312" w:cs="Times New Roman"/>
          <w:bCs/>
          <w:color w:val="auto"/>
          <w:sz w:val="32"/>
          <w:szCs w:val="32"/>
          <w:highlight w:val="none"/>
        </w:rPr>
        <w:t>运用科学的方法对现场评价所收集的数据资料进行整理、汇总、分析。</w:t>
      </w:r>
      <w:r>
        <w:rPr>
          <w:rFonts w:hint="eastAsia" w:ascii="仿宋_GB2312" w:hAnsi="仿宋_GB2312" w:eastAsia="仿宋_GB2312" w:cs="仿宋_GB2312"/>
          <w:color w:val="auto"/>
          <w:sz w:val="32"/>
          <w:szCs w:val="32"/>
          <w:highlight w:val="none"/>
          <w:lang w:bidi="ar"/>
        </w:rPr>
        <w:t>对照绩效评价指标体系，</w:t>
      </w:r>
      <w:r>
        <w:rPr>
          <w:rFonts w:hint="eastAsia" w:ascii="仿宋_GB2312" w:hAnsi="仿宋_GB2312" w:eastAsia="仿宋_GB2312" w:cs="仿宋_GB2312"/>
          <w:color w:val="auto"/>
          <w:sz w:val="32"/>
          <w:szCs w:val="32"/>
          <w:highlight w:val="none"/>
        </w:rPr>
        <w:t>以佐证材料为支撑，根据考核标准和实际情况逐项评价打分，做到实事求是，客观公正。</w:t>
      </w:r>
      <w:r>
        <w:rPr>
          <w:rFonts w:hint="eastAsia" w:ascii="仿宋_GB2312" w:hAnsi="仿宋_GB2312" w:eastAsia="仿宋_GB2312" w:cs="仿宋_GB2312"/>
          <w:color w:val="auto"/>
          <w:sz w:val="32"/>
          <w:szCs w:val="24"/>
          <w:highlight w:val="none"/>
        </w:rPr>
        <w:t>绩效评分采用打分法，总分设置100分；按照评分标准，达到要求的指标记标准分满分，不能达到标准的根据评分标准打分，得分最低为</w:t>
      </w:r>
      <w:r>
        <w:rPr>
          <w:rFonts w:hint="eastAsia" w:ascii="Times New Roman" w:hAnsi="Times New Roman" w:eastAsia="仿宋_GB2312" w:cs="Times New Roman"/>
          <w:bCs/>
          <w:color w:val="auto"/>
          <w:sz w:val="32"/>
          <w:szCs w:val="32"/>
          <w:highlight w:val="none"/>
        </w:rPr>
        <w:t>0</w:t>
      </w:r>
      <w:r>
        <w:rPr>
          <w:rFonts w:hint="eastAsia" w:ascii="仿宋_GB2312" w:hAnsi="仿宋_GB2312" w:eastAsia="仿宋_GB2312" w:cs="仿宋_GB2312"/>
          <w:color w:val="auto"/>
          <w:sz w:val="32"/>
          <w:szCs w:val="24"/>
          <w:highlight w:val="none"/>
        </w:rPr>
        <w:t>分。在此基础上，</w:t>
      </w:r>
      <w:r>
        <w:rPr>
          <w:rFonts w:hint="eastAsia" w:ascii="仿宋_GB2312" w:eastAsia="仿宋_GB2312" w:cs="Times New Roman"/>
          <w:bCs/>
          <w:color w:val="auto"/>
          <w:sz w:val="32"/>
          <w:szCs w:val="32"/>
          <w:highlight w:val="none"/>
        </w:rPr>
        <w:t>对项目总体情况进行</w:t>
      </w:r>
      <w:r>
        <w:rPr>
          <w:rFonts w:hint="eastAsia" w:cs="Times New Roman"/>
          <w:bCs/>
          <w:color w:val="auto"/>
          <w:sz w:val="32"/>
          <w:szCs w:val="32"/>
          <w:highlight w:val="none"/>
          <w:lang w:val="en-US" w:eastAsia="zh-CN"/>
        </w:rPr>
        <w:t>了</w:t>
      </w:r>
      <w:r>
        <w:rPr>
          <w:rFonts w:hint="eastAsia" w:ascii="仿宋_GB2312" w:eastAsia="仿宋_GB2312" w:cs="Times New Roman"/>
          <w:bCs/>
          <w:color w:val="auto"/>
          <w:sz w:val="32"/>
          <w:szCs w:val="32"/>
          <w:highlight w:val="none"/>
        </w:rPr>
        <w:t>综合评价，形成绩效评价结果。</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eastAsia" w:ascii="仿宋_GB2312" w:hAnsi="仿宋_GB2312" w:eastAsia="仿宋_GB2312" w:cs="仿宋_GB2312"/>
          <w:b/>
          <w:bCs/>
          <w:color w:val="auto"/>
          <w:kern w:val="2"/>
          <w:sz w:val="32"/>
          <w:szCs w:val="32"/>
          <w:highlight w:val="none"/>
          <w:lang w:val="en-US" w:eastAsia="zh-CN" w:bidi="ar-SA"/>
        </w:rPr>
      </w:pPr>
      <w:bookmarkStart w:id="752" w:name="_Toc2326_WPSOffice_Level2"/>
      <w:bookmarkStart w:id="753" w:name="_Toc23911_WPSOffice_Level1"/>
      <w:bookmarkStart w:id="754" w:name="_Toc10169_WPSOffice_Level1"/>
      <w:bookmarkStart w:id="755" w:name="_Toc1170_WPSOffice_Level2"/>
      <w:bookmarkStart w:id="756" w:name="_Toc966_WPSOffice_Level1"/>
      <w:bookmarkStart w:id="757" w:name="_Toc17281"/>
      <w:bookmarkStart w:id="758" w:name="_Toc21193"/>
      <w:bookmarkStart w:id="759" w:name="_Toc9487"/>
      <w:r>
        <w:rPr>
          <w:rFonts w:hint="eastAsia" w:ascii="仿宋_GB2312" w:hAnsi="仿宋_GB2312" w:eastAsia="仿宋_GB2312" w:cs="仿宋_GB2312"/>
          <w:b/>
          <w:bCs/>
          <w:color w:val="auto"/>
          <w:kern w:val="2"/>
          <w:sz w:val="32"/>
          <w:szCs w:val="32"/>
          <w:highlight w:val="none"/>
          <w:lang w:val="en-US" w:eastAsia="zh-CN" w:bidi="ar-SA"/>
        </w:rPr>
        <w:t>4.撰写报告</w:t>
      </w:r>
      <w:bookmarkEnd w:id="752"/>
      <w:bookmarkEnd w:id="753"/>
      <w:bookmarkEnd w:id="754"/>
      <w:bookmarkEnd w:id="755"/>
      <w:bookmarkEnd w:id="756"/>
      <w:bookmarkEnd w:id="757"/>
      <w:bookmarkEnd w:id="758"/>
      <w:bookmarkEnd w:id="759"/>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rPr>
          <w:rFonts w:ascii="仿宋_GB2312" w:hAnsi="仿宋_GB2312" w:eastAsia="仿宋_GB2312" w:cs="Times New Roman"/>
          <w:bCs/>
          <w:color w:val="auto"/>
          <w:kern w:val="2"/>
          <w:sz w:val="32"/>
          <w:szCs w:val="32"/>
          <w:highlight w:val="none"/>
          <w:lang w:val="en-US" w:eastAsia="zh-CN" w:bidi="ar-SA"/>
        </w:rPr>
      </w:pPr>
      <w:bookmarkStart w:id="760" w:name="_Toc13480_WPSOffice_Level1"/>
      <w:bookmarkStart w:id="761" w:name="_Toc29228_WPSOffice_Level2"/>
      <w:bookmarkStart w:id="762" w:name="_Toc20199_WPSOffice_Level1"/>
      <w:bookmarkStart w:id="763" w:name="_Toc2482_WPSOffice_Level1"/>
      <w:bookmarkStart w:id="764" w:name="_Toc22620_WPSOffice_Level2"/>
      <w:r>
        <w:rPr>
          <w:rFonts w:hint="eastAsia" w:ascii="仿宋_GB2312" w:hAnsi="仿宋_GB2312" w:eastAsia="仿宋_GB2312" w:cs="Times New Roman"/>
          <w:b/>
          <w:color w:val="auto"/>
          <w:kern w:val="2"/>
          <w:sz w:val="32"/>
          <w:szCs w:val="32"/>
          <w:highlight w:val="none"/>
          <w:lang w:val="en-US" w:eastAsia="zh-CN" w:bidi="ar-SA"/>
        </w:rPr>
        <w:t>（1）撰写报告初稿。</w:t>
      </w:r>
      <w:r>
        <w:rPr>
          <w:rFonts w:hint="eastAsia" w:ascii="仿宋_GB2312" w:hAnsi="仿宋_GB2312" w:eastAsia="仿宋_GB2312" w:cs="仿宋_GB2312"/>
          <w:color w:val="auto"/>
          <w:kern w:val="2"/>
          <w:sz w:val="32"/>
          <w:szCs w:val="32"/>
          <w:highlight w:val="none"/>
          <w:lang w:val="en-US" w:eastAsia="zh-CN" w:bidi="ar-SA"/>
        </w:rPr>
        <w:t>按照拟定的报告提纲，以数据为支撑，参考相关文件资料，挈领提纲、突出要点、提炼亮点，分点陈述存在的问题并提出针对性强的建议。在约定的时期内撰写并提交格式规范、内容完整、结论明确的绩效评价报告初稿。</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left"/>
        <w:textAlignment w:val="auto"/>
        <w:rPr>
          <w:rFonts w:hint="eastAsia" w:ascii="仿宋_GB2312" w:hAnsi="仿宋_GB2312" w:eastAsia="仿宋_GB2312" w:cs="Times New Roman"/>
          <w:bCs/>
          <w:color w:val="auto"/>
          <w:kern w:val="2"/>
          <w:sz w:val="32"/>
          <w:szCs w:val="32"/>
          <w:highlight w:val="none"/>
          <w:lang w:val="en-US" w:eastAsia="zh-CN" w:bidi="ar-SA"/>
        </w:rPr>
      </w:pPr>
      <w:r>
        <w:rPr>
          <w:rFonts w:hint="eastAsia" w:ascii="仿宋_GB2312" w:hAnsi="仿宋_GB2312" w:eastAsia="仿宋_GB2312" w:cs="Times New Roman"/>
          <w:b/>
          <w:color w:val="auto"/>
          <w:kern w:val="2"/>
          <w:sz w:val="32"/>
          <w:szCs w:val="32"/>
          <w:highlight w:val="none"/>
          <w:lang w:val="en-US" w:eastAsia="zh-CN" w:bidi="ar-SA"/>
        </w:rPr>
        <w:t>（2）报告内部质控。</w:t>
      </w:r>
      <w:r>
        <w:rPr>
          <w:rFonts w:hint="eastAsia" w:ascii="仿宋_GB2312" w:hAnsi="仿宋_GB2312" w:eastAsia="仿宋_GB2312" w:cs="Times New Roman"/>
          <w:bCs/>
          <w:color w:val="auto"/>
          <w:kern w:val="2"/>
          <w:sz w:val="32"/>
          <w:szCs w:val="32"/>
          <w:highlight w:val="none"/>
          <w:lang w:val="en-US" w:eastAsia="zh-CN" w:bidi="ar-SA"/>
        </w:rPr>
        <w:t>评价报告初稿撰写完毕后，质控部就评价报告的完整性、合理性、充分性、逻辑性等进行公司内部的报告质控审核，修改完善报告初稿。</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cs="仿宋_GB2312"/>
          <w:color w:val="auto"/>
          <w:lang w:val="zh-CN"/>
        </w:rPr>
      </w:pPr>
      <w:r>
        <w:rPr>
          <w:rFonts w:hint="eastAsia" w:cs="Times New Roman"/>
          <w:b/>
          <w:bCs w:val="0"/>
          <w:color w:val="auto"/>
          <w:sz w:val="32"/>
          <w:szCs w:val="32"/>
          <w:highlight w:val="none"/>
          <w:lang w:val="en-US" w:eastAsia="zh-CN"/>
        </w:rPr>
        <w:t>（3）</w:t>
      </w:r>
      <w:r>
        <w:rPr>
          <w:rFonts w:hint="eastAsia" w:hAnsi="Calibri" w:cs="Times New Roman"/>
          <w:b/>
          <w:bCs w:val="0"/>
          <w:color w:val="auto"/>
          <w:szCs w:val="32"/>
        </w:rPr>
        <w:t>征求</w:t>
      </w:r>
      <w:r>
        <w:rPr>
          <w:rFonts w:hint="eastAsia" w:hAnsi="Calibri" w:cs="Times New Roman"/>
          <w:b/>
          <w:bCs w:val="0"/>
          <w:color w:val="auto"/>
          <w:szCs w:val="32"/>
          <w:lang w:val="en-US" w:eastAsia="zh-CN"/>
        </w:rPr>
        <w:t>反馈</w:t>
      </w:r>
      <w:r>
        <w:rPr>
          <w:rFonts w:hint="eastAsia" w:hAnsi="Calibri" w:cs="Times New Roman"/>
          <w:b/>
          <w:bCs w:val="0"/>
          <w:color w:val="auto"/>
          <w:szCs w:val="32"/>
        </w:rPr>
        <w:t>意见</w:t>
      </w:r>
      <w:r>
        <w:rPr>
          <w:rFonts w:hint="eastAsia" w:hAnsi="Calibri" w:cs="Times New Roman"/>
          <w:b/>
          <w:bCs w:val="0"/>
          <w:color w:val="auto"/>
          <w:szCs w:val="32"/>
          <w:lang w:eastAsia="zh-CN"/>
        </w:rPr>
        <w:t>。</w:t>
      </w:r>
      <w:r>
        <w:rPr>
          <w:rFonts w:hint="eastAsia" w:cs="仿宋_GB2312"/>
          <w:color w:val="auto"/>
          <w:szCs w:val="22"/>
          <w:lang w:val="zh-CN"/>
        </w:rPr>
        <w:t>评价报告初稿撰写完毕后，第三方机构就评价报告的完整性、合理性、充分性、逻辑性等书面征求委托方、项目实施单位的意见建议。</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cs="仿宋_GB2312"/>
          <w:color w:val="auto"/>
          <w:lang w:val="zh-CN"/>
        </w:rPr>
      </w:pPr>
      <w:r>
        <w:rPr>
          <w:rFonts w:hint="eastAsia" w:hAnsi="Calibri" w:cs="Times New Roman"/>
          <w:b/>
          <w:bCs w:val="0"/>
          <w:color w:val="auto"/>
          <w:szCs w:val="32"/>
        </w:rPr>
        <w:t>（</w:t>
      </w:r>
      <w:r>
        <w:rPr>
          <w:rFonts w:hint="eastAsia" w:hAnsi="Calibri" w:cs="Times New Roman"/>
          <w:b/>
          <w:bCs w:val="0"/>
          <w:color w:val="auto"/>
          <w:szCs w:val="32"/>
          <w:lang w:val="en-US" w:eastAsia="zh-CN"/>
        </w:rPr>
        <w:t>4</w:t>
      </w:r>
      <w:r>
        <w:rPr>
          <w:rFonts w:hint="eastAsia" w:hAnsi="Calibri" w:cs="Times New Roman"/>
          <w:b/>
          <w:bCs w:val="0"/>
          <w:color w:val="auto"/>
          <w:szCs w:val="32"/>
        </w:rPr>
        <w:t>）提交报告终稿</w:t>
      </w:r>
      <w:r>
        <w:rPr>
          <w:rFonts w:hint="eastAsia" w:hAnsi="Calibri" w:cs="Times New Roman"/>
          <w:b/>
          <w:bCs w:val="0"/>
          <w:color w:val="auto"/>
          <w:szCs w:val="32"/>
          <w:lang w:eastAsia="zh-CN"/>
        </w:rPr>
        <w:t>。</w:t>
      </w:r>
      <w:r>
        <w:rPr>
          <w:rFonts w:hint="eastAsia" w:cs="仿宋_GB2312"/>
          <w:color w:val="auto"/>
          <w:szCs w:val="22"/>
          <w:lang w:val="zh-CN"/>
        </w:rPr>
        <w:t>第三方机构对委托方、项目实施单位的反馈意见逐一核实，对评价报告进行修改和完善，在规定时间内将评价报告终稿连同各方反馈意见提交委托方。</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eastAsia" w:ascii="仿宋_GB2312" w:hAnsi="仿宋_GB2312" w:eastAsia="仿宋_GB2312" w:cs="仿宋_GB2312"/>
          <w:b/>
          <w:bCs/>
          <w:color w:val="auto"/>
          <w:kern w:val="2"/>
          <w:sz w:val="32"/>
          <w:szCs w:val="32"/>
          <w:highlight w:val="none"/>
          <w:lang w:val="en-US" w:eastAsia="zh-CN" w:bidi="ar-SA"/>
        </w:rPr>
      </w:pPr>
      <w:bookmarkStart w:id="765" w:name="_Toc15978"/>
      <w:bookmarkStart w:id="766" w:name="_Toc32203"/>
      <w:bookmarkStart w:id="767" w:name="_Toc18812"/>
      <w:r>
        <w:rPr>
          <w:rFonts w:hint="eastAsia" w:ascii="仿宋_GB2312" w:hAnsi="仿宋_GB2312" w:eastAsia="仿宋_GB2312" w:cs="仿宋_GB2312"/>
          <w:b/>
          <w:bCs/>
          <w:color w:val="auto"/>
          <w:kern w:val="2"/>
          <w:sz w:val="32"/>
          <w:szCs w:val="32"/>
          <w:highlight w:val="none"/>
          <w:lang w:val="en-US" w:eastAsia="zh-CN" w:bidi="ar-SA"/>
        </w:rPr>
        <w:t>5.归集评价档案</w:t>
      </w:r>
      <w:bookmarkEnd w:id="760"/>
      <w:bookmarkEnd w:id="761"/>
      <w:bookmarkEnd w:id="762"/>
      <w:bookmarkEnd w:id="763"/>
      <w:bookmarkEnd w:id="764"/>
      <w:bookmarkEnd w:id="765"/>
      <w:bookmarkEnd w:id="766"/>
      <w:bookmarkEnd w:id="767"/>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cs="Times New Roman"/>
          <w:color w:val="auto"/>
          <w:highlight w:val="none"/>
        </w:rPr>
      </w:pPr>
      <w:bookmarkStart w:id="768" w:name="_Toc23187413"/>
      <w:bookmarkStart w:id="769" w:name="_Toc23178288"/>
      <w:bookmarkStart w:id="770" w:name="_Toc31875_WPSOffice_Level1"/>
      <w:bookmarkStart w:id="771" w:name="_Toc18743_WPSOffice_Level1"/>
      <w:bookmarkStart w:id="772" w:name="_Toc23178512"/>
      <w:bookmarkStart w:id="773" w:name="_Toc23176614"/>
      <w:bookmarkStart w:id="774" w:name="_Toc23178965"/>
      <w:bookmarkStart w:id="775" w:name="_Toc23176456"/>
      <w:bookmarkStart w:id="776" w:name="_Toc9680"/>
      <w:r>
        <w:rPr>
          <w:rFonts w:hint="eastAsia" w:cs="Times New Roman"/>
          <w:bCs/>
          <w:color w:val="auto"/>
          <w:sz w:val="32"/>
          <w:szCs w:val="32"/>
          <w:highlight w:val="none"/>
          <w:lang w:eastAsia="zh-CN"/>
        </w:rPr>
        <w:t>绩效评价工作组</w:t>
      </w:r>
      <w:r>
        <w:rPr>
          <w:rFonts w:hint="eastAsia" w:ascii="仿宋_GB2312" w:eastAsia="仿宋_GB2312" w:cs="Times New Roman"/>
          <w:bCs/>
          <w:color w:val="auto"/>
          <w:sz w:val="32"/>
          <w:szCs w:val="32"/>
          <w:highlight w:val="none"/>
        </w:rPr>
        <w:t>按照完整、有序、规范的要求，及时对评价业务资料进行收集、整理、建档工作。归档资料包括但不限于：委托评价协议</w:t>
      </w:r>
      <w:r>
        <w:rPr>
          <w:rFonts w:hint="eastAsia" w:cs="Times New Roman"/>
          <w:bCs/>
          <w:color w:val="auto"/>
          <w:sz w:val="32"/>
          <w:szCs w:val="32"/>
          <w:highlight w:val="none"/>
          <w:lang w:eastAsia="zh-CN"/>
        </w:rPr>
        <w:t>（</w:t>
      </w:r>
      <w:r>
        <w:rPr>
          <w:rFonts w:hint="eastAsia" w:ascii="仿宋_GB2312" w:eastAsia="仿宋_GB2312" w:cs="Times New Roman"/>
          <w:bCs/>
          <w:color w:val="auto"/>
          <w:sz w:val="32"/>
          <w:szCs w:val="32"/>
          <w:highlight w:val="none"/>
        </w:rPr>
        <w:t>合同</w:t>
      </w:r>
      <w:r>
        <w:rPr>
          <w:rFonts w:hint="eastAsia" w:cs="Times New Roman"/>
          <w:bCs/>
          <w:color w:val="auto"/>
          <w:sz w:val="32"/>
          <w:szCs w:val="32"/>
          <w:highlight w:val="none"/>
          <w:lang w:eastAsia="zh-CN"/>
        </w:rPr>
        <w:t>）</w:t>
      </w:r>
      <w:r>
        <w:rPr>
          <w:rFonts w:hint="eastAsia" w:ascii="仿宋_GB2312" w:eastAsia="仿宋_GB2312" w:cs="Times New Roman"/>
          <w:bCs/>
          <w:color w:val="auto"/>
          <w:sz w:val="32"/>
          <w:szCs w:val="32"/>
          <w:highlight w:val="none"/>
        </w:rPr>
        <w:t>、评价项目基本情况和相关文件、评价实施方案、评价指标体系及评分表、基础数据报表、现场核查记录、评价工作底稿及附件、绩效评价报告等。</w:t>
      </w:r>
      <w:bookmarkEnd w:id="768"/>
      <w:bookmarkEnd w:id="769"/>
      <w:bookmarkEnd w:id="770"/>
      <w:bookmarkEnd w:id="771"/>
      <w:bookmarkEnd w:id="772"/>
      <w:bookmarkEnd w:id="773"/>
      <w:bookmarkEnd w:id="774"/>
      <w:bookmarkEnd w:id="775"/>
      <w:bookmarkEnd w:id="776"/>
    </w:p>
    <w:p>
      <w:pPr>
        <w:pageBreakBefore w:val="0"/>
        <w:overflowPunct/>
        <w:topLinePunct w:val="0"/>
        <w:autoSpaceDE w:val="0"/>
        <w:autoSpaceDN w:val="0"/>
        <w:bidi w:val="0"/>
        <w:spacing w:line="576" w:lineRule="exact"/>
        <w:ind w:left="0" w:leftChars="0"/>
        <w:jc w:val="left"/>
        <w:outlineLvl w:val="0"/>
        <w:rPr>
          <w:rFonts w:hint="eastAsia" w:ascii="黑体" w:hAnsi="黑体" w:eastAsia="黑体" w:cs="黑体"/>
          <w:b/>
          <w:bCs/>
          <w:color w:val="auto"/>
          <w:szCs w:val="32"/>
          <w:lang w:val="zh-CN"/>
        </w:rPr>
      </w:pPr>
      <w:bookmarkStart w:id="777" w:name="_Toc20465"/>
      <w:bookmarkStart w:id="778" w:name="_Toc12575"/>
      <w:r>
        <w:rPr>
          <w:rFonts w:hint="eastAsia" w:ascii="黑体" w:hAnsi="黑体" w:eastAsia="黑体" w:cs="黑体"/>
          <w:b/>
          <w:bCs/>
          <w:color w:val="auto"/>
          <w:szCs w:val="32"/>
          <w:lang w:val="zh-CN"/>
        </w:rPr>
        <w:t>四、评价结论及分析</w:t>
      </w:r>
      <w:bookmarkEnd w:id="729"/>
      <w:bookmarkEnd w:id="730"/>
      <w:bookmarkEnd w:id="731"/>
      <w:bookmarkEnd w:id="732"/>
      <w:bookmarkEnd w:id="733"/>
      <w:bookmarkEnd w:id="777"/>
      <w:bookmarkEnd w:id="778"/>
    </w:p>
    <w:p>
      <w:pPr>
        <w:pageBreakBefore w:val="0"/>
        <w:overflowPunct/>
        <w:topLinePunct w:val="0"/>
        <w:bidi w:val="0"/>
        <w:spacing w:line="576" w:lineRule="exact"/>
        <w:ind w:left="0" w:leftChars="0" w:firstLine="643"/>
        <w:outlineLvl w:val="1"/>
        <w:rPr>
          <w:rFonts w:hint="eastAsia" w:ascii="楷体_GB2312" w:hAnsi="楷体_GB2312" w:eastAsia="楷体_GB2312" w:cs="楷体_GB2312"/>
          <w:b/>
          <w:bCs/>
          <w:color w:val="auto"/>
          <w:szCs w:val="32"/>
          <w:lang w:val="zh-CN"/>
        </w:rPr>
      </w:pPr>
      <w:bookmarkStart w:id="779" w:name="_Toc6041"/>
      <w:bookmarkStart w:id="780" w:name="_Toc27117"/>
      <w:bookmarkStart w:id="781" w:name="_Toc29255"/>
      <w:bookmarkStart w:id="782" w:name="_Toc11686"/>
      <w:bookmarkStart w:id="783" w:name="_Toc20084"/>
      <w:bookmarkStart w:id="784" w:name="_Toc9234"/>
      <w:bookmarkStart w:id="785" w:name="_Toc27783"/>
      <w:bookmarkStart w:id="786" w:name="_Toc28177"/>
      <w:r>
        <w:rPr>
          <w:rFonts w:hint="eastAsia" w:ascii="楷体_GB2312" w:hAnsi="楷体_GB2312" w:eastAsia="楷体_GB2312" w:cs="楷体_GB2312"/>
          <w:b/>
          <w:bCs/>
          <w:color w:val="auto"/>
          <w:szCs w:val="32"/>
          <w:lang w:val="zh-CN"/>
        </w:rPr>
        <w:t>（一）</w:t>
      </w:r>
      <w:bookmarkEnd w:id="779"/>
      <w:bookmarkEnd w:id="780"/>
      <w:bookmarkEnd w:id="781"/>
      <w:r>
        <w:rPr>
          <w:rFonts w:hint="eastAsia" w:ascii="楷体_GB2312" w:hAnsi="楷体_GB2312" w:eastAsia="楷体_GB2312" w:cs="楷体_GB2312"/>
          <w:b/>
          <w:bCs/>
          <w:color w:val="auto"/>
          <w:szCs w:val="32"/>
          <w:lang w:val="zh-CN"/>
        </w:rPr>
        <w:t>评价打分</w:t>
      </w:r>
      <w:bookmarkEnd w:id="782"/>
      <w:bookmarkEnd w:id="783"/>
      <w:bookmarkEnd w:id="784"/>
      <w:bookmarkEnd w:id="785"/>
      <w:bookmarkEnd w:id="786"/>
    </w:p>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表</w:t>
      </w:r>
      <w:r>
        <w:rPr>
          <w:rFonts w:hint="eastAsia" w:ascii="宋体" w:hAnsi="宋体" w:eastAsia="宋体" w:cs="宋体"/>
          <w:b/>
          <w:bCs/>
          <w:color w:val="auto"/>
          <w:sz w:val="28"/>
          <w:szCs w:val="28"/>
          <w:lang w:val="en-US" w:eastAsia="zh-CN"/>
        </w:rPr>
        <w:t>2</w:t>
      </w:r>
      <w:r>
        <w:rPr>
          <w:rFonts w:hint="eastAsia" w:ascii="宋体" w:hAnsi="宋体" w:eastAsia="宋体" w:cs="宋体"/>
          <w:b/>
          <w:bCs/>
          <w:color w:val="auto"/>
          <w:sz w:val="28"/>
          <w:szCs w:val="28"/>
        </w:rPr>
        <w:t xml:space="preserve"> </w:t>
      </w:r>
      <w:r>
        <w:rPr>
          <w:rFonts w:hint="eastAsia" w:ascii="宋体" w:hAnsi="宋体" w:eastAsia="宋体" w:cs="宋体"/>
          <w:b/>
          <w:bCs/>
          <w:color w:val="auto"/>
          <w:sz w:val="28"/>
          <w:szCs w:val="28"/>
          <w:lang w:eastAsia="zh-CN"/>
        </w:rPr>
        <w:t>城中区</w:t>
      </w:r>
      <w:r>
        <w:rPr>
          <w:rFonts w:hint="eastAsia" w:ascii="宋体" w:hAnsi="宋体" w:eastAsia="宋体" w:cs="宋体"/>
          <w:b/>
          <w:bCs/>
          <w:color w:val="auto"/>
          <w:sz w:val="28"/>
          <w:szCs w:val="28"/>
          <w:lang w:val="en-US" w:eastAsia="zh-CN"/>
        </w:rPr>
        <w:t>总寨塬智能温室园区道路工程和排水</w:t>
      </w:r>
      <w:r>
        <w:rPr>
          <w:rFonts w:hint="eastAsia" w:ascii="宋体" w:hAnsi="宋体" w:eastAsia="宋体" w:cs="宋体"/>
          <w:b/>
          <w:bCs/>
          <w:color w:val="auto"/>
          <w:sz w:val="28"/>
          <w:szCs w:val="28"/>
        </w:rPr>
        <w:t>项目</w:t>
      </w:r>
    </w:p>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绩效评价综合评分表</w:t>
      </w:r>
    </w:p>
    <w:tbl>
      <w:tblPr>
        <w:tblStyle w:val="13"/>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00"/>
        <w:gridCol w:w="817"/>
        <w:gridCol w:w="2020"/>
        <w:gridCol w:w="760"/>
        <w:gridCol w:w="3068"/>
        <w:gridCol w:w="816"/>
        <w:gridCol w:w="7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41"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一级指标</w:t>
            </w:r>
          </w:p>
        </w:tc>
        <w:tc>
          <w:tcPr>
            <w:tcW w:w="45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分值</w:t>
            </w:r>
          </w:p>
        </w:tc>
        <w:tc>
          <w:tcPr>
            <w:tcW w:w="1115"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二级指标</w:t>
            </w:r>
          </w:p>
        </w:tc>
        <w:tc>
          <w:tcPr>
            <w:tcW w:w="419"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分值</w:t>
            </w:r>
          </w:p>
        </w:tc>
        <w:tc>
          <w:tcPr>
            <w:tcW w:w="1693"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三级指标</w:t>
            </w:r>
          </w:p>
        </w:tc>
        <w:tc>
          <w:tcPr>
            <w:tcW w:w="45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分值</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决策</w:t>
            </w:r>
          </w:p>
        </w:tc>
        <w:tc>
          <w:tcPr>
            <w:tcW w:w="4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11.5</w:t>
            </w:r>
          </w:p>
        </w:tc>
        <w:tc>
          <w:tcPr>
            <w:tcW w:w="1115"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项目决策</w:t>
            </w:r>
          </w:p>
        </w:tc>
        <w:tc>
          <w:tcPr>
            <w:tcW w:w="41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立项依据充分性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立项程序合规性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绩效目标</w:t>
            </w:r>
          </w:p>
        </w:tc>
        <w:tc>
          <w:tcPr>
            <w:tcW w:w="41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绩效目标合理性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绩效指标明确性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default" w:ascii="宋体" w:hAnsi="宋体" w:eastAsia="宋体" w:cs="宋体"/>
                <w:i w:val="0"/>
                <w:iCs w:val="0"/>
                <w:color w:val="auto"/>
                <w:sz w:val="24"/>
                <w:szCs w:val="24"/>
                <w:u w:val="none"/>
                <w:lang w:val="en-US" w:eastAsia="zh-CN"/>
              </w:rPr>
            </w:pPr>
            <w:r>
              <w:rPr>
                <w:rFonts w:hint="eastAsia" w:ascii="宋体" w:hAnsi="宋体" w:eastAsia="宋体" w:cs="宋体"/>
                <w:i w:val="0"/>
                <w:iCs w:val="0"/>
                <w:color w:val="auto"/>
                <w:sz w:val="24"/>
                <w:szCs w:val="24"/>
                <w:u w:val="none"/>
                <w:lang w:val="en-US" w:eastAsia="zh-CN"/>
              </w:rPr>
              <w:t>资金投入</w:t>
            </w:r>
          </w:p>
        </w:tc>
        <w:tc>
          <w:tcPr>
            <w:tcW w:w="41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资金预算合规性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资金到位率</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过程</w:t>
            </w:r>
          </w:p>
        </w:tc>
        <w:tc>
          <w:tcPr>
            <w:tcW w:w="4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23.5</w:t>
            </w:r>
          </w:p>
        </w:tc>
        <w:tc>
          <w:tcPr>
            <w:tcW w:w="111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资金管理</w:t>
            </w:r>
          </w:p>
        </w:tc>
        <w:tc>
          <w:tcPr>
            <w:tcW w:w="41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资金支出进度</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资金使用合规性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财务管理规范性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组织实施</w:t>
            </w:r>
          </w:p>
        </w:tc>
        <w:tc>
          <w:tcPr>
            <w:tcW w:w="41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16.5</w:t>
            </w: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管理制度健全性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项目招投标合规性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施工管理规范性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质量安全管理规范性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监督管理规范性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验收管理规范性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管护保障有效性</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合同管理完备性</w:t>
            </w:r>
          </w:p>
        </w:tc>
        <w:tc>
          <w:tcPr>
            <w:tcW w:w="450"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档案管理完整性</w:t>
            </w:r>
          </w:p>
        </w:tc>
        <w:tc>
          <w:tcPr>
            <w:tcW w:w="45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42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产出</w:t>
            </w:r>
          </w:p>
        </w:tc>
        <w:tc>
          <w:tcPr>
            <w:tcW w:w="45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w:t>
            </w:r>
          </w:p>
        </w:tc>
        <w:tc>
          <w:tcPr>
            <w:tcW w:w="111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数量</w:t>
            </w:r>
          </w:p>
        </w:tc>
        <w:tc>
          <w:tcPr>
            <w:tcW w:w="41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道路工程建设内容完工率</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排水工程建设内容完工率</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质量</w:t>
            </w:r>
          </w:p>
        </w:tc>
        <w:tc>
          <w:tcPr>
            <w:tcW w:w="41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1693"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道路工程质量合格情况</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428"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排水工程质量合格情况</w:t>
            </w:r>
          </w:p>
        </w:tc>
        <w:tc>
          <w:tcPr>
            <w:tcW w:w="450"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42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时效</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工程完工及时性</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验收、移交及时性</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成本</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成本节约率</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效益</w:t>
            </w:r>
          </w:p>
        </w:tc>
        <w:tc>
          <w:tcPr>
            <w:tcW w:w="4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11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经济效益</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稳定蔬菜价格</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提高农民经济收入</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社会效益</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保障蔬菜供给</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促进温室产业发展</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生态效益</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提高自然灾害抵御能力</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改善农业生产环境</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提高土地资源利用率</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可持续影响</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推动绿色生态农业建设</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促进人民安居乐业</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满意度</w:t>
            </w:r>
          </w:p>
        </w:tc>
        <w:tc>
          <w:tcPr>
            <w:tcW w:w="41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工作人员满意度</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4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1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1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6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受益群体满意度</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121"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合计</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100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84</w:t>
            </w:r>
          </w:p>
        </w:tc>
      </w:tr>
    </w:tbl>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楷体_GB2312" w:hAnsi="楷体_GB2312" w:eastAsia="楷体_GB2312" w:cs="楷体_GB2312"/>
          <w:b/>
          <w:bCs/>
          <w:color w:val="auto"/>
          <w:szCs w:val="32"/>
          <w:lang w:val="zh-CN"/>
        </w:rPr>
      </w:pPr>
      <w:bookmarkStart w:id="787" w:name="_Toc6439"/>
      <w:bookmarkStart w:id="788" w:name="_Toc8918"/>
      <w:bookmarkStart w:id="789" w:name="_Toc22721"/>
      <w:bookmarkStart w:id="790" w:name="_Toc9809"/>
      <w:bookmarkStart w:id="791" w:name="_Toc18382"/>
      <w:bookmarkStart w:id="792" w:name="_Toc3481"/>
      <w:bookmarkStart w:id="793" w:name="_Toc2056"/>
      <w:r>
        <w:rPr>
          <w:rFonts w:hint="eastAsia" w:ascii="楷体_GB2312" w:hAnsi="楷体_GB2312" w:eastAsia="楷体_GB2312" w:cs="楷体_GB2312"/>
          <w:b/>
          <w:bCs/>
          <w:color w:val="auto"/>
          <w:szCs w:val="32"/>
          <w:lang w:val="zh-CN"/>
        </w:rPr>
        <w:t>（</w:t>
      </w:r>
      <w:r>
        <w:rPr>
          <w:rFonts w:hint="eastAsia" w:ascii="楷体_GB2312" w:hAnsi="楷体_GB2312" w:eastAsia="楷体_GB2312" w:cs="楷体_GB2312"/>
          <w:b/>
          <w:bCs/>
          <w:color w:val="auto"/>
          <w:szCs w:val="32"/>
          <w:lang w:val="en-US" w:eastAsia="zh-CN"/>
        </w:rPr>
        <w:t>二</w:t>
      </w:r>
      <w:r>
        <w:rPr>
          <w:rFonts w:hint="eastAsia" w:ascii="楷体_GB2312" w:hAnsi="楷体_GB2312" w:eastAsia="楷体_GB2312" w:cs="楷体_GB2312"/>
          <w:b/>
          <w:bCs/>
          <w:color w:val="auto"/>
          <w:szCs w:val="32"/>
          <w:lang w:val="zh-CN"/>
        </w:rPr>
        <w:t>）评价结论</w:t>
      </w:r>
      <w:bookmarkEnd w:id="787"/>
      <w:bookmarkEnd w:id="788"/>
      <w:bookmarkEnd w:id="789"/>
      <w:bookmarkEnd w:id="790"/>
      <w:bookmarkEnd w:id="791"/>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项目评价组根据项目实施单位提供的项目资料，结合</w:t>
      </w:r>
      <w:r>
        <w:rPr>
          <w:rFonts w:hint="eastAsia" w:ascii="仿宋_GB2312" w:hAnsi="仿宋_GB2312" w:eastAsia="仿宋_GB2312" w:cs="Times New Roman"/>
          <w:color w:val="auto"/>
          <w:kern w:val="2"/>
          <w:sz w:val="32"/>
          <w:szCs w:val="24"/>
          <w:highlight w:val="none"/>
          <w:lang w:val="en-US" w:eastAsia="zh-CN" w:bidi="ar-SA"/>
        </w:rPr>
        <w:t>实地调研、调查问卷等方式</w:t>
      </w:r>
      <w:r>
        <w:rPr>
          <w:rFonts w:hint="eastAsia" w:ascii="仿宋_GB2312" w:hAnsi="仿宋_GB2312" w:eastAsia="仿宋_GB2312" w:cs="仿宋_GB2312"/>
          <w:b w:val="0"/>
          <w:bCs w:val="0"/>
          <w:color w:val="auto"/>
          <w:kern w:val="2"/>
          <w:sz w:val="32"/>
          <w:szCs w:val="32"/>
          <w:highlight w:val="none"/>
          <w:lang w:val="en-US" w:eastAsia="zh-CN" w:bidi="ar-SA"/>
        </w:rPr>
        <w:t>，严格按照绩效评价指标体系评分标准进行绩效打分，综合测评得出该项目绩效评价得分为：</w:t>
      </w:r>
      <w:r>
        <w:rPr>
          <w:rFonts w:hint="eastAsia" w:ascii="Times New Roman" w:hAnsi="Times New Roman" w:eastAsia="仿宋_GB2312" w:cs="Times New Roman"/>
          <w:bCs/>
          <w:color w:val="auto"/>
          <w:sz w:val="32"/>
          <w:szCs w:val="32"/>
          <w:highlight w:val="none"/>
          <w:lang w:val="en-US" w:eastAsia="zh-CN"/>
        </w:rPr>
        <w:t>84分。</w:t>
      </w:r>
      <w:r>
        <w:rPr>
          <w:rFonts w:hint="eastAsia" w:ascii="仿宋_GB2312" w:hAnsi="仿宋_GB2312" w:eastAsia="仿宋_GB2312" w:cs="仿宋_GB2312"/>
          <w:b w:val="0"/>
          <w:bCs w:val="0"/>
          <w:color w:val="auto"/>
          <w:kern w:val="2"/>
          <w:sz w:val="32"/>
          <w:szCs w:val="32"/>
          <w:highlight w:val="none"/>
          <w:lang w:val="en-US" w:eastAsia="zh-CN" w:bidi="ar-SA"/>
        </w:rPr>
        <w:t>根据《财政部关于印发〈项目支出绩效评价管理办法〉的通知》（</w:t>
      </w:r>
      <w:r>
        <w:rPr>
          <w:rFonts w:hint="eastAsia" w:ascii="Times New Roman" w:hAnsi="Times New Roman" w:eastAsia="仿宋_GB2312" w:cs="Times New Roman"/>
          <w:bCs/>
          <w:color w:val="auto"/>
          <w:sz w:val="32"/>
          <w:szCs w:val="32"/>
          <w:highlight w:val="none"/>
          <w:lang w:val="en-US" w:eastAsia="zh-CN"/>
        </w:rPr>
        <w:t>财预〔2020〕10号</w:t>
      </w:r>
      <w:r>
        <w:rPr>
          <w:rFonts w:hint="eastAsia" w:ascii="仿宋_GB2312" w:hAnsi="仿宋_GB2312" w:eastAsia="仿宋_GB2312" w:cs="仿宋_GB2312"/>
          <w:b w:val="0"/>
          <w:bCs w:val="0"/>
          <w:color w:val="auto"/>
          <w:kern w:val="2"/>
          <w:sz w:val="32"/>
          <w:szCs w:val="32"/>
          <w:highlight w:val="none"/>
          <w:lang w:val="en-US" w:eastAsia="zh-CN" w:bidi="ar-SA"/>
        </w:rPr>
        <w:t>）文件，本项目绩效评价结果等级为：</w:t>
      </w:r>
      <w:r>
        <w:rPr>
          <w:rFonts w:hint="eastAsia" w:ascii="仿宋_GB2312" w:hAnsi="仿宋_GB2312" w:eastAsia="仿宋_GB2312" w:cs="仿宋_GB2312"/>
          <w:b/>
          <w:bCs/>
          <w:color w:val="auto"/>
          <w:kern w:val="2"/>
          <w:sz w:val="32"/>
          <w:szCs w:val="32"/>
          <w:highlight w:val="none"/>
          <w:lang w:val="en-US" w:eastAsia="zh-CN" w:bidi="ar-SA"/>
        </w:rPr>
        <w:t>良。</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textAlignment w:val="auto"/>
        <w:outlineLvl w:val="9"/>
        <w:rPr>
          <w:rFonts w:hint="eastAsia" w:ascii="楷体_GB2312" w:hAnsi="楷体_GB2312" w:eastAsia="楷体_GB2312" w:cs="楷体_GB2312"/>
          <w:b w:val="0"/>
          <w:bCs w:val="0"/>
          <w:color w:val="auto"/>
          <w:sz w:val="32"/>
          <w:szCs w:val="32"/>
          <w:highlight w:val="yellow"/>
          <w:lang w:val="en-US" w:eastAsia="zh-CN"/>
        </w:rPr>
      </w:pPr>
      <w:r>
        <w:rPr>
          <w:rFonts w:hint="eastAsia" w:ascii="仿宋_GB2312" w:hAnsi="仿宋_GB2312" w:eastAsia="仿宋_GB2312" w:cs="仿宋_GB2312"/>
          <w:b/>
          <w:bCs/>
          <w:color w:val="auto"/>
          <w:sz w:val="32"/>
          <w:szCs w:val="32"/>
          <w:highlight w:val="none"/>
          <w:lang w:val="en-US" w:eastAsia="zh-CN"/>
        </w:rPr>
        <w:t>总体认为：</w:t>
      </w:r>
      <w:r>
        <w:rPr>
          <w:rFonts w:hint="eastAsia" w:cs="仿宋_GB2312"/>
          <w:b w:val="0"/>
          <w:bCs w:val="0"/>
          <w:color w:val="auto"/>
          <w:sz w:val="32"/>
          <w:szCs w:val="32"/>
          <w:highlight w:val="none"/>
          <w:lang w:val="en-US" w:eastAsia="zh-CN"/>
        </w:rPr>
        <w:t>城中区总寨塬智能温室园区道路工程和排水工程项目</w:t>
      </w:r>
      <w:r>
        <w:rPr>
          <w:rFonts w:hint="eastAsia" w:cs="Times New Roman"/>
          <w:color w:val="auto"/>
          <w:highlight w:val="none"/>
          <w:lang w:val="en-US" w:eastAsia="zh-CN"/>
        </w:rPr>
        <w:t>立项依据充分、程序规范，项目相关制度健全，项目招投标、管理规范，项目工程计划建设内容按照预期目标已全部完成，资金使用效益显著。</w:t>
      </w:r>
      <w:r>
        <w:rPr>
          <w:rFonts w:hint="eastAsia" w:cs="仿宋_GB2312"/>
          <w:b w:val="0"/>
          <w:bCs w:val="0"/>
          <w:color w:val="auto"/>
          <w:sz w:val="32"/>
          <w:szCs w:val="32"/>
          <w:highlight w:val="none"/>
          <w:lang w:val="en-US" w:eastAsia="zh-CN"/>
        </w:rPr>
        <w:t>城中区总寨塬智能温室园区道路工程和排水工程项目</w:t>
      </w:r>
      <w:r>
        <w:rPr>
          <w:rFonts w:hint="eastAsia" w:ascii="仿宋_GB2312" w:hAnsi="仿宋_GB2312" w:eastAsia="仿宋_GB2312" w:cs="仿宋_GB2312"/>
          <w:b w:val="0"/>
          <w:bCs w:val="0"/>
          <w:color w:val="auto"/>
          <w:sz w:val="32"/>
          <w:szCs w:val="32"/>
          <w:highlight w:val="none"/>
          <w:lang w:val="en-US" w:eastAsia="zh-CN"/>
        </w:rPr>
        <w:t>实施</w:t>
      </w:r>
      <w:r>
        <w:rPr>
          <w:rFonts w:hint="eastAsia" w:cs="仿宋_GB2312"/>
          <w:b w:val="0"/>
          <w:bCs w:val="0"/>
          <w:color w:val="auto"/>
          <w:sz w:val="32"/>
          <w:szCs w:val="32"/>
          <w:highlight w:val="none"/>
          <w:lang w:val="en-US" w:eastAsia="zh-CN"/>
        </w:rPr>
        <w:t>后，改善了总寨塬温室园区道路出行条件，提高了园区道路运输能力，</w:t>
      </w:r>
      <w:r>
        <w:rPr>
          <w:rFonts w:hint="eastAsia" w:cs="Times New Roman"/>
          <w:color w:val="auto"/>
          <w:lang w:val="en-US" w:eastAsia="zh-CN"/>
        </w:rPr>
        <w:t>解决了园区排水问题，完善了园区配套设施建设，减少了园区因强降雨等天气对蔬菜生产的影响，提高了农民经济收入，保障了城区“菜篮子”供给，推动了绿色生态农业发展。但在项目实施过程中仍存在一些问题，</w:t>
      </w:r>
      <w:r>
        <w:rPr>
          <w:rFonts w:hint="eastAsia" w:cs="Times New Roman"/>
          <w:b/>
          <w:bCs/>
          <w:color w:val="auto"/>
          <w:lang w:val="en-US" w:eastAsia="zh-CN"/>
        </w:rPr>
        <w:t>一是</w:t>
      </w:r>
      <w:r>
        <w:rPr>
          <w:rFonts w:hint="eastAsia" w:cs="Times New Roman"/>
          <w:color w:val="auto"/>
          <w:lang w:val="en-US" w:eastAsia="zh-CN"/>
        </w:rPr>
        <w:t>项目工程款未按合同约定比例和进度支出，排水工程工程款资金支付方式不明确；</w:t>
      </w:r>
      <w:r>
        <w:rPr>
          <w:rFonts w:hint="eastAsia" w:cs="Times New Roman"/>
          <w:b/>
          <w:bCs/>
          <w:color w:val="auto"/>
          <w:lang w:val="en-US" w:eastAsia="zh-CN"/>
        </w:rPr>
        <w:t>二是</w:t>
      </w:r>
      <w:r>
        <w:rPr>
          <w:rFonts w:hint="eastAsia" w:cs="Times New Roman"/>
          <w:color w:val="auto"/>
          <w:lang w:val="en-US" w:eastAsia="zh-CN"/>
        </w:rPr>
        <w:t>项目管护交接不及时；</w:t>
      </w:r>
      <w:r>
        <w:rPr>
          <w:rFonts w:hint="eastAsia" w:cs="Times New Roman"/>
          <w:b/>
          <w:bCs/>
          <w:color w:val="auto"/>
          <w:lang w:val="en-US" w:eastAsia="zh-CN"/>
        </w:rPr>
        <w:t>三是</w:t>
      </w:r>
      <w:r>
        <w:rPr>
          <w:rFonts w:hint="eastAsia" w:cs="Times New Roman"/>
          <w:b w:val="0"/>
          <w:bCs w:val="0"/>
          <w:color w:val="auto"/>
          <w:lang w:val="en-US" w:eastAsia="zh-CN"/>
        </w:rPr>
        <w:t>财务管理和</w:t>
      </w:r>
      <w:r>
        <w:rPr>
          <w:rFonts w:hint="eastAsia" w:cs="Times New Roman"/>
          <w:color w:val="auto"/>
          <w:lang w:val="en-US" w:eastAsia="zh-CN"/>
        </w:rPr>
        <w:t>档案管理工作有待加强；</w:t>
      </w:r>
      <w:r>
        <w:rPr>
          <w:rFonts w:hint="eastAsia" w:cs="Times New Roman"/>
          <w:b/>
          <w:bCs/>
          <w:color w:val="auto"/>
          <w:lang w:val="en-US" w:eastAsia="zh-CN"/>
        </w:rPr>
        <w:t>四是</w:t>
      </w:r>
      <w:r>
        <w:rPr>
          <w:rFonts w:hint="eastAsia" w:cs="Times New Roman"/>
          <w:color w:val="auto"/>
          <w:lang w:val="en-US" w:eastAsia="zh-CN"/>
        </w:rPr>
        <w:t>绩效指标设置不够细化明确。</w:t>
      </w:r>
    </w:p>
    <w:p>
      <w:pPr>
        <w:pageBreakBefore w:val="0"/>
        <w:overflowPunct/>
        <w:topLinePunct w:val="0"/>
        <w:autoSpaceDE w:val="0"/>
        <w:autoSpaceDN w:val="0"/>
        <w:bidi w:val="0"/>
        <w:spacing w:line="576" w:lineRule="exact"/>
        <w:ind w:left="0" w:leftChars="0"/>
        <w:jc w:val="left"/>
        <w:outlineLvl w:val="0"/>
        <w:rPr>
          <w:rFonts w:hint="eastAsia" w:ascii="黑体" w:hAnsi="黑体" w:eastAsia="黑体" w:cs="黑体"/>
          <w:b/>
          <w:bCs/>
          <w:color w:val="auto"/>
          <w:szCs w:val="32"/>
          <w:lang w:val="zh-CN"/>
        </w:rPr>
      </w:pPr>
      <w:bookmarkStart w:id="794" w:name="_Toc7931"/>
      <w:bookmarkStart w:id="795" w:name="_Toc11796"/>
      <w:bookmarkStart w:id="796" w:name="_Toc29562"/>
      <w:bookmarkStart w:id="797" w:name="_Toc19520"/>
      <w:bookmarkStart w:id="798" w:name="_Toc31154"/>
      <w:r>
        <w:rPr>
          <w:rFonts w:hint="eastAsia" w:ascii="黑体" w:hAnsi="黑体" w:eastAsia="黑体" w:cs="黑体"/>
          <w:b/>
          <w:bCs/>
          <w:color w:val="auto"/>
          <w:szCs w:val="32"/>
          <w:lang w:val="zh-CN"/>
        </w:rPr>
        <w:t>五、绩效评价指标分析</w:t>
      </w:r>
      <w:bookmarkEnd w:id="792"/>
      <w:bookmarkEnd w:id="793"/>
      <w:bookmarkEnd w:id="794"/>
      <w:bookmarkEnd w:id="795"/>
      <w:bookmarkEnd w:id="796"/>
      <w:bookmarkEnd w:id="797"/>
      <w:bookmarkEnd w:id="798"/>
    </w:p>
    <w:p>
      <w:pPr>
        <w:pageBreakBefore w:val="0"/>
        <w:overflowPunct/>
        <w:topLinePunct w:val="0"/>
        <w:bidi w:val="0"/>
        <w:spacing w:line="576" w:lineRule="exact"/>
        <w:ind w:left="0" w:leftChars="0"/>
        <w:rPr>
          <w:rFonts w:cs="仿宋_GB2312"/>
          <w:color w:val="auto"/>
          <w:szCs w:val="32"/>
        </w:rPr>
      </w:pPr>
      <w:bookmarkStart w:id="799" w:name="_Toc338"/>
      <w:bookmarkStart w:id="800" w:name="_Toc1429"/>
      <w:bookmarkStart w:id="801" w:name="_Toc14909"/>
      <w:bookmarkStart w:id="802" w:name="_Toc26461"/>
      <w:bookmarkStart w:id="803" w:name="_Toc11595"/>
      <w:r>
        <w:rPr>
          <w:rFonts w:hint="eastAsia" w:cs="仿宋_GB2312"/>
          <w:color w:val="auto"/>
          <w:szCs w:val="32"/>
        </w:rPr>
        <w:t>依据制定的绩效评价指标体系，</w:t>
      </w:r>
      <w:r>
        <w:rPr>
          <w:rFonts w:hint="eastAsia" w:cs="仿宋_GB2312"/>
          <w:color w:val="auto"/>
          <w:szCs w:val="32"/>
          <w:lang w:val="en-US" w:eastAsia="zh-CN"/>
        </w:rPr>
        <w:t>本次绩效评价</w:t>
      </w:r>
      <w:r>
        <w:rPr>
          <w:rFonts w:hint="eastAsia" w:cs="仿宋_GB2312"/>
          <w:color w:val="auto"/>
          <w:szCs w:val="32"/>
        </w:rPr>
        <w:t>分别从决策、过程、产出和效益四个方面对</w:t>
      </w:r>
      <w:r>
        <w:rPr>
          <w:rFonts w:hint="eastAsia" w:cs="仿宋_GB2312"/>
          <w:color w:val="auto"/>
          <w:lang w:val="en-US" w:eastAsia="zh-CN"/>
        </w:rPr>
        <w:t>西宁市城中区总寨塬智能温室园区道路工程和排水</w:t>
      </w:r>
      <w:r>
        <w:rPr>
          <w:rFonts w:hint="eastAsia" w:cs="仿宋_GB2312"/>
          <w:color w:val="auto"/>
        </w:rPr>
        <w:t>项目</w:t>
      </w:r>
      <w:r>
        <w:rPr>
          <w:rFonts w:hint="eastAsia" w:cs="仿宋_GB2312"/>
          <w:color w:val="auto"/>
          <w:szCs w:val="32"/>
        </w:rPr>
        <w:t>进行绩效分析。</w:t>
      </w:r>
    </w:p>
    <w:p>
      <w:pPr>
        <w:pageBreakBefore w:val="0"/>
        <w:overflowPunct/>
        <w:topLinePunct w:val="0"/>
        <w:bidi w:val="0"/>
        <w:spacing w:line="576" w:lineRule="exact"/>
        <w:ind w:left="0" w:leftChars="0" w:firstLine="643"/>
        <w:rPr>
          <w:rFonts w:cs="Times New Roman"/>
          <w:color w:val="auto"/>
        </w:rPr>
      </w:pPr>
      <w:r>
        <w:rPr>
          <w:rFonts w:hint="eastAsia" w:cs="仿宋_GB2312"/>
          <w:color w:val="auto"/>
          <w:lang w:val="en-US" w:eastAsia="zh-CN"/>
        </w:rPr>
        <w:t>西宁市城中区总寨塬智能温室园区道路工程和排水</w:t>
      </w:r>
      <w:r>
        <w:rPr>
          <w:rFonts w:hint="eastAsia" w:cs="仿宋_GB2312"/>
          <w:color w:val="auto"/>
        </w:rPr>
        <w:t>项目</w:t>
      </w:r>
      <w:r>
        <w:rPr>
          <w:rFonts w:hint="eastAsia" w:cs="仿宋_GB2312"/>
          <w:color w:val="auto"/>
          <w:szCs w:val="32"/>
        </w:rPr>
        <w:t>绩效评价总体得分情况如下</w:t>
      </w:r>
      <w:r>
        <w:rPr>
          <w:rFonts w:hint="eastAsia" w:cs="仿宋_GB2312"/>
          <w:color w:val="auto"/>
          <w:szCs w:val="32"/>
          <w:lang w:val="en-US" w:eastAsia="zh-CN"/>
        </w:rPr>
        <w:t>表</w:t>
      </w:r>
      <w:r>
        <w:rPr>
          <w:rFonts w:hint="eastAsia" w:cs="仿宋_GB2312"/>
          <w:color w:val="auto"/>
          <w:szCs w:val="32"/>
        </w:rPr>
        <w:t>所示：</w:t>
      </w:r>
    </w:p>
    <w:p>
      <w:pPr>
        <w:pageBreakBefore w:val="0"/>
        <w:overflowPunct/>
        <w:topLinePunct w:val="0"/>
        <w:bidi w:val="0"/>
        <w:spacing w:line="576" w:lineRule="exact"/>
        <w:ind w:left="0" w:leftChars="0" w:firstLine="0" w:firstLineChars="0"/>
        <w:jc w:val="center"/>
        <w:rPr>
          <w:rFonts w:hint="eastAsia" w:ascii="宋体" w:eastAsia="宋体" w:cs="Times New Roman"/>
          <w:b/>
          <w:bCs/>
          <w:color w:val="auto"/>
          <w:sz w:val="28"/>
          <w:szCs w:val="28"/>
          <w:highlight w:val="none"/>
        </w:rPr>
      </w:pPr>
      <w:r>
        <w:rPr>
          <w:rFonts w:hint="eastAsia" w:ascii="宋体" w:eastAsia="宋体" w:cs="Times New Roman"/>
          <w:b/>
          <w:bCs/>
          <w:color w:val="auto"/>
          <w:sz w:val="28"/>
          <w:szCs w:val="28"/>
          <w:highlight w:val="none"/>
        </w:rPr>
        <w:t>表</w:t>
      </w:r>
      <w:r>
        <w:rPr>
          <w:rFonts w:hint="eastAsia" w:ascii="宋体" w:eastAsia="宋体" w:cs="Times New Roman"/>
          <w:b/>
          <w:bCs/>
          <w:color w:val="auto"/>
          <w:sz w:val="28"/>
          <w:szCs w:val="28"/>
          <w:highlight w:val="none"/>
          <w:lang w:val="en-US" w:eastAsia="zh-CN"/>
        </w:rPr>
        <w:t>3</w:t>
      </w:r>
      <w:r>
        <w:rPr>
          <w:rFonts w:hint="eastAsia" w:ascii="宋体" w:eastAsia="宋体" w:cs="Times New Roman"/>
          <w:b/>
          <w:bCs/>
          <w:color w:val="auto"/>
          <w:sz w:val="28"/>
          <w:szCs w:val="28"/>
          <w:highlight w:val="none"/>
        </w:rPr>
        <w:t xml:space="preserve"> </w:t>
      </w:r>
      <w:r>
        <w:rPr>
          <w:rFonts w:hint="eastAsia" w:ascii="宋体" w:hAnsi="宋体" w:eastAsia="宋体" w:cs="宋体"/>
          <w:b/>
          <w:bCs/>
          <w:color w:val="auto"/>
          <w:sz w:val="28"/>
          <w:szCs w:val="28"/>
          <w:lang w:eastAsia="zh-CN"/>
        </w:rPr>
        <w:t>城中区</w:t>
      </w:r>
      <w:r>
        <w:rPr>
          <w:rFonts w:hint="eastAsia" w:ascii="宋体" w:hAnsi="宋体" w:eastAsia="宋体" w:cs="宋体"/>
          <w:b/>
          <w:bCs/>
          <w:color w:val="auto"/>
          <w:sz w:val="28"/>
          <w:szCs w:val="28"/>
          <w:lang w:val="en-US" w:eastAsia="zh-CN"/>
        </w:rPr>
        <w:t>总寨塬智能温室园区道路工程和排水</w:t>
      </w:r>
      <w:r>
        <w:rPr>
          <w:rFonts w:hint="eastAsia" w:ascii="宋体" w:eastAsia="宋体" w:cs="Times New Roman"/>
          <w:b/>
          <w:bCs/>
          <w:color w:val="auto"/>
          <w:sz w:val="28"/>
          <w:szCs w:val="28"/>
          <w:highlight w:val="none"/>
        </w:rPr>
        <w:t>项目</w:t>
      </w:r>
    </w:p>
    <w:p>
      <w:pPr>
        <w:pageBreakBefore w:val="0"/>
        <w:overflowPunct/>
        <w:topLinePunct w:val="0"/>
        <w:bidi w:val="0"/>
        <w:spacing w:line="576" w:lineRule="exact"/>
        <w:ind w:left="0" w:leftChars="0" w:firstLine="0" w:firstLineChars="0"/>
        <w:jc w:val="center"/>
        <w:rPr>
          <w:rFonts w:cs="Times New Roman"/>
          <w:color w:val="auto"/>
          <w:highlight w:val="none"/>
        </w:rPr>
      </w:pPr>
      <w:r>
        <w:rPr>
          <w:rFonts w:hint="eastAsia" w:ascii="宋体" w:eastAsia="宋体" w:cs="Times New Roman"/>
          <w:b/>
          <w:bCs/>
          <w:color w:val="auto"/>
          <w:sz w:val="28"/>
          <w:szCs w:val="28"/>
          <w:highlight w:val="none"/>
        </w:rPr>
        <w:t>绩效评价</w:t>
      </w:r>
      <w:r>
        <w:rPr>
          <w:rFonts w:hint="eastAsia" w:ascii="宋体" w:eastAsia="宋体" w:cs="Times New Roman"/>
          <w:b/>
          <w:bCs/>
          <w:color w:val="auto"/>
          <w:sz w:val="28"/>
          <w:szCs w:val="28"/>
          <w:highlight w:val="none"/>
          <w:lang w:eastAsia="zh-CN"/>
        </w:rPr>
        <w:t>总体</w:t>
      </w:r>
      <w:r>
        <w:rPr>
          <w:rFonts w:hint="eastAsia" w:ascii="宋体" w:eastAsia="宋体" w:cs="Times New Roman"/>
          <w:b/>
          <w:bCs/>
          <w:color w:val="auto"/>
          <w:sz w:val="28"/>
          <w:szCs w:val="28"/>
          <w:highlight w:val="none"/>
        </w:rPr>
        <w:t>得分表</w:t>
      </w:r>
    </w:p>
    <w:tbl>
      <w:tblPr>
        <w:tblStyle w:val="13"/>
        <w:tblW w:w="4997"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60"/>
        <w:gridCol w:w="1451"/>
        <w:gridCol w:w="1600"/>
        <w:gridCol w:w="1767"/>
        <w:gridCol w:w="1165"/>
        <w:gridCol w:w="1412"/>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16"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指标</w:t>
            </w:r>
          </w:p>
        </w:tc>
        <w:tc>
          <w:tcPr>
            <w:tcW w:w="801"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决策</w:t>
            </w:r>
          </w:p>
        </w:tc>
        <w:tc>
          <w:tcPr>
            <w:tcW w:w="883"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过程</w:t>
            </w:r>
          </w:p>
        </w:tc>
        <w:tc>
          <w:tcPr>
            <w:tcW w:w="975"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产出</w:t>
            </w:r>
          </w:p>
        </w:tc>
        <w:tc>
          <w:tcPr>
            <w:tcW w:w="643"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效益</w:t>
            </w:r>
          </w:p>
        </w:tc>
        <w:tc>
          <w:tcPr>
            <w:tcW w:w="779"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合计</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16"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分值</w:t>
            </w:r>
          </w:p>
        </w:tc>
        <w:tc>
          <w:tcPr>
            <w:tcW w:w="801"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11.5</w:t>
            </w:r>
          </w:p>
        </w:tc>
        <w:tc>
          <w:tcPr>
            <w:tcW w:w="883"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23.5</w:t>
            </w:r>
          </w:p>
        </w:tc>
        <w:tc>
          <w:tcPr>
            <w:tcW w:w="975"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30</w:t>
            </w:r>
          </w:p>
        </w:tc>
        <w:tc>
          <w:tcPr>
            <w:tcW w:w="643"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35</w:t>
            </w:r>
          </w:p>
        </w:tc>
        <w:tc>
          <w:tcPr>
            <w:tcW w:w="77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100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916"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得分</w:t>
            </w:r>
          </w:p>
        </w:tc>
        <w:tc>
          <w:tcPr>
            <w:tcW w:w="801"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10.5</w:t>
            </w:r>
          </w:p>
        </w:tc>
        <w:tc>
          <w:tcPr>
            <w:tcW w:w="883"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16.5</w:t>
            </w:r>
          </w:p>
        </w:tc>
        <w:tc>
          <w:tcPr>
            <w:tcW w:w="975"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23</w:t>
            </w:r>
          </w:p>
        </w:tc>
        <w:tc>
          <w:tcPr>
            <w:tcW w:w="643"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34</w:t>
            </w:r>
          </w:p>
        </w:tc>
        <w:tc>
          <w:tcPr>
            <w:tcW w:w="77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84</w:t>
            </w:r>
          </w:p>
        </w:tc>
      </w:tr>
      <w:bookmarkEnd w:id="799"/>
      <w:bookmarkEnd w:id="800"/>
    </w:tbl>
    <w:p>
      <w:pPr>
        <w:pageBreakBefore w:val="0"/>
        <w:overflowPunct/>
        <w:topLinePunct w:val="0"/>
        <w:bidi w:val="0"/>
        <w:spacing w:line="576" w:lineRule="exact"/>
        <w:ind w:left="0" w:leftChars="0" w:firstLine="643"/>
        <w:outlineLvl w:val="1"/>
        <w:rPr>
          <w:rFonts w:hint="eastAsia" w:ascii="楷体_GB2312" w:hAnsi="楷体_GB2312" w:eastAsia="楷体_GB2312" w:cs="楷体_GB2312"/>
          <w:b/>
          <w:bCs/>
          <w:color w:val="auto"/>
          <w:szCs w:val="32"/>
          <w:lang w:val="zh-CN"/>
        </w:rPr>
      </w:pPr>
      <w:bookmarkStart w:id="804" w:name="_Toc12088"/>
      <w:bookmarkStart w:id="805" w:name="_Toc30327"/>
      <w:bookmarkStart w:id="806" w:name="_Toc6449"/>
      <w:bookmarkStart w:id="807" w:name="_Toc7197"/>
      <w:bookmarkStart w:id="808" w:name="_Toc27170"/>
      <w:r>
        <w:rPr>
          <w:rFonts w:hint="eastAsia" w:ascii="楷体_GB2312" w:hAnsi="楷体_GB2312" w:eastAsia="楷体_GB2312" w:cs="楷体_GB2312"/>
          <w:b/>
          <w:bCs/>
          <w:color w:val="auto"/>
          <w:szCs w:val="32"/>
          <w:lang w:val="zh-CN"/>
        </w:rPr>
        <w:t>（一）项目决策情况</w:t>
      </w:r>
      <w:bookmarkEnd w:id="801"/>
      <w:bookmarkEnd w:id="802"/>
      <w:bookmarkEnd w:id="803"/>
      <w:r>
        <w:rPr>
          <w:rFonts w:hint="eastAsia" w:ascii="楷体_GB2312" w:hAnsi="楷体_GB2312" w:eastAsia="楷体_GB2312" w:cs="楷体_GB2312"/>
          <w:b/>
          <w:bCs/>
          <w:color w:val="auto"/>
          <w:szCs w:val="32"/>
          <w:lang w:val="zh-CN"/>
        </w:rPr>
        <w:t>（指标分值</w:t>
      </w:r>
      <w:r>
        <w:rPr>
          <w:rFonts w:hint="eastAsia" w:ascii="楷体_GB2312" w:hAnsi="楷体_GB2312" w:eastAsia="楷体_GB2312" w:cs="楷体_GB2312"/>
          <w:b/>
          <w:bCs/>
          <w:color w:val="auto"/>
          <w:szCs w:val="32"/>
          <w:lang w:val="en-US" w:eastAsia="zh-CN"/>
        </w:rPr>
        <w:t>11.5</w:t>
      </w:r>
      <w:r>
        <w:rPr>
          <w:rFonts w:hint="eastAsia" w:ascii="楷体_GB2312" w:hAnsi="楷体_GB2312" w:eastAsia="楷体_GB2312" w:cs="楷体_GB2312"/>
          <w:b/>
          <w:bCs/>
          <w:color w:val="auto"/>
          <w:szCs w:val="32"/>
          <w:lang w:val="zh-CN"/>
        </w:rPr>
        <w:t>分）（得分</w:t>
      </w:r>
      <w:r>
        <w:rPr>
          <w:rFonts w:hint="eastAsia" w:ascii="楷体_GB2312" w:hAnsi="楷体_GB2312" w:eastAsia="楷体_GB2312" w:cs="楷体_GB2312"/>
          <w:b/>
          <w:bCs/>
          <w:color w:val="auto"/>
          <w:szCs w:val="32"/>
          <w:lang w:val="en-US" w:eastAsia="zh-CN"/>
        </w:rPr>
        <w:t>10.5</w:t>
      </w:r>
      <w:r>
        <w:rPr>
          <w:rFonts w:hint="eastAsia" w:ascii="楷体_GB2312" w:hAnsi="楷体_GB2312" w:eastAsia="楷体_GB2312" w:cs="楷体_GB2312"/>
          <w:b/>
          <w:bCs/>
          <w:color w:val="auto"/>
          <w:szCs w:val="32"/>
          <w:lang w:val="zh-CN"/>
        </w:rPr>
        <w:t>分）</w:t>
      </w:r>
      <w:bookmarkEnd w:id="804"/>
      <w:bookmarkEnd w:id="805"/>
      <w:bookmarkEnd w:id="806"/>
      <w:bookmarkEnd w:id="807"/>
      <w:bookmarkEnd w:id="808"/>
    </w:p>
    <w:p>
      <w:pPr>
        <w:pageBreakBefore w:val="0"/>
        <w:overflowPunct/>
        <w:topLinePunct w:val="0"/>
        <w:bidi w:val="0"/>
        <w:spacing w:line="576" w:lineRule="exact"/>
        <w:ind w:left="0" w:leftChars="0"/>
        <w:rPr>
          <w:rFonts w:cs="Times New Roman"/>
          <w:color w:val="auto"/>
        </w:rPr>
      </w:pPr>
      <w:r>
        <w:rPr>
          <w:rFonts w:hint="eastAsia" w:cs="仿宋_GB2312"/>
          <w:color w:val="auto"/>
          <w:lang w:val="en-US" w:eastAsia="zh-CN"/>
        </w:rPr>
        <w:t>西宁市城中区总寨塬智能温室园区道路工程和排水</w:t>
      </w:r>
      <w:r>
        <w:rPr>
          <w:rFonts w:hint="eastAsia" w:cs="仿宋_GB2312"/>
          <w:color w:val="auto"/>
        </w:rPr>
        <w:t>项目</w:t>
      </w:r>
      <w:r>
        <w:rPr>
          <w:rFonts w:hint="eastAsia" w:cs="Times New Roman"/>
          <w:color w:val="auto"/>
        </w:rPr>
        <w:t>绩效评价决策类指标得分情况如下表所示：</w:t>
      </w:r>
    </w:p>
    <w:p>
      <w:pPr>
        <w:pageBreakBefore w:val="0"/>
        <w:overflowPunct/>
        <w:topLinePunct w:val="0"/>
        <w:bidi w:val="0"/>
        <w:adjustRightInd w:val="0"/>
        <w:snapToGrid w:val="0"/>
        <w:spacing w:line="576" w:lineRule="exact"/>
        <w:ind w:left="0" w:leftChars="0" w:firstLine="0" w:firstLineChars="0"/>
        <w:jc w:val="center"/>
        <w:rPr>
          <w:rFonts w:ascii="宋体" w:eastAsia="宋体" w:cs="Times New Roman"/>
          <w:b/>
          <w:bCs/>
          <w:color w:val="auto"/>
          <w:sz w:val="28"/>
          <w:szCs w:val="28"/>
        </w:rPr>
      </w:pPr>
      <w:r>
        <w:rPr>
          <w:rFonts w:hint="eastAsia" w:ascii="宋体" w:eastAsia="宋体" w:cs="Times New Roman"/>
          <w:b/>
          <w:bCs/>
          <w:color w:val="auto"/>
          <w:sz w:val="28"/>
          <w:szCs w:val="28"/>
        </w:rPr>
        <w:t>表</w:t>
      </w:r>
      <w:r>
        <w:rPr>
          <w:rFonts w:hint="eastAsia" w:ascii="宋体" w:eastAsia="宋体" w:cs="Times New Roman"/>
          <w:b/>
          <w:bCs/>
          <w:color w:val="auto"/>
          <w:sz w:val="28"/>
          <w:szCs w:val="28"/>
          <w:lang w:val="en-US" w:eastAsia="zh-CN"/>
        </w:rPr>
        <w:t>4</w:t>
      </w:r>
      <w:r>
        <w:rPr>
          <w:rFonts w:hint="eastAsia" w:ascii="宋体" w:eastAsia="宋体" w:cs="Times New Roman"/>
          <w:b/>
          <w:bCs/>
          <w:color w:val="auto"/>
          <w:sz w:val="28"/>
          <w:szCs w:val="28"/>
        </w:rPr>
        <w:t xml:space="preserve"> 项目决策类各项指标绩效评价得分表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2336"/>
        <w:gridCol w:w="3445"/>
        <w:gridCol w:w="7"/>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tcBorders>
              <w:top w:val="double" w:color="000000" w:sz="4" w:space="0"/>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1289" w:type="pct"/>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1901" w:type="pct"/>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650" w:type="pct"/>
            <w:gridSpan w:val="2"/>
            <w:tcBorders>
              <w:top w:val="double" w:color="000000" w:sz="4" w:space="0"/>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restart"/>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eastAsia="zh-CN"/>
              </w:rPr>
            </w:pPr>
            <w:r>
              <w:rPr>
                <w:rFonts w:hint="eastAsia" w:ascii="宋体" w:hAnsi="宋体" w:eastAsia="宋体" w:cs="宋体"/>
                <w:b/>
                <w:color w:val="auto"/>
                <w:sz w:val="24"/>
                <w:szCs w:val="22"/>
                <w:highlight w:val="none"/>
                <w:u w:val="single"/>
                <w:lang w:val="en-US" w:eastAsia="zh-CN"/>
              </w:rPr>
              <w:t>决策</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91.3</w:t>
            </w:r>
            <w:r>
              <w:rPr>
                <w:rFonts w:hint="eastAsia" w:ascii="宋体" w:hAnsi="宋体" w:eastAsia="宋体" w:cs="宋体"/>
                <w:bCs/>
                <w:color w:val="auto"/>
                <w:sz w:val="24"/>
                <w:szCs w:val="22"/>
                <w:highlight w:val="none"/>
              </w:rPr>
              <w:t>%</w:t>
            </w: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项目决策</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1901"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Cs/>
                <w:i w:val="0"/>
                <w:iCs w:val="0"/>
                <w:color w:val="auto"/>
                <w:sz w:val="24"/>
                <w:szCs w:val="22"/>
                <w:highlight w:val="none"/>
              </w:rPr>
            </w:pPr>
            <w:r>
              <w:rPr>
                <w:rFonts w:hint="eastAsia" w:ascii="宋体" w:hAnsi="宋体" w:eastAsia="宋体" w:cs="宋体"/>
                <w:color w:val="auto"/>
                <w:sz w:val="24"/>
                <w:szCs w:val="24"/>
                <w:highlight w:val="none"/>
                <w:lang w:val="en-US" w:eastAsia="zh-CN"/>
              </w:rPr>
              <w:t>立项依据充分性</w:t>
            </w:r>
          </w:p>
        </w:tc>
        <w:tc>
          <w:tcPr>
            <w:tcW w:w="650" w:type="pct"/>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01"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Cs/>
                <w:i w:val="0"/>
                <w:iCs w:val="0"/>
                <w:color w:val="auto"/>
                <w:kern w:val="2"/>
                <w:sz w:val="24"/>
                <w:szCs w:val="22"/>
                <w:highlight w:val="none"/>
                <w:lang w:val="en-US" w:eastAsia="zh-CN" w:bidi="ar-SA"/>
              </w:rPr>
            </w:pPr>
            <w:r>
              <w:rPr>
                <w:rFonts w:hint="eastAsia" w:ascii="宋体" w:hAnsi="宋体" w:eastAsia="宋体" w:cs="宋体"/>
                <w:color w:val="auto"/>
                <w:sz w:val="24"/>
                <w:szCs w:val="24"/>
                <w:highlight w:val="none"/>
                <w:lang w:val="en-US" w:eastAsia="zh-CN"/>
              </w:rPr>
              <w:t>项目立项规范性</w:t>
            </w:r>
          </w:p>
        </w:tc>
        <w:tc>
          <w:tcPr>
            <w:tcW w:w="650" w:type="pct"/>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kern w:val="2"/>
                <w:sz w:val="24"/>
                <w:szCs w:val="22"/>
                <w:highlight w:val="none"/>
                <w:lang w:val="en-US" w:eastAsia="zh-CN" w:bidi="ar-SA"/>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绩效目标</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eastAsia="zh-CN"/>
              </w:rPr>
              <w:t>：</w:t>
            </w:r>
            <w:r>
              <w:rPr>
                <w:rFonts w:hint="eastAsia" w:ascii="宋体" w:hAnsi="宋体" w:eastAsia="宋体" w:cs="宋体"/>
                <w:bCs/>
                <w:color w:val="auto"/>
                <w:sz w:val="24"/>
                <w:szCs w:val="22"/>
                <w:highlight w:val="none"/>
                <w:lang w:val="en-US" w:eastAsia="zh-CN"/>
              </w:rPr>
              <w:t>71.43</w:t>
            </w:r>
            <w:r>
              <w:rPr>
                <w:rFonts w:hint="eastAsia" w:ascii="宋体" w:hAnsi="宋体" w:eastAsia="宋体" w:cs="宋体"/>
                <w:bCs/>
                <w:color w:val="auto"/>
                <w:sz w:val="24"/>
                <w:szCs w:val="22"/>
                <w:highlight w:val="none"/>
              </w:rPr>
              <w:t>%</w:t>
            </w:r>
          </w:p>
        </w:tc>
        <w:tc>
          <w:tcPr>
            <w:tcW w:w="190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Cs/>
                <w:i w:val="0"/>
                <w:iCs w:val="0"/>
                <w:color w:val="auto"/>
                <w:sz w:val="24"/>
                <w:szCs w:val="22"/>
                <w:highlight w:val="none"/>
              </w:rPr>
            </w:pPr>
            <w:r>
              <w:rPr>
                <w:rFonts w:hint="eastAsia" w:ascii="宋体" w:hAnsi="宋体" w:eastAsia="宋体" w:cs="宋体"/>
                <w:color w:val="auto"/>
                <w:kern w:val="0"/>
                <w:sz w:val="24"/>
                <w:szCs w:val="24"/>
                <w:highlight w:val="none"/>
              </w:rPr>
              <w:t>绩效目标合理性</w:t>
            </w:r>
          </w:p>
        </w:tc>
        <w:tc>
          <w:tcPr>
            <w:tcW w:w="650" w:type="pct"/>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Cs/>
                <w:i w:val="0"/>
                <w:iCs w:val="0"/>
                <w:color w:val="auto"/>
                <w:sz w:val="24"/>
                <w:szCs w:val="22"/>
                <w:highlight w:val="none"/>
              </w:rPr>
            </w:pPr>
            <w:r>
              <w:rPr>
                <w:rFonts w:hint="eastAsia" w:ascii="宋体" w:hAnsi="宋体" w:eastAsia="宋体" w:cs="宋体"/>
                <w:color w:val="auto"/>
                <w:kern w:val="0"/>
                <w:sz w:val="24"/>
                <w:szCs w:val="24"/>
                <w:highlight w:val="none"/>
              </w:rPr>
              <w:t>绩效指标明确性</w:t>
            </w:r>
          </w:p>
        </w:tc>
        <w:tc>
          <w:tcPr>
            <w:tcW w:w="650" w:type="pct"/>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rPr>
            </w:pPr>
            <w:r>
              <w:rPr>
                <w:rFonts w:hint="eastAsia" w:ascii="宋体" w:hAnsi="宋体" w:eastAsia="宋体" w:cs="宋体"/>
                <w:i/>
                <w:iCs/>
                <w:color w:val="auto"/>
                <w:sz w:val="24"/>
                <w:szCs w:val="22"/>
                <w:highlight w:val="none"/>
                <w:lang w:val="en-US" w:eastAsia="zh-CN"/>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资金投入</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1904" w:type="pct"/>
            <w:gridSpan w:val="2"/>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i w:val="0"/>
                <w:iCs w:val="0"/>
                <w:color w:val="auto"/>
                <w:kern w:val="0"/>
                <w:sz w:val="24"/>
                <w:szCs w:val="24"/>
                <w:highlight w:val="none"/>
                <w:lang w:val="en-US"/>
              </w:rPr>
            </w:pPr>
            <w:r>
              <w:rPr>
                <w:rFonts w:hint="eastAsia" w:ascii="宋体" w:hAnsi="宋体" w:eastAsia="宋体" w:cs="宋体"/>
                <w:color w:val="auto"/>
                <w:sz w:val="24"/>
                <w:szCs w:val="24"/>
                <w:highlight w:val="none"/>
                <w:lang w:val="en-US" w:eastAsia="zh-CN"/>
              </w:rPr>
              <w:t>资金预算合规性</w:t>
            </w:r>
          </w:p>
        </w:tc>
        <w:tc>
          <w:tcPr>
            <w:tcW w:w="647"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4" w:type="pct"/>
            <w:gridSpan w:val="2"/>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rPr>
            </w:pPr>
            <w:r>
              <w:rPr>
                <w:rFonts w:hint="eastAsia" w:ascii="宋体" w:hAnsi="宋体" w:eastAsia="宋体" w:cs="宋体"/>
                <w:color w:val="auto"/>
                <w:sz w:val="24"/>
                <w:szCs w:val="24"/>
                <w:highlight w:val="none"/>
                <w:lang w:val="en-US" w:eastAsia="zh-CN"/>
              </w:rPr>
              <w:t>资金到位率</w:t>
            </w:r>
          </w:p>
        </w:tc>
        <w:tc>
          <w:tcPr>
            <w:tcW w:w="647"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2" w:type="pct"/>
            <w:gridSpan w:val="4"/>
            <w:tcBorders>
              <w:left w:val="nil"/>
              <w:bottom w:val="doub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val="en-US" w:eastAsia="zh-CN"/>
              </w:rPr>
              <w:t>决策</w:t>
            </w:r>
            <w:r>
              <w:rPr>
                <w:rFonts w:hint="eastAsia" w:ascii="宋体" w:hAnsi="宋体" w:eastAsia="宋体" w:cs="宋体"/>
                <w:b/>
                <w:color w:val="auto"/>
                <w:sz w:val="24"/>
                <w:szCs w:val="22"/>
                <w:highlight w:val="none"/>
              </w:rPr>
              <w:t>”情况评级</w:t>
            </w:r>
          </w:p>
        </w:tc>
        <w:tc>
          <w:tcPr>
            <w:tcW w:w="647" w:type="pct"/>
            <w:tcBorders>
              <w:bottom w:val="doub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优</w:t>
            </w:r>
          </w:p>
        </w:tc>
      </w:tr>
    </w:tbl>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textAlignment w:val="auto"/>
        <w:outlineLvl w:val="2"/>
        <w:rPr>
          <w:rFonts w:hint="eastAsia" w:ascii="仿宋_GB2312" w:hAnsi="仿宋_GB2312" w:eastAsia="仿宋_GB2312" w:cs="仿宋_GB2312"/>
          <w:b/>
          <w:color w:val="auto"/>
          <w:szCs w:val="32"/>
          <w:highlight w:val="none"/>
          <w:lang w:val="en-US" w:eastAsia="zh-CN"/>
        </w:rPr>
      </w:pPr>
      <w:bookmarkStart w:id="809" w:name="_Toc27749"/>
      <w:bookmarkStart w:id="810" w:name="_Toc3138"/>
      <w:bookmarkStart w:id="811" w:name="_Toc11563"/>
      <w:bookmarkStart w:id="812" w:name="_Toc8644"/>
      <w:bookmarkStart w:id="813" w:name="_Toc17585"/>
      <w:bookmarkStart w:id="814" w:name="_Toc30329"/>
      <w:r>
        <w:rPr>
          <w:rFonts w:hint="eastAsia" w:ascii="仿宋_GB2312" w:hAnsi="仿宋_GB2312" w:eastAsia="仿宋_GB2312" w:cs="仿宋_GB2312"/>
          <w:b/>
          <w:color w:val="auto"/>
          <w:szCs w:val="32"/>
          <w:highlight w:val="none"/>
          <w:lang w:val="en-US" w:eastAsia="zh-CN"/>
        </w:rPr>
        <w:t>1.项目决策（指标分值4分）（得分</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分）</w:t>
      </w:r>
      <w:bookmarkEnd w:id="809"/>
      <w:bookmarkEnd w:id="810"/>
      <w:bookmarkEnd w:id="811"/>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815" w:name="_Toc8419"/>
      <w:bookmarkStart w:id="816" w:name="_Toc22191"/>
      <w:bookmarkStart w:id="817" w:name="_Toc9451"/>
      <w:bookmarkStart w:id="818" w:name="_Toc17682"/>
      <w:bookmarkStart w:id="819" w:name="_Toc2532"/>
      <w:r>
        <w:rPr>
          <w:rFonts w:hint="eastAsia" w:ascii="仿宋_GB2312" w:hAnsi="仿宋_GB2312" w:eastAsia="仿宋_GB2312" w:cs="仿宋_GB2312"/>
          <w:b/>
          <w:color w:val="auto"/>
          <w:szCs w:val="32"/>
          <w:highlight w:val="none"/>
          <w:lang w:val="en-US" w:eastAsia="zh-CN"/>
        </w:rPr>
        <w:t>（1）立项依据充分性（指标分值2分）（得分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w:t>
      </w:r>
      <w:bookmarkEnd w:id="815"/>
      <w:bookmarkEnd w:id="816"/>
      <w:bookmarkEnd w:id="817"/>
      <w:bookmarkEnd w:id="818"/>
      <w:bookmarkEnd w:id="819"/>
    </w:p>
    <w:p>
      <w:pPr>
        <w:pageBreakBefore w:val="0"/>
        <w:overflowPunct/>
        <w:topLinePunct w:val="0"/>
        <w:bidi w:val="0"/>
        <w:spacing w:line="576" w:lineRule="exact"/>
        <w:ind w:left="0" w:leftChars="0"/>
        <w:outlineLvl w:val="9"/>
        <w:rPr>
          <w:rFonts w:hint="default" w:cs="Times New Roman"/>
          <w:color w:val="auto"/>
          <w:lang w:val="en-US" w:eastAsia="zh-CN"/>
        </w:rPr>
      </w:pPr>
      <w:r>
        <w:rPr>
          <w:rFonts w:hint="eastAsia" w:cs="Times New Roman"/>
          <w:color w:val="auto"/>
          <w:lang w:val="en-US" w:eastAsia="zh-CN"/>
        </w:rPr>
        <w:t>为贯彻青海省第十一次党代会提出的“以西宁为中心的东部地区，努力构建农畜产品生产加工基地及农业产业化经营基地”的精神，城中区抓住有利机遇，大力发展城郊特色蔬菜产业，建设设施温室及露地蔬菜生产基地，实现本区经济持续高速发展，城中区总寨塬智能温室园区水利和道路配套设施已不能满足现有农业发展需求，根据城中区发展改革和工业信息化局《关于总寨塬智能温室园区道路工程项目实施方案的批复》（城中发工信字</w:t>
      </w:r>
      <w:r>
        <w:rPr>
          <w:rFonts w:hint="eastAsia" w:ascii="Times New Roman" w:hAnsi="Times New Roman" w:eastAsia="仿宋_GB2312" w:cs="Times New Roman"/>
          <w:bCs/>
          <w:color w:val="auto"/>
          <w:sz w:val="32"/>
          <w:szCs w:val="32"/>
          <w:highlight w:val="none"/>
          <w:lang w:val="en-US" w:eastAsia="zh-CN"/>
        </w:rPr>
        <w:t>〔2020〕36号）和《关于总寨塬智能温室园区排水工程项目实施方案的批复》（城中发工信字〔2019〕101号）文件</w:t>
      </w:r>
      <w:r>
        <w:rPr>
          <w:rFonts w:hint="eastAsia" w:cs="Times New Roman"/>
          <w:color w:val="auto"/>
          <w:lang w:val="en-US" w:eastAsia="zh-CN"/>
        </w:rPr>
        <w:t>批复，由城中区农业农村和乡村振兴局负责实施城中区总寨塬智能温室园区道路工程和排水工程建设。</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根据评分标准，项目立项符合</w:t>
      </w:r>
      <w:r>
        <w:rPr>
          <w:rFonts w:hint="eastAsia" w:cs="仿宋_GB2312"/>
          <w:b w:val="0"/>
          <w:bCs w:val="0"/>
          <w:color w:val="auto"/>
          <w:sz w:val="32"/>
          <w:szCs w:val="32"/>
          <w:highlight w:val="none"/>
          <w:lang w:val="en-US" w:eastAsia="zh-CN"/>
        </w:rPr>
        <w:t>青海省第十一次党代会精神和城中区农业发展需求，项目由</w:t>
      </w:r>
      <w:r>
        <w:rPr>
          <w:rFonts w:hint="eastAsia" w:cs="Times New Roman"/>
          <w:color w:val="auto"/>
          <w:lang w:val="en-US" w:eastAsia="zh-CN"/>
        </w:rPr>
        <w:t>城中区农业农村和乡村振兴局实施</w:t>
      </w:r>
      <w:r>
        <w:rPr>
          <w:rFonts w:hint="eastAsia" w:ascii="仿宋_GB2312" w:hAnsi="仿宋_GB2312" w:eastAsia="仿宋_GB2312" w:cs="仿宋_GB2312"/>
          <w:b w:val="0"/>
          <w:bCs w:val="0"/>
          <w:color w:val="auto"/>
          <w:sz w:val="32"/>
          <w:szCs w:val="32"/>
          <w:highlight w:val="none"/>
          <w:lang w:val="en-US" w:eastAsia="zh-CN"/>
        </w:rPr>
        <w:t>，</w:t>
      </w:r>
      <w:r>
        <w:rPr>
          <w:rFonts w:hint="eastAsia" w:cs="仿宋_GB2312"/>
          <w:b w:val="0"/>
          <w:bCs w:val="0"/>
          <w:color w:val="auto"/>
          <w:sz w:val="32"/>
          <w:szCs w:val="32"/>
          <w:highlight w:val="none"/>
          <w:lang w:val="en-US" w:eastAsia="zh-CN"/>
        </w:rPr>
        <w:t>未与其他同类项目相重复，</w:t>
      </w:r>
      <w:r>
        <w:rPr>
          <w:rFonts w:hint="eastAsia" w:ascii="仿宋_GB2312" w:hAnsi="仿宋_GB2312" w:eastAsia="仿宋_GB2312" w:cs="仿宋_GB2312"/>
          <w:b w:val="0"/>
          <w:bCs w:val="0"/>
          <w:color w:val="auto"/>
          <w:sz w:val="32"/>
          <w:szCs w:val="32"/>
          <w:highlight w:val="none"/>
          <w:lang w:val="en-US" w:eastAsia="zh-CN"/>
        </w:rPr>
        <w:t>项目立项依据充分</w:t>
      </w:r>
      <w:r>
        <w:rPr>
          <w:rFonts w:hint="eastAsia" w:ascii="仿宋_GB2312" w:hAnsi="仿宋_GB2312" w:eastAsia="仿宋_GB2312" w:cs="仿宋_GB2312"/>
          <w:b w:val="0"/>
          <w:bCs/>
          <w:color w:val="auto"/>
          <w:szCs w:val="32"/>
          <w:lang w:val="en-US" w:eastAsia="zh-CN"/>
        </w:rPr>
        <w:t>。</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仿宋_GB2312" w:hAnsi="仿宋_GB2312" w:eastAsia="仿宋_GB2312" w:cs="仿宋_GB2312"/>
          <w:b w:val="0"/>
          <w:bCs w:val="0"/>
          <w:color w:val="auto"/>
          <w:sz w:val="32"/>
          <w:szCs w:val="32"/>
          <w:highlight w:val="none"/>
          <w:lang w:val="en-US" w:eastAsia="zh-CN"/>
        </w:rPr>
        <w:t>分</w:t>
      </w:r>
      <w:r>
        <w:rPr>
          <w:rFonts w:hint="eastAsia" w:ascii="Times New Roman" w:hAnsi="Times New Roman" w:eastAsia="仿宋_GB2312" w:cs="Times New Roman"/>
          <w:bCs/>
          <w:color w:val="auto"/>
          <w:sz w:val="32"/>
          <w:szCs w:val="32"/>
          <w:highlight w:val="none"/>
          <w:lang w:val="en-US" w:eastAsia="zh-CN"/>
        </w:rPr>
        <w:t>2分。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820" w:name="_Toc22277"/>
      <w:bookmarkStart w:id="821" w:name="_Toc7907"/>
      <w:bookmarkStart w:id="822" w:name="_Toc17172"/>
      <w:bookmarkStart w:id="823" w:name="_Toc17801"/>
      <w:bookmarkStart w:id="824" w:name="_Toc10130"/>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立项</w:t>
      </w:r>
      <w:r>
        <w:rPr>
          <w:rFonts w:hint="eastAsia" w:cs="仿宋_GB2312"/>
          <w:b/>
          <w:color w:val="auto"/>
          <w:szCs w:val="32"/>
          <w:highlight w:val="none"/>
          <w:lang w:val="en-US" w:eastAsia="zh-CN"/>
        </w:rPr>
        <w:t>程序合规</w:t>
      </w:r>
      <w:r>
        <w:rPr>
          <w:rFonts w:hint="eastAsia" w:ascii="仿宋_GB2312" w:hAnsi="仿宋_GB2312" w:eastAsia="仿宋_GB2312" w:cs="仿宋_GB2312"/>
          <w:b/>
          <w:color w:val="auto"/>
          <w:szCs w:val="32"/>
          <w:highlight w:val="none"/>
          <w:lang w:val="en-US" w:eastAsia="zh-CN"/>
        </w:rPr>
        <w:t>性（指标分值2分）（得分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w:t>
      </w:r>
      <w:bookmarkEnd w:id="820"/>
      <w:bookmarkEnd w:id="821"/>
      <w:bookmarkEnd w:id="822"/>
      <w:bookmarkEnd w:id="823"/>
      <w:bookmarkEnd w:id="824"/>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en-US" w:eastAsia="zh-CN"/>
        </w:rPr>
      </w:pPr>
      <w:r>
        <w:rPr>
          <w:rFonts w:hint="eastAsia" w:cs="仿宋_GB2312"/>
          <w:b w:val="0"/>
          <w:bCs/>
          <w:color w:val="auto"/>
          <w:szCs w:val="32"/>
          <w:lang w:val="en-US" w:eastAsia="zh-CN"/>
        </w:rPr>
        <w:t>城中区总寨塬道路工程和排水工作</w:t>
      </w:r>
      <w:r>
        <w:rPr>
          <w:rFonts w:hint="eastAsia" w:ascii="仿宋_GB2312" w:hAnsi="仿宋_GB2312" w:eastAsia="仿宋_GB2312" w:cs="仿宋_GB2312"/>
          <w:b w:val="0"/>
          <w:bCs/>
          <w:color w:val="auto"/>
          <w:szCs w:val="32"/>
          <w:lang w:val="en-US" w:eastAsia="zh-CN"/>
        </w:rPr>
        <w:t>项目按照规定的程序申请立项</w:t>
      </w:r>
      <w:r>
        <w:rPr>
          <w:rFonts w:hint="eastAsia" w:cs="仿宋_GB2312"/>
          <w:b w:val="0"/>
          <w:bCs/>
          <w:color w:val="auto"/>
          <w:szCs w:val="32"/>
          <w:lang w:val="en-US" w:eastAsia="zh-CN"/>
        </w:rPr>
        <w:t>，根据实施地点的水文、气象和地质条件，依据相关工程技术规范和设计标准，设计《城中区总寨塬智能连栋温室园区排水工程实施方案》和《城中区总寨塬智能连栋温室园区道路工程实施方案》，经</w:t>
      </w:r>
      <w:r>
        <w:rPr>
          <w:rFonts w:hint="eastAsia" w:cs="Times New Roman"/>
          <w:color w:val="auto"/>
          <w:lang w:val="en-US" w:eastAsia="zh-CN"/>
        </w:rPr>
        <w:t>城中区发展改革和工业信息化局研究，同意由城中区农业农村和乡村振兴局负责实施。</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ascii="仿宋_GB2312" w:hAnsi="仿宋_GB2312" w:eastAsia="仿宋_GB2312" w:cs="仿宋_GB2312"/>
          <w:b w:val="0"/>
          <w:bCs/>
          <w:color w:val="auto"/>
          <w:szCs w:val="32"/>
          <w:highlight w:val="none"/>
          <w:lang w:val="en-US" w:eastAsia="zh-CN"/>
        </w:rPr>
        <w:t>项目按照规定的程序申请设立，</w:t>
      </w:r>
      <w:r>
        <w:rPr>
          <w:rFonts w:hint="eastAsia" w:cs="仿宋_GB2312"/>
          <w:b w:val="0"/>
          <w:bCs/>
          <w:color w:val="auto"/>
          <w:szCs w:val="32"/>
          <w:highlight w:val="none"/>
          <w:lang w:val="en-US" w:eastAsia="zh-CN"/>
        </w:rPr>
        <w:t>立项手续齐全，项目实施方案完善，批复</w:t>
      </w:r>
      <w:r>
        <w:rPr>
          <w:rFonts w:hint="eastAsia" w:ascii="仿宋_GB2312" w:hAnsi="仿宋_GB2312" w:eastAsia="仿宋_GB2312" w:cs="仿宋_GB2312"/>
          <w:b w:val="0"/>
          <w:bCs/>
          <w:color w:val="auto"/>
          <w:szCs w:val="32"/>
          <w:highlight w:val="none"/>
          <w:lang w:val="en-US" w:eastAsia="zh-CN"/>
        </w:rPr>
        <w:t>文件、材料符合相关要求，</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Times New Roman" w:hAnsi="Times New Roman" w:eastAsia="仿宋_GB2312" w:cs="Times New Roman"/>
          <w:bCs/>
          <w:color w:val="auto"/>
          <w:sz w:val="32"/>
          <w:szCs w:val="32"/>
          <w:highlight w:val="none"/>
          <w:lang w:val="en-US" w:eastAsia="zh-CN"/>
        </w:rPr>
        <w:t>分2分</w:t>
      </w:r>
      <w:r>
        <w:rPr>
          <w:rFonts w:hint="eastAsia" w:ascii="仿宋_GB2312" w:hAnsi="仿宋_GB2312" w:eastAsia="仿宋_GB2312" w:cs="仿宋_GB2312"/>
          <w:b w:val="0"/>
          <w:bCs w:val="0"/>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textAlignment w:val="auto"/>
        <w:outlineLvl w:val="2"/>
        <w:rPr>
          <w:rFonts w:hint="eastAsia" w:ascii="仿宋_GB2312" w:hAnsi="仿宋_GB2312" w:eastAsia="仿宋_GB2312" w:cs="仿宋_GB2312"/>
          <w:b/>
          <w:color w:val="auto"/>
          <w:szCs w:val="32"/>
          <w:highlight w:val="none"/>
          <w:lang w:val="en-US" w:eastAsia="zh-CN"/>
        </w:rPr>
      </w:pPr>
      <w:bookmarkStart w:id="825" w:name="_Toc24739"/>
      <w:bookmarkStart w:id="826" w:name="_Toc18548"/>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绩效目标</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3.5</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2.5</w:t>
      </w:r>
      <w:r>
        <w:rPr>
          <w:rFonts w:hint="eastAsia" w:ascii="仿宋_GB2312" w:hAnsi="仿宋_GB2312" w:eastAsia="仿宋_GB2312" w:cs="仿宋_GB2312"/>
          <w:b/>
          <w:color w:val="auto"/>
          <w:szCs w:val="32"/>
          <w:highlight w:val="none"/>
          <w:lang w:val="en-US" w:eastAsia="zh-CN"/>
        </w:rPr>
        <w:t>分）</w:t>
      </w:r>
      <w:bookmarkEnd w:id="825"/>
      <w:bookmarkEnd w:id="826"/>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827" w:name="_Toc13257"/>
      <w:bookmarkStart w:id="828" w:name="_Toc27448"/>
      <w:bookmarkStart w:id="829" w:name="_Toc9933"/>
      <w:bookmarkStart w:id="830" w:name="_Toc8774"/>
      <w:bookmarkStart w:id="831" w:name="_Toc8894"/>
      <w:r>
        <w:rPr>
          <w:rFonts w:hint="eastAsia" w:ascii="仿宋_GB2312" w:hAnsi="仿宋_GB2312" w:eastAsia="仿宋_GB2312" w:cs="仿宋_GB2312"/>
          <w:b/>
          <w:color w:val="auto"/>
          <w:szCs w:val="32"/>
          <w:highlight w:val="none"/>
          <w:lang w:val="en-US" w:eastAsia="zh-CN"/>
        </w:rPr>
        <w:t>（1）</w:t>
      </w:r>
      <w:r>
        <w:rPr>
          <w:rFonts w:hint="eastAsia" w:cs="仿宋_GB2312"/>
          <w:b/>
          <w:color w:val="auto"/>
          <w:szCs w:val="32"/>
          <w:highlight w:val="none"/>
          <w:lang w:val="en-US" w:eastAsia="zh-CN"/>
        </w:rPr>
        <w:t>绩效目标合理</w:t>
      </w:r>
      <w:r>
        <w:rPr>
          <w:rFonts w:hint="eastAsia" w:ascii="仿宋_GB2312" w:hAnsi="仿宋_GB2312" w:eastAsia="仿宋_GB2312" w:cs="仿宋_GB2312"/>
          <w:b/>
          <w:color w:val="auto"/>
          <w:szCs w:val="32"/>
          <w:highlight w:val="none"/>
          <w:lang w:val="en-US" w:eastAsia="zh-CN"/>
        </w:rPr>
        <w:t>性（指标分值2分）（得分</w:t>
      </w:r>
      <w:r>
        <w:rPr>
          <w:rFonts w:hint="eastAsia" w:cs="仿宋_GB2312"/>
          <w:b/>
          <w:color w:val="auto"/>
          <w:szCs w:val="32"/>
          <w:highlight w:val="none"/>
          <w:lang w:val="en-US" w:eastAsia="zh-CN"/>
        </w:rPr>
        <w:t>1.5</w:t>
      </w:r>
      <w:r>
        <w:rPr>
          <w:rFonts w:hint="eastAsia" w:ascii="仿宋_GB2312" w:hAnsi="仿宋_GB2312" w:eastAsia="仿宋_GB2312" w:cs="仿宋_GB2312"/>
          <w:b/>
          <w:color w:val="auto"/>
          <w:szCs w:val="32"/>
          <w:highlight w:val="none"/>
          <w:lang w:val="en-US" w:eastAsia="zh-CN"/>
        </w:rPr>
        <w:t>分）</w:t>
      </w:r>
      <w:bookmarkEnd w:id="827"/>
      <w:bookmarkEnd w:id="828"/>
      <w:bookmarkEnd w:id="829"/>
      <w:bookmarkEnd w:id="830"/>
      <w:bookmarkEnd w:id="831"/>
    </w:p>
    <w:p>
      <w:pPr>
        <w:pageBreakBefore w:val="0"/>
        <w:widowControl w:val="0"/>
        <w:overflowPunct/>
        <w:topLinePunct w:val="0"/>
        <w:bidi w:val="0"/>
        <w:spacing w:line="576" w:lineRule="exact"/>
        <w:ind w:left="0" w:leftChars="0" w:firstLine="640" w:firstLineChars="200"/>
        <w:jc w:val="both"/>
        <w:rPr>
          <w:rFonts w:hint="default" w:ascii="仿宋_GB2312" w:hAnsi="仿宋_GB2312" w:eastAsia="仿宋_GB2312" w:cs="Times New Roman"/>
          <w:color w:val="auto"/>
          <w:kern w:val="2"/>
          <w:sz w:val="32"/>
          <w:szCs w:val="24"/>
          <w:highlight w:val="yellow"/>
          <w:lang w:val="en-US" w:eastAsia="zh-CN" w:bidi="ar-SA"/>
        </w:rPr>
      </w:pPr>
      <w:r>
        <w:rPr>
          <w:rFonts w:hint="eastAsia" w:ascii="仿宋_GB2312" w:hAnsi="仿宋_GB2312" w:eastAsia="仿宋_GB2312" w:cs="仿宋_GB2312"/>
          <w:bCs/>
          <w:color w:val="auto"/>
          <w:kern w:val="2"/>
          <w:sz w:val="32"/>
          <w:szCs w:val="32"/>
          <w:highlight w:val="none"/>
          <w:lang w:val="en-US" w:eastAsia="zh-CN" w:bidi="ar-SA"/>
        </w:rPr>
        <w:t>城中区农业农村和乡村振兴局于</w:t>
      </w:r>
      <w:r>
        <w:rPr>
          <w:rFonts w:hint="eastAsia" w:ascii="Times New Roman" w:hAnsi="Times New Roman" w:eastAsia="仿宋_GB2312" w:cs="Times New Roman"/>
          <w:bCs/>
          <w:color w:val="auto"/>
          <w:sz w:val="32"/>
          <w:szCs w:val="32"/>
          <w:highlight w:val="none"/>
          <w:lang w:val="en-US" w:eastAsia="zh-CN"/>
        </w:rPr>
        <w:t>2020</w:t>
      </w:r>
      <w:r>
        <w:rPr>
          <w:rFonts w:hint="eastAsia" w:ascii="仿宋_GB2312" w:hAnsi="仿宋_GB2312" w:eastAsia="仿宋_GB2312" w:cs="仿宋_GB2312"/>
          <w:bCs/>
          <w:color w:val="auto"/>
          <w:kern w:val="2"/>
          <w:sz w:val="32"/>
          <w:szCs w:val="32"/>
          <w:highlight w:val="none"/>
          <w:lang w:val="en-US" w:eastAsia="zh-CN" w:bidi="ar-SA"/>
        </w:rPr>
        <w:t>年初对</w:t>
      </w:r>
      <w:r>
        <w:rPr>
          <w:rFonts w:hint="eastAsia" w:ascii="仿宋_GB2312" w:hAnsi="仿宋_GB2312" w:eastAsia="仿宋_GB2312" w:cs="仿宋_GB2312"/>
          <w:b w:val="0"/>
          <w:bCs/>
          <w:color w:val="auto"/>
          <w:kern w:val="2"/>
          <w:sz w:val="32"/>
          <w:szCs w:val="32"/>
          <w:lang w:val="en-US" w:eastAsia="zh-CN" w:bidi="ar-SA"/>
        </w:rPr>
        <w:t>城中区总寨塬智能连栋温室园区道路工程和排水工程项目进行了</w:t>
      </w:r>
      <w:r>
        <w:rPr>
          <w:rFonts w:hint="eastAsia" w:ascii="仿宋_GB2312" w:hAnsi="仿宋_GB2312" w:eastAsia="仿宋_GB2312" w:cs="仿宋_GB2312"/>
          <w:bCs/>
          <w:color w:val="auto"/>
          <w:kern w:val="2"/>
          <w:sz w:val="32"/>
          <w:szCs w:val="32"/>
          <w:highlight w:val="none"/>
          <w:lang w:val="en-US" w:eastAsia="zh-CN" w:bidi="ar-SA"/>
        </w:rPr>
        <w:t>绩效目标申报并提交城中区财政局。由于项目绩效目标申报表缺失，城中区农业农村和乡村振兴局仅提供了项目绩效运行监控表。依据</w:t>
      </w:r>
      <w:r>
        <w:rPr>
          <w:rFonts w:hint="eastAsia" w:ascii="仿宋_GB2312" w:hAnsi="仿宋_GB2312" w:eastAsia="仿宋_GB2312" w:cs="Times New Roman"/>
          <w:color w:val="auto"/>
          <w:kern w:val="2"/>
          <w:sz w:val="32"/>
          <w:szCs w:val="24"/>
          <w:lang w:val="en-US" w:eastAsia="zh-CN" w:bidi="ar-SA"/>
        </w:rPr>
        <w:t>《</w:t>
      </w:r>
      <w:r>
        <w:rPr>
          <w:rFonts w:hint="eastAsia" w:ascii="仿宋_GB2312" w:hAnsi="仿宋_GB2312" w:eastAsia="仿宋_GB2312" w:cs="仿宋_GB2312"/>
          <w:b w:val="0"/>
          <w:bCs/>
          <w:color w:val="auto"/>
          <w:kern w:val="2"/>
          <w:sz w:val="32"/>
          <w:szCs w:val="32"/>
          <w:lang w:val="en-US" w:eastAsia="zh-CN" w:bidi="ar-SA"/>
        </w:rPr>
        <w:t>城中区总寨塬智能连栋温室园区道路工程项目</w:t>
      </w:r>
      <w:r>
        <w:rPr>
          <w:rFonts w:hint="eastAsia" w:ascii="仿宋_GB2312" w:hAnsi="仿宋_GB2312" w:eastAsia="仿宋_GB2312" w:cs="Times New Roman"/>
          <w:color w:val="auto"/>
          <w:kern w:val="2"/>
          <w:sz w:val="32"/>
          <w:szCs w:val="24"/>
          <w:lang w:val="en-US" w:eastAsia="zh-CN" w:bidi="ar-SA"/>
        </w:rPr>
        <w:t>绩效运行监控情况表》和《</w:t>
      </w:r>
      <w:r>
        <w:rPr>
          <w:rFonts w:hint="eastAsia" w:ascii="仿宋_GB2312" w:hAnsi="仿宋_GB2312" w:eastAsia="仿宋_GB2312" w:cs="仿宋_GB2312"/>
          <w:b w:val="0"/>
          <w:bCs/>
          <w:color w:val="auto"/>
          <w:kern w:val="2"/>
          <w:sz w:val="32"/>
          <w:szCs w:val="32"/>
          <w:lang w:val="en-US" w:eastAsia="zh-CN" w:bidi="ar-SA"/>
        </w:rPr>
        <w:t>城中区总寨塬智能连栋温室园区排水工程项目</w:t>
      </w:r>
      <w:r>
        <w:rPr>
          <w:rFonts w:hint="eastAsia" w:ascii="仿宋_GB2312" w:hAnsi="仿宋_GB2312" w:eastAsia="仿宋_GB2312" w:cs="Times New Roman"/>
          <w:color w:val="auto"/>
          <w:kern w:val="2"/>
          <w:sz w:val="32"/>
          <w:szCs w:val="24"/>
          <w:lang w:val="en-US" w:eastAsia="zh-CN" w:bidi="ar-SA"/>
        </w:rPr>
        <w:t>绩效运行监控情况表》，项目</w:t>
      </w:r>
      <w:r>
        <w:rPr>
          <w:rFonts w:hint="eastAsia" w:ascii="仿宋_GB2312" w:hAnsi="仿宋_GB2312" w:eastAsia="仿宋_GB2312" w:cs="仿宋_GB2312"/>
          <w:b w:val="0"/>
          <w:bCs w:val="0"/>
          <w:color w:val="auto"/>
          <w:kern w:val="2"/>
          <w:sz w:val="32"/>
          <w:szCs w:val="24"/>
          <w:lang w:val="en-US" w:eastAsia="zh-CN" w:bidi="ar-SA"/>
        </w:rPr>
        <w:t>根据资金使用方向、建设内容设定了绩效目标，预期产出效益和效果符合正常的业绩水平。但依据</w:t>
      </w:r>
      <w:r>
        <w:rPr>
          <w:rFonts w:hint="eastAsia" w:ascii="仿宋_GB2312" w:hAnsi="仿宋_GB2312" w:eastAsia="仿宋_GB2312" w:cs="Times New Roman"/>
          <w:color w:val="auto"/>
          <w:kern w:val="2"/>
          <w:sz w:val="32"/>
          <w:szCs w:val="24"/>
          <w:lang w:val="en-US" w:eastAsia="zh-CN" w:bidi="ar-SA"/>
        </w:rPr>
        <w:t>《西宁市城中区发展改革和工业信息化局关于城中区总寨塬智能连栋温室园区道路工程实施方案的批复》（城中发工信字</w:t>
      </w:r>
      <w:r>
        <w:rPr>
          <w:rFonts w:hint="eastAsia" w:ascii="Times New Roman" w:hAnsi="Times New Roman" w:eastAsia="仿宋_GB2312" w:cs="Times New Roman"/>
          <w:bCs/>
          <w:color w:val="auto"/>
          <w:sz w:val="32"/>
          <w:szCs w:val="32"/>
          <w:highlight w:val="none"/>
          <w:lang w:val="en-US" w:eastAsia="zh-CN"/>
        </w:rPr>
        <w:t>〔2020〕36号）批复的项目总投资为233.11万元，《西宁市城中区发展改革和工业信息化局关于城中区总寨塬智能连栋温室园区排水工程实施方案的批复》（城中发工信字〔2019〕101号）批复的项目总投资为154.74万元，绩效监控表中的道路项目预算资金198.166万元，排水项目预算资金104.286万元，</w:t>
      </w:r>
      <w:r>
        <w:rPr>
          <w:rFonts w:hint="eastAsia" w:ascii="仿宋_GB2312" w:hAnsi="仿宋_GB2312" w:eastAsia="仿宋_GB2312" w:cs="仿宋_GB2312"/>
          <w:b w:val="0"/>
          <w:bCs w:val="0"/>
          <w:color w:val="auto"/>
          <w:kern w:val="2"/>
          <w:sz w:val="32"/>
          <w:szCs w:val="24"/>
          <w:lang w:val="en-US" w:eastAsia="zh-CN" w:bidi="ar-SA"/>
        </w:rPr>
        <w:t>预算</w:t>
      </w:r>
      <w:r>
        <w:rPr>
          <w:rFonts w:hint="eastAsia" w:ascii="仿宋_GB2312" w:hAnsi="仿宋_GB2312" w:eastAsia="仿宋_GB2312" w:cs="仿宋_GB2312"/>
          <w:bCs/>
          <w:color w:val="auto"/>
          <w:kern w:val="2"/>
          <w:sz w:val="32"/>
          <w:szCs w:val="32"/>
          <w:highlight w:val="none"/>
          <w:lang w:val="en-US" w:eastAsia="zh-CN" w:bidi="ar-SA"/>
        </w:rPr>
        <w:t>资金填报与批复的项目工程预算投资额不相匹配，</w:t>
      </w:r>
      <w:r>
        <w:rPr>
          <w:rFonts w:hint="eastAsia" w:ascii="仿宋_GB2312" w:hAnsi="仿宋_GB2312" w:eastAsia="仿宋_GB2312" w:cs="仿宋_GB2312"/>
          <w:b w:val="0"/>
          <w:bCs w:val="0"/>
          <w:color w:val="auto"/>
          <w:kern w:val="2"/>
          <w:sz w:val="32"/>
          <w:szCs w:val="24"/>
          <w:highlight w:val="none"/>
          <w:lang w:val="en-US" w:eastAsia="zh-CN" w:bidi="ar-SA"/>
        </w:rPr>
        <w:t>绩效目标填报不规范。</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b w:val="0"/>
          <w:bCs w:val="0"/>
          <w:color w:val="auto"/>
          <w:sz w:val="32"/>
          <w:szCs w:val="32"/>
          <w:highlight w:val="none"/>
          <w:lang w:val="en-US" w:eastAsia="zh-CN"/>
        </w:rPr>
        <w:t>项目设定了绩效目标，绩效目标与实际实施内容相关，预期效益和效果符合正常的业绩水平，但</w:t>
      </w:r>
      <w:r>
        <w:rPr>
          <w:rFonts w:hint="eastAsia" w:cs="仿宋_GB2312"/>
          <w:b w:val="0"/>
          <w:bCs w:val="0"/>
          <w:color w:val="auto"/>
          <w:lang w:val="en-US" w:eastAsia="zh-CN"/>
        </w:rPr>
        <w:t>绩效目标填报不规范，填报的预算</w:t>
      </w:r>
      <w:r>
        <w:rPr>
          <w:rFonts w:hint="eastAsia" w:cs="仿宋_GB2312"/>
          <w:bCs/>
          <w:color w:val="auto"/>
          <w:sz w:val="32"/>
          <w:szCs w:val="32"/>
          <w:highlight w:val="none"/>
          <w:lang w:val="en-US" w:eastAsia="zh-CN"/>
        </w:rPr>
        <w:t>资金情况与批复的项目投资额不匹配，扣</w:t>
      </w:r>
      <w:r>
        <w:rPr>
          <w:rFonts w:hint="eastAsia" w:ascii="Times New Roman" w:hAnsi="Times New Roman" w:eastAsia="仿宋_GB2312" w:cs="Times New Roman"/>
          <w:bCs/>
          <w:color w:val="auto"/>
          <w:sz w:val="32"/>
          <w:szCs w:val="32"/>
          <w:highlight w:val="none"/>
          <w:lang w:val="en-US" w:eastAsia="zh-CN"/>
        </w:rPr>
        <w:t>0.5分，指标得分1.5分</w:t>
      </w:r>
      <w:r>
        <w:rPr>
          <w:rFonts w:hint="eastAsia" w:ascii="仿宋_GB2312" w:hAnsi="仿宋_GB2312" w:eastAsia="仿宋_GB2312" w:cs="仿宋_GB2312"/>
          <w:b w:val="0"/>
          <w:bCs w:val="0"/>
          <w:color w:val="auto"/>
          <w:sz w:val="32"/>
          <w:szCs w:val="32"/>
          <w:highlight w:val="none"/>
          <w:lang w:val="en-US" w:eastAsia="zh-CN"/>
        </w:rPr>
        <w:t>。</w:t>
      </w:r>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832" w:name="_Toc3908"/>
      <w:bookmarkStart w:id="833" w:name="_Toc10690"/>
      <w:bookmarkStart w:id="834" w:name="_Toc498"/>
      <w:bookmarkStart w:id="835" w:name="_Toc11064"/>
      <w:bookmarkStart w:id="836" w:name="_Toc7425"/>
      <w:r>
        <w:rPr>
          <w:rFonts w:hint="eastAsia" w:ascii="仿宋_GB2312" w:hAnsi="仿宋_GB2312" w:eastAsia="仿宋_GB2312" w:cs="仿宋_GB2312"/>
          <w:b/>
          <w:color w:val="auto"/>
          <w:szCs w:val="32"/>
          <w:highlight w:val="none"/>
          <w:lang w:val="en-US" w:eastAsia="zh-CN"/>
        </w:rPr>
        <w:t>（2）绩效指标</w:t>
      </w:r>
      <w:r>
        <w:rPr>
          <w:rFonts w:hint="eastAsia" w:cs="仿宋_GB2312"/>
          <w:b/>
          <w:color w:val="auto"/>
          <w:szCs w:val="32"/>
          <w:highlight w:val="none"/>
          <w:lang w:val="en-US" w:eastAsia="zh-CN"/>
        </w:rPr>
        <w:t>明确</w:t>
      </w:r>
      <w:r>
        <w:rPr>
          <w:rFonts w:hint="eastAsia" w:ascii="仿宋_GB2312" w:hAnsi="仿宋_GB2312" w:eastAsia="仿宋_GB2312" w:cs="仿宋_GB2312"/>
          <w:b/>
          <w:color w:val="auto"/>
          <w:szCs w:val="32"/>
          <w:highlight w:val="none"/>
          <w:lang w:val="en-US" w:eastAsia="zh-CN"/>
        </w:rPr>
        <w:t>性（指标分值1.5分）（得分</w:t>
      </w:r>
      <w:r>
        <w:rPr>
          <w:rFonts w:hint="eastAsia" w:cs="仿宋_GB2312"/>
          <w:b/>
          <w:color w:val="auto"/>
          <w:szCs w:val="32"/>
          <w:highlight w:val="none"/>
          <w:lang w:val="en-US" w:eastAsia="zh-CN"/>
        </w:rPr>
        <w:t>1</w:t>
      </w:r>
      <w:r>
        <w:rPr>
          <w:rFonts w:hint="eastAsia" w:ascii="仿宋_GB2312" w:hAnsi="仿宋_GB2312" w:eastAsia="仿宋_GB2312" w:cs="仿宋_GB2312"/>
          <w:b/>
          <w:color w:val="auto"/>
          <w:szCs w:val="32"/>
          <w:highlight w:val="none"/>
          <w:lang w:val="en-US" w:eastAsia="zh-CN"/>
        </w:rPr>
        <w:t>分）</w:t>
      </w:r>
      <w:bookmarkEnd w:id="832"/>
      <w:bookmarkEnd w:id="833"/>
      <w:bookmarkEnd w:id="834"/>
      <w:bookmarkEnd w:id="835"/>
      <w:bookmarkEnd w:id="836"/>
    </w:p>
    <w:p>
      <w:pPr>
        <w:pageBreakBefore w:val="0"/>
        <w:overflowPunct/>
        <w:topLinePunct w:val="0"/>
        <w:bidi w:val="0"/>
        <w:spacing w:line="576" w:lineRule="exact"/>
        <w:ind w:left="0" w:leftChars="0"/>
        <w:rPr>
          <w:rFonts w:hint="eastAsia" w:ascii="仿宋_GB2312" w:hAnsi="仿宋_GB2312" w:eastAsia="仿宋_GB2312" w:cs="仿宋_GB2312"/>
          <w:b w:val="0"/>
          <w:bCs w:val="0"/>
          <w:color w:val="auto"/>
          <w:sz w:val="32"/>
          <w:szCs w:val="32"/>
          <w:highlight w:val="none"/>
          <w:lang w:val="en-US" w:eastAsia="zh-CN"/>
        </w:rPr>
      </w:pPr>
      <w:r>
        <w:rPr>
          <w:rFonts w:hint="eastAsia" w:cs="Times New Roman"/>
          <w:color w:val="auto"/>
          <w:lang w:val="en-US" w:eastAsia="zh-CN"/>
        </w:rPr>
        <w:t>根据</w:t>
      </w:r>
      <w:r>
        <w:rPr>
          <w:rFonts w:hint="eastAsia" w:cs="Times New Roman"/>
          <w:color w:val="auto"/>
          <w:lang w:eastAsia="zh-CN"/>
        </w:rPr>
        <w:t>《</w:t>
      </w:r>
      <w:r>
        <w:rPr>
          <w:rFonts w:hint="eastAsia" w:cs="仿宋_GB2312"/>
          <w:b w:val="0"/>
          <w:bCs/>
          <w:color w:val="auto"/>
          <w:szCs w:val="32"/>
          <w:lang w:val="en-US" w:eastAsia="zh-CN"/>
        </w:rPr>
        <w:t>城中区总寨塬智能连栋温室园区道路工程项目</w:t>
      </w:r>
      <w:r>
        <w:rPr>
          <w:rFonts w:hint="eastAsia" w:cs="Times New Roman"/>
          <w:color w:val="auto"/>
          <w:lang w:val="en-US" w:eastAsia="zh-CN"/>
        </w:rPr>
        <w:t>绩效目标申报表</w:t>
      </w:r>
      <w:r>
        <w:rPr>
          <w:rFonts w:hint="eastAsia" w:cs="Times New Roman"/>
          <w:color w:val="auto"/>
          <w:lang w:eastAsia="zh-CN"/>
        </w:rPr>
        <w:t>》</w:t>
      </w:r>
      <w:r>
        <w:rPr>
          <w:rFonts w:hint="eastAsia" w:cs="Times New Roman"/>
          <w:color w:val="auto"/>
          <w:lang w:val="en-US" w:eastAsia="zh-CN"/>
        </w:rPr>
        <w:t>和</w:t>
      </w:r>
      <w:r>
        <w:rPr>
          <w:rFonts w:hint="eastAsia" w:cs="Times New Roman"/>
          <w:color w:val="auto"/>
          <w:lang w:eastAsia="zh-CN"/>
        </w:rPr>
        <w:t>《</w:t>
      </w:r>
      <w:r>
        <w:rPr>
          <w:rFonts w:hint="eastAsia" w:cs="仿宋_GB2312"/>
          <w:b w:val="0"/>
          <w:bCs/>
          <w:color w:val="auto"/>
          <w:szCs w:val="32"/>
          <w:lang w:val="en-US" w:eastAsia="zh-CN"/>
        </w:rPr>
        <w:t>城中区总寨塬智能连栋温室园区排水工程项目</w:t>
      </w:r>
      <w:r>
        <w:rPr>
          <w:rFonts w:hint="eastAsia" w:cs="Times New Roman"/>
          <w:color w:val="auto"/>
          <w:lang w:val="en-US" w:eastAsia="zh-CN"/>
        </w:rPr>
        <w:t>绩效目标申报表</w:t>
      </w:r>
      <w:r>
        <w:rPr>
          <w:rFonts w:hint="eastAsia" w:cs="Times New Roman"/>
          <w:color w:val="auto"/>
          <w:lang w:eastAsia="zh-CN"/>
        </w:rPr>
        <w:t>》，</w:t>
      </w:r>
      <w:r>
        <w:rPr>
          <w:rFonts w:hint="eastAsia" w:cs="Times New Roman"/>
          <w:color w:val="auto"/>
          <w:lang w:val="en-US" w:eastAsia="zh-CN"/>
        </w:rPr>
        <w:t>城中区总寨塬道路工程和排水工程项目绩效目标设定基本合理，但未能将项目绩效目标全部细化分解为具体的绩效指标，例如：产出指标未分解为成本指标和时效指标两个二级指标，不能通过可衡量的指标值体现项目成</w:t>
      </w:r>
      <w:r>
        <w:rPr>
          <w:rFonts w:hint="eastAsia" w:cs="Times New Roman"/>
          <w:color w:val="auto"/>
          <w:highlight w:val="none"/>
          <w:lang w:val="en-US" w:eastAsia="zh-CN"/>
        </w:rPr>
        <w:t>本控制情况和完成时效情况，数量指标的三级指标未细化成具体的指标，绩效指标不够明确。项目绩效目标设定不符合</w:t>
      </w:r>
      <w:r>
        <w:rPr>
          <w:rFonts w:hint="eastAsia" w:ascii="仿宋_GB2312" w:eastAsia="仿宋_GB2312" w:cs="Times New Roman"/>
          <w:bCs/>
          <w:color w:val="auto"/>
          <w:sz w:val="32"/>
          <w:szCs w:val="32"/>
          <w:highlight w:val="none"/>
          <w:lang w:val="en-US" w:eastAsia="zh-CN"/>
        </w:rPr>
        <w:t>《中共青海省委</w:t>
      </w:r>
      <w:r>
        <w:rPr>
          <w:rFonts w:hint="eastAsia" w:cs="Times New Roman"/>
          <w:bCs/>
          <w:color w:val="auto"/>
          <w:sz w:val="32"/>
          <w:szCs w:val="32"/>
          <w:highlight w:val="none"/>
          <w:lang w:val="en-US" w:eastAsia="zh-CN"/>
        </w:rPr>
        <w:t xml:space="preserve"> </w:t>
      </w:r>
      <w:r>
        <w:rPr>
          <w:rFonts w:hint="eastAsia" w:ascii="仿宋_GB2312" w:eastAsia="仿宋_GB2312" w:cs="Times New Roman"/>
          <w:bCs/>
          <w:color w:val="auto"/>
          <w:sz w:val="32"/>
          <w:szCs w:val="32"/>
          <w:highlight w:val="none"/>
          <w:lang w:val="en-US" w:eastAsia="zh-CN"/>
        </w:rPr>
        <w:t>青海省人民政府关于全面实施预算绩效管理的实施意见》（青发</w:t>
      </w:r>
      <w:r>
        <w:rPr>
          <w:rFonts w:hint="eastAsia" w:ascii="Times New Roman" w:hAnsi="Times New Roman" w:eastAsia="仿宋_GB2312" w:cs="Times New Roman"/>
          <w:bCs/>
          <w:color w:val="auto"/>
          <w:sz w:val="32"/>
          <w:szCs w:val="32"/>
          <w:highlight w:val="none"/>
          <w:lang w:val="en-US" w:eastAsia="zh-CN"/>
        </w:rPr>
        <w:t>〔2019〕11号）“第</w:t>
      </w:r>
      <w:r>
        <w:rPr>
          <w:rFonts w:hint="eastAsia" w:cs="Times New Roman"/>
          <w:bCs/>
          <w:color w:val="auto"/>
          <w:sz w:val="32"/>
          <w:szCs w:val="32"/>
          <w:highlight w:val="none"/>
          <w:lang w:val="en-US" w:eastAsia="zh-CN"/>
        </w:rPr>
        <w:t>七条 优化绩效目标管理 各地区各部门在建立项目储备和预算编制时，要科学设定部门和单位整体绩效目标、政策和项目绩效目标。绩效目标要包括产出、成本、经济效益、社会效益、生态效益、可持续影响和服务对象满意度等绩效指标，要与政策目的、财政投入规模、部门职能职责、项目实施计划、社会公众需求等相匹配”的要求</w:t>
      </w:r>
      <w:r>
        <w:rPr>
          <w:rFonts w:hint="eastAsia" w:cs="Times New Roman"/>
          <w:color w:val="auto"/>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textAlignment w:val="auto"/>
        <w:rPr>
          <w:rFonts w:hint="default" w:ascii="Times New Roman" w:hAnsi="Times New Roman" w:eastAsia="仿宋_GB2312" w:cs="Times New Roman"/>
          <w:bCs/>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Times New Roman"/>
          <w:color w:val="auto"/>
          <w:lang w:val="en-US" w:eastAsia="zh-CN"/>
        </w:rPr>
        <w:t>城中区总寨塬道工程和排水工程项目绩效目标设定基本合理，未能将项目绩效目标全部标细化分解为具体的绩效指标，不符合评分标准，指标</w:t>
      </w:r>
      <w:r>
        <w:rPr>
          <w:rFonts w:hint="eastAsia" w:ascii="Times New Roman" w:hAnsi="Times New Roman" w:eastAsia="仿宋_GB2312" w:cs="Times New Roman"/>
          <w:bCs/>
          <w:color w:val="auto"/>
          <w:sz w:val="32"/>
          <w:szCs w:val="32"/>
          <w:highlight w:val="none"/>
          <w:lang w:val="en-US" w:eastAsia="zh-CN"/>
        </w:rPr>
        <w:t>扣0.5分，得分1分。</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textAlignment w:val="auto"/>
        <w:outlineLvl w:val="2"/>
        <w:rPr>
          <w:rFonts w:hint="eastAsia" w:ascii="仿宋_GB2312" w:hAnsi="仿宋_GB2312" w:eastAsia="仿宋_GB2312" w:cs="仿宋_GB2312"/>
          <w:b/>
          <w:color w:val="auto"/>
          <w:szCs w:val="32"/>
          <w:highlight w:val="none"/>
          <w:lang w:val="en-US" w:eastAsia="zh-CN"/>
        </w:rPr>
      </w:pPr>
      <w:bookmarkStart w:id="837" w:name="_Toc21188"/>
      <w:bookmarkStart w:id="838" w:name="_Toc4865"/>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资金投入</w:t>
      </w:r>
      <w:r>
        <w:rPr>
          <w:rFonts w:hint="eastAsia" w:ascii="仿宋_GB2312" w:hAnsi="仿宋_GB2312" w:eastAsia="仿宋_GB2312" w:cs="仿宋_GB2312"/>
          <w:b/>
          <w:color w:val="auto"/>
          <w:szCs w:val="32"/>
          <w:highlight w:val="none"/>
          <w:lang w:val="en-US" w:eastAsia="zh-CN"/>
        </w:rPr>
        <w:t>（指标分值4分）（得分</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分）</w:t>
      </w:r>
      <w:bookmarkEnd w:id="837"/>
      <w:bookmarkEnd w:id="838"/>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839" w:name="_Toc3183"/>
      <w:bookmarkStart w:id="840" w:name="_Toc876"/>
      <w:bookmarkStart w:id="841" w:name="_Toc28938"/>
      <w:bookmarkStart w:id="842" w:name="_Toc577"/>
      <w:bookmarkStart w:id="843" w:name="_Toc16918"/>
      <w:r>
        <w:rPr>
          <w:rFonts w:hint="eastAsia" w:ascii="仿宋_GB2312" w:hAnsi="仿宋_GB2312" w:eastAsia="仿宋_GB2312" w:cs="仿宋_GB2312"/>
          <w:b/>
          <w:color w:val="auto"/>
          <w:szCs w:val="32"/>
          <w:highlight w:val="none"/>
          <w:lang w:val="en-US" w:eastAsia="zh-CN"/>
        </w:rPr>
        <w:t>（1）</w:t>
      </w:r>
      <w:r>
        <w:rPr>
          <w:rFonts w:hint="eastAsia" w:cs="仿宋_GB2312"/>
          <w:b/>
          <w:color w:val="auto"/>
          <w:szCs w:val="32"/>
          <w:highlight w:val="none"/>
          <w:lang w:val="en-US" w:eastAsia="zh-CN"/>
        </w:rPr>
        <w:t>资金预算合规</w:t>
      </w:r>
      <w:r>
        <w:rPr>
          <w:rFonts w:hint="eastAsia" w:ascii="仿宋_GB2312" w:hAnsi="仿宋_GB2312" w:eastAsia="仿宋_GB2312" w:cs="仿宋_GB2312"/>
          <w:b/>
          <w:color w:val="auto"/>
          <w:szCs w:val="32"/>
          <w:highlight w:val="none"/>
          <w:lang w:val="en-US" w:eastAsia="zh-CN"/>
        </w:rPr>
        <w:t>性（指标分值2分）（得分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w:t>
      </w:r>
      <w:bookmarkEnd w:id="839"/>
      <w:bookmarkEnd w:id="840"/>
      <w:bookmarkEnd w:id="841"/>
      <w:bookmarkEnd w:id="842"/>
      <w:bookmarkEnd w:id="843"/>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default" w:cs="Times New Roman"/>
          <w:color w:val="auto"/>
          <w:lang w:val="en-US" w:eastAsia="zh-CN"/>
        </w:rPr>
      </w:pPr>
      <w:r>
        <w:rPr>
          <w:rFonts w:hint="eastAsia" w:cs="Times New Roman"/>
          <w:color w:val="auto"/>
          <w:lang w:val="en-US" w:eastAsia="zh-CN"/>
        </w:rPr>
        <w:t>根据《城中区总寨塬智能温室园区道路工程可行性研究报告》《城中区总寨塬智能温室园区排水工程实施方案》《道路工程概预算书》《排水工程概预算书》以及城中区财政局（城中财字</w:t>
      </w:r>
      <w:r>
        <w:rPr>
          <w:rFonts w:hint="eastAsia" w:ascii="Times New Roman" w:hAnsi="Times New Roman" w:eastAsia="仿宋_GB2312" w:cs="Times New Roman"/>
          <w:bCs/>
          <w:color w:val="auto"/>
          <w:sz w:val="32"/>
          <w:szCs w:val="32"/>
          <w:highlight w:val="none"/>
          <w:lang w:val="en-US" w:eastAsia="zh-CN"/>
        </w:rPr>
        <w:t>〔2020〕291号）和（城中财字〔2020〕7号</w:t>
      </w:r>
      <w:r>
        <w:rPr>
          <w:rFonts w:hint="eastAsia" w:cs="Times New Roman"/>
          <w:color w:val="auto"/>
          <w:lang w:val="en-US" w:eastAsia="zh-CN"/>
        </w:rPr>
        <w:t>）文件，城中区总寨塬智能温室园区道路工程和排水工程项目资金预算合理，资金量与项目建设内容相匹配，资金预算依据充分、有效，标准合理，预算资金申请程序合规。</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Times New Roman"/>
          <w:color w:val="auto"/>
          <w:lang w:val="en-US" w:eastAsia="zh-CN"/>
        </w:rPr>
        <w:t>城中区总寨塬智能温室园区道路工程和排水工程项目资金预算依据充分、有效，标准合理，申请资金程序合规，资金量与项目内容相匹配，</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仿宋_GB2312" w:hAnsi="仿宋_GB2312" w:eastAsia="仿宋_GB2312" w:cs="仿宋_GB2312"/>
          <w:b w:val="0"/>
          <w:bCs w:val="0"/>
          <w:color w:val="auto"/>
          <w:sz w:val="32"/>
          <w:szCs w:val="32"/>
          <w:highlight w:val="none"/>
          <w:lang w:val="en-US" w:eastAsia="zh-CN"/>
        </w:rPr>
        <w:t>分</w:t>
      </w:r>
      <w:r>
        <w:rPr>
          <w:rFonts w:hint="eastAsia" w:ascii="Times New Roman" w:hAnsi="Times New Roman" w:eastAsia="仿宋_GB2312" w:cs="Times New Roman"/>
          <w:bCs/>
          <w:color w:val="auto"/>
          <w:sz w:val="32"/>
          <w:szCs w:val="32"/>
          <w:highlight w:val="none"/>
          <w:lang w:val="en-US" w:eastAsia="zh-CN"/>
        </w:rPr>
        <w:t>2分。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844" w:name="_Toc16958"/>
      <w:bookmarkStart w:id="845" w:name="_Toc32760"/>
      <w:bookmarkStart w:id="846" w:name="_Toc21432"/>
      <w:bookmarkStart w:id="847" w:name="_Toc1997"/>
      <w:bookmarkStart w:id="848" w:name="_Toc842"/>
      <w:r>
        <w:rPr>
          <w:rFonts w:hint="eastAsia" w:cs="仿宋_GB2312"/>
          <w:b/>
          <w:color w:val="auto"/>
          <w:szCs w:val="32"/>
          <w:highlight w:val="none"/>
          <w:lang w:val="en-US" w:eastAsia="zh-CN"/>
        </w:rPr>
        <w:t>（2）资金到位率</w:t>
      </w:r>
      <w:r>
        <w:rPr>
          <w:rFonts w:hint="eastAsia" w:ascii="仿宋_GB2312" w:hAnsi="仿宋_GB2312" w:eastAsia="仿宋_GB2312" w:cs="仿宋_GB2312"/>
          <w:b/>
          <w:color w:val="auto"/>
          <w:szCs w:val="32"/>
          <w:highlight w:val="none"/>
          <w:lang w:val="en-US" w:eastAsia="zh-CN"/>
        </w:rPr>
        <w:t>（指标分值2分）（得分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w:t>
      </w:r>
      <w:bookmarkEnd w:id="844"/>
      <w:bookmarkEnd w:id="845"/>
      <w:bookmarkEnd w:id="846"/>
      <w:bookmarkEnd w:id="847"/>
      <w:bookmarkEnd w:id="848"/>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right="0" w:firstLine="640" w:firstLineChars="200"/>
        <w:textAlignment w:val="auto"/>
        <w:rPr>
          <w:rFonts w:hint="eastAsia" w:ascii="Times New Roman" w:hAnsi="Times New Roman" w:eastAsia="仿宋_GB2312" w:cs="Times New Roman"/>
          <w:bCs/>
          <w:color w:val="auto"/>
          <w:sz w:val="32"/>
          <w:szCs w:val="32"/>
          <w:highlight w:val="none"/>
          <w:lang w:val="en-US" w:eastAsia="zh-CN"/>
        </w:rPr>
      </w:pPr>
      <w:r>
        <w:rPr>
          <w:rFonts w:hint="eastAsia" w:ascii="Calibri" w:hAnsi="Calibri" w:eastAsia="仿宋_GB2312" w:cs="仿宋_GB2312"/>
          <w:b w:val="0"/>
          <w:bCs w:val="0"/>
          <w:color w:val="auto"/>
          <w:kern w:val="2"/>
          <w:sz w:val="32"/>
          <w:szCs w:val="32"/>
          <w:highlight w:val="none"/>
          <w:lang w:val="en-US" w:eastAsia="zh-CN" w:bidi="ar-SA"/>
        </w:rPr>
        <w:t>城中区财政局依据（城中财字</w:t>
      </w:r>
      <w:r>
        <w:rPr>
          <w:rFonts w:hint="eastAsia" w:ascii="Times New Roman" w:hAnsi="Times New Roman" w:eastAsia="仿宋_GB2312" w:cs="Times New Roman"/>
          <w:bCs/>
          <w:color w:val="auto"/>
          <w:sz w:val="32"/>
          <w:szCs w:val="32"/>
          <w:highlight w:val="none"/>
          <w:lang w:val="en-US" w:eastAsia="zh-CN"/>
        </w:rPr>
        <w:t>〔2020〕291号）和（城中财字〔2020〕7号）文件，安排区级财政资金332.82万元用于城中区总寨塬智能温室园区道路工程和排水工程项目建设，资金全部到位，资金到位率100%。</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right="0" w:firstLine="640" w:firstLineChars="200"/>
        <w:textAlignment w:val="auto"/>
        <w:rPr>
          <w:rFonts w:hint="eastAsia"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根据评分标准，项目资金到位率=（实际到位资金/预算资金）*100%=（332.82/332.82）*100%=100%，符合评分标准，指标得分2分。</w:t>
      </w:r>
    </w:p>
    <w:p>
      <w:pPr>
        <w:pageBreakBefore w:val="0"/>
        <w:overflowPunct/>
        <w:topLinePunct w:val="0"/>
        <w:bidi w:val="0"/>
        <w:spacing w:line="576" w:lineRule="exact"/>
        <w:ind w:left="0" w:leftChars="0" w:firstLine="643"/>
        <w:outlineLvl w:val="1"/>
        <w:rPr>
          <w:rFonts w:hint="eastAsia" w:ascii="楷体_GB2312" w:hAnsi="楷体_GB2312" w:eastAsia="楷体_GB2312" w:cs="楷体_GB2312"/>
          <w:b/>
          <w:bCs/>
          <w:color w:val="auto"/>
          <w:szCs w:val="32"/>
          <w:lang w:val="en-US" w:eastAsia="zh-CN"/>
        </w:rPr>
      </w:pPr>
      <w:bookmarkStart w:id="849" w:name="_Toc12127"/>
      <w:bookmarkStart w:id="850" w:name="_Toc31800"/>
      <w:bookmarkStart w:id="851" w:name="_Toc12700"/>
      <w:bookmarkStart w:id="852" w:name="_Toc5041"/>
      <w:bookmarkStart w:id="853" w:name="_Toc3912"/>
      <w:r>
        <w:rPr>
          <w:rFonts w:hint="eastAsia" w:ascii="楷体_GB2312" w:hAnsi="楷体_GB2312" w:eastAsia="楷体_GB2312" w:cs="楷体_GB2312"/>
          <w:b/>
          <w:bCs/>
          <w:color w:val="auto"/>
          <w:szCs w:val="32"/>
          <w:lang w:val="zh-CN"/>
        </w:rPr>
        <w:t>（二）项目过程情况</w:t>
      </w:r>
      <w:bookmarkEnd w:id="812"/>
      <w:bookmarkEnd w:id="813"/>
      <w:bookmarkEnd w:id="814"/>
      <w:r>
        <w:rPr>
          <w:rFonts w:hint="eastAsia" w:ascii="楷体_GB2312" w:hAnsi="楷体_GB2312" w:eastAsia="楷体_GB2312" w:cs="楷体_GB2312"/>
          <w:b/>
          <w:bCs/>
          <w:color w:val="auto"/>
          <w:szCs w:val="32"/>
          <w:lang w:val="en-US" w:eastAsia="zh-CN"/>
        </w:rPr>
        <w:t>（指标分值23.5分）（得分16.5分）</w:t>
      </w:r>
      <w:bookmarkEnd w:id="849"/>
      <w:bookmarkEnd w:id="850"/>
      <w:bookmarkEnd w:id="851"/>
      <w:bookmarkEnd w:id="852"/>
      <w:bookmarkEnd w:id="853"/>
    </w:p>
    <w:p>
      <w:pPr>
        <w:pageBreakBefore w:val="0"/>
        <w:overflowPunct/>
        <w:topLinePunct w:val="0"/>
        <w:bidi w:val="0"/>
        <w:spacing w:line="576" w:lineRule="exact"/>
        <w:ind w:left="0" w:leftChars="0"/>
        <w:rPr>
          <w:rFonts w:hint="eastAsia" w:cs="Times New Roman"/>
          <w:color w:val="auto"/>
        </w:rPr>
      </w:pPr>
      <w:r>
        <w:rPr>
          <w:rFonts w:hint="eastAsia" w:cs="仿宋_GB2312"/>
          <w:color w:val="auto"/>
          <w:lang w:val="en-US" w:eastAsia="zh-CN"/>
        </w:rPr>
        <w:t>西宁市城中区总寨塬智能温室园区道路工程和排水</w:t>
      </w:r>
      <w:r>
        <w:rPr>
          <w:rFonts w:hint="eastAsia" w:cs="仿宋_GB2312"/>
          <w:color w:val="auto"/>
        </w:rPr>
        <w:t>项目</w:t>
      </w:r>
      <w:r>
        <w:rPr>
          <w:rFonts w:hint="eastAsia" w:cs="Times New Roman"/>
          <w:color w:val="auto"/>
        </w:rPr>
        <w:t>绩效评价</w:t>
      </w:r>
      <w:r>
        <w:rPr>
          <w:rFonts w:hint="eastAsia" w:cs="Times New Roman"/>
          <w:color w:val="auto"/>
          <w:lang w:val="en-US" w:eastAsia="zh-CN"/>
        </w:rPr>
        <w:t>过程</w:t>
      </w:r>
      <w:r>
        <w:rPr>
          <w:rFonts w:hint="eastAsia" w:cs="Times New Roman"/>
          <w:color w:val="auto"/>
        </w:rPr>
        <w:t>类指标得分情况如下表所示：</w:t>
      </w:r>
    </w:p>
    <w:p>
      <w:pPr>
        <w:pageBreakBefore w:val="0"/>
        <w:overflowPunct/>
        <w:topLinePunct w:val="0"/>
        <w:bidi w:val="0"/>
        <w:adjustRightInd w:val="0"/>
        <w:snapToGrid w:val="0"/>
        <w:spacing w:line="576" w:lineRule="exact"/>
        <w:ind w:left="0" w:leftChars="0" w:firstLine="0" w:firstLineChars="0"/>
        <w:jc w:val="center"/>
        <w:rPr>
          <w:rFonts w:ascii="宋体" w:eastAsia="宋体" w:cs="Times New Roman"/>
          <w:b/>
          <w:bCs/>
          <w:color w:val="auto"/>
          <w:sz w:val="28"/>
          <w:szCs w:val="28"/>
        </w:rPr>
      </w:pPr>
      <w:r>
        <w:rPr>
          <w:rFonts w:hint="eastAsia" w:ascii="宋体" w:eastAsia="宋体" w:cs="Times New Roman"/>
          <w:b/>
          <w:bCs/>
          <w:color w:val="auto"/>
          <w:sz w:val="28"/>
          <w:szCs w:val="28"/>
        </w:rPr>
        <w:t>表</w:t>
      </w:r>
      <w:r>
        <w:rPr>
          <w:rFonts w:hint="eastAsia" w:ascii="宋体" w:eastAsia="宋体" w:cs="Times New Roman"/>
          <w:b/>
          <w:bCs/>
          <w:color w:val="auto"/>
          <w:sz w:val="28"/>
          <w:szCs w:val="28"/>
          <w:lang w:val="en-US" w:eastAsia="zh-CN"/>
        </w:rPr>
        <w:t>5</w:t>
      </w:r>
      <w:r>
        <w:rPr>
          <w:rFonts w:hint="eastAsia" w:ascii="宋体" w:eastAsia="宋体" w:cs="Times New Roman"/>
          <w:b/>
          <w:bCs/>
          <w:color w:val="auto"/>
          <w:sz w:val="28"/>
          <w:szCs w:val="28"/>
        </w:rPr>
        <w:t xml:space="preserve"> 项目</w:t>
      </w:r>
      <w:r>
        <w:rPr>
          <w:rFonts w:hint="eastAsia" w:ascii="宋体" w:eastAsia="宋体" w:cs="Times New Roman"/>
          <w:b/>
          <w:bCs/>
          <w:color w:val="auto"/>
          <w:sz w:val="28"/>
          <w:szCs w:val="28"/>
          <w:lang w:val="en-US" w:eastAsia="zh-CN"/>
        </w:rPr>
        <w:t>过程</w:t>
      </w:r>
      <w:r>
        <w:rPr>
          <w:rFonts w:hint="eastAsia" w:ascii="宋体" w:eastAsia="宋体" w:cs="Times New Roman"/>
          <w:b/>
          <w:bCs/>
          <w:color w:val="auto"/>
          <w:sz w:val="28"/>
          <w:szCs w:val="28"/>
        </w:rPr>
        <w:t>类各项指标绩效评价得分表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2336"/>
        <w:gridCol w:w="3445"/>
        <w:gridCol w:w="7"/>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tcBorders>
              <w:top w:val="double" w:color="000000" w:sz="4" w:space="0"/>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1289" w:type="pct"/>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1901" w:type="pct"/>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651" w:type="pct"/>
            <w:gridSpan w:val="2"/>
            <w:tcBorders>
              <w:top w:val="double" w:color="000000" w:sz="4" w:space="0"/>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restart"/>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过程</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70.21</w:t>
            </w:r>
            <w:r>
              <w:rPr>
                <w:rFonts w:hint="eastAsia" w:ascii="宋体" w:hAnsi="宋体" w:eastAsia="宋体" w:cs="宋体"/>
                <w:bCs/>
                <w:color w:val="auto"/>
                <w:sz w:val="24"/>
                <w:szCs w:val="22"/>
                <w:highlight w:val="none"/>
              </w:rPr>
              <w:t>%</w:t>
            </w: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资金管理</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71.43</w:t>
            </w:r>
            <w:r>
              <w:rPr>
                <w:rFonts w:hint="eastAsia" w:ascii="宋体" w:hAnsi="宋体" w:eastAsia="宋体" w:cs="宋体"/>
                <w:bCs/>
                <w:color w:val="auto"/>
                <w:sz w:val="24"/>
                <w:szCs w:val="22"/>
                <w:highlight w:val="none"/>
              </w:rPr>
              <w:t>%</w:t>
            </w:r>
          </w:p>
        </w:tc>
        <w:tc>
          <w:tcPr>
            <w:tcW w:w="1901"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bCs/>
                <w:i w:val="0"/>
                <w:iCs w:val="0"/>
                <w:color w:val="auto"/>
                <w:sz w:val="24"/>
                <w:szCs w:val="22"/>
                <w:highlight w:val="none"/>
                <w:lang w:val="en-US"/>
              </w:rPr>
            </w:pPr>
            <w:r>
              <w:rPr>
                <w:rFonts w:hint="eastAsia" w:ascii="宋体" w:hAnsi="宋体" w:eastAsia="宋体" w:cs="宋体"/>
                <w:color w:val="auto"/>
                <w:sz w:val="24"/>
                <w:szCs w:val="24"/>
                <w:highlight w:val="none"/>
                <w:lang w:val="en-US" w:eastAsia="zh-CN"/>
              </w:rPr>
              <w:t>资金支出进度</w:t>
            </w:r>
          </w:p>
        </w:tc>
        <w:tc>
          <w:tcPr>
            <w:tcW w:w="651" w:type="pct"/>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01"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bCs/>
                <w:i w:val="0"/>
                <w:iCs w:val="0"/>
                <w:color w:val="auto"/>
                <w:kern w:val="2"/>
                <w:sz w:val="24"/>
                <w:szCs w:val="22"/>
                <w:highlight w:val="none"/>
                <w:lang w:val="en-US" w:eastAsia="zh-CN" w:bidi="ar-SA"/>
              </w:rPr>
            </w:pPr>
            <w:r>
              <w:rPr>
                <w:rFonts w:hint="eastAsia" w:ascii="宋体" w:hAnsi="宋体" w:eastAsia="宋体" w:cs="宋体"/>
                <w:color w:val="auto"/>
                <w:sz w:val="24"/>
                <w:szCs w:val="24"/>
                <w:highlight w:val="none"/>
                <w:lang w:val="en-US" w:eastAsia="zh-CN"/>
              </w:rPr>
              <w:t>资金使用合规性</w:t>
            </w:r>
          </w:p>
        </w:tc>
        <w:tc>
          <w:tcPr>
            <w:tcW w:w="651" w:type="pct"/>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kern w:val="2"/>
                <w:sz w:val="24"/>
                <w:szCs w:val="22"/>
                <w:highlight w:val="none"/>
                <w:lang w:val="en-US" w:eastAsia="zh-CN" w:bidi="ar-SA"/>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01"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财务管理规范性</w:t>
            </w:r>
          </w:p>
        </w:tc>
        <w:tc>
          <w:tcPr>
            <w:tcW w:w="651" w:type="pct"/>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组织实施</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eastAsia="zh-CN"/>
              </w:rPr>
              <w:t>：</w:t>
            </w:r>
            <w:r>
              <w:rPr>
                <w:rFonts w:hint="eastAsia" w:ascii="宋体" w:hAnsi="宋体" w:eastAsia="宋体" w:cs="宋体"/>
                <w:bCs/>
                <w:color w:val="auto"/>
                <w:sz w:val="24"/>
                <w:szCs w:val="22"/>
                <w:highlight w:val="none"/>
                <w:lang w:val="en-US" w:eastAsia="zh-CN"/>
              </w:rPr>
              <w:t>69.7</w:t>
            </w:r>
            <w:r>
              <w:rPr>
                <w:rFonts w:hint="eastAsia" w:ascii="宋体" w:hAnsi="宋体" w:eastAsia="宋体" w:cs="宋体"/>
                <w:bCs/>
                <w:color w:val="auto"/>
                <w:sz w:val="24"/>
                <w:szCs w:val="22"/>
                <w:highlight w:val="none"/>
              </w:rPr>
              <w:t>%</w:t>
            </w:r>
          </w:p>
        </w:tc>
        <w:tc>
          <w:tcPr>
            <w:tcW w:w="190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bCs/>
                <w:i w:val="0"/>
                <w:iCs w:val="0"/>
                <w:color w:val="auto"/>
                <w:sz w:val="24"/>
                <w:szCs w:val="22"/>
                <w:highlight w:val="none"/>
                <w:lang w:val="en-US" w:eastAsia="zh-CN"/>
              </w:rPr>
            </w:pPr>
            <w:r>
              <w:rPr>
                <w:rFonts w:hint="eastAsia" w:ascii="宋体" w:hAnsi="宋体" w:eastAsia="宋体" w:cs="宋体"/>
                <w:color w:val="auto"/>
                <w:kern w:val="0"/>
                <w:sz w:val="24"/>
                <w:szCs w:val="24"/>
                <w:highlight w:val="none"/>
                <w:lang w:val="en-US" w:eastAsia="zh-CN"/>
              </w:rPr>
              <w:t>管理制度及安全性</w:t>
            </w:r>
          </w:p>
        </w:tc>
        <w:tc>
          <w:tcPr>
            <w:tcW w:w="651" w:type="pct"/>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0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招投标合规性</w:t>
            </w:r>
          </w:p>
        </w:tc>
        <w:tc>
          <w:tcPr>
            <w:tcW w:w="651" w:type="pct"/>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bCs/>
                <w:i w:val="0"/>
                <w:iCs w:val="0"/>
                <w:color w:val="auto"/>
                <w:sz w:val="24"/>
                <w:szCs w:val="22"/>
                <w:highlight w:val="none"/>
                <w:lang w:val="en-US" w:eastAsia="zh-CN"/>
              </w:rPr>
            </w:pPr>
            <w:r>
              <w:rPr>
                <w:rFonts w:hint="eastAsia" w:ascii="宋体" w:hAnsi="宋体" w:eastAsia="宋体" w:cs="宋体"/>
                <w:color w:val="auto"/>
                <w:kern w:val="0"/>
                <w:sz w:val="24"/>
                <w:szCs w:val="24"/>
                <w:highlight w:val="none"/>
                <w:lang w:val="en-US" w:eastAsia="zh-CN"/>
              </w:rPr>
              <w:t>施工管理规范性</w:t>
            </w:r>
          </w:p>
        </w:tc>
        <w:tc>
          <w:tcPr>
            <w:tcW w:w="651" w:type="pct"/>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rPr>
            </w:pPr>
            <w:r>
              <w:rPr>
                <w:rFonts w:hint="eastAsia" w:ascii="宋体" w:hAnsi="宋体" w:eastAsia="宋体" w:cs="宋体"/>
                <w:i/>
                <w:iCs/>
                <w:color w:val="auto"/>
                <w:sz w:val="24"/>
                <w:szCs w:val="22"/>
                <w:highlight w:val="none"/>
                <w:lang w:val="en-US" w:eastAsia="zh-CN"/>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质量安全管理规范性</w:t>
            </w:r>
          </w:p>
        </w:tc>
        <w:tc>
          <w:tcPr>
            <w:tcW w:w="651" w:type="pct"/>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5" w:type="pct"/>
            <w:gridSpan w:val="2"/>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i w:val="0"/>
                <w:iCs w:val="0"/>
                <w:color w:val="auto"/>
                <w:kern w:val="0"/>
                <w:sz w:val="24"/>
                <w:szCs w:val="24"/>
                <w:highlight w:val="none"/>
                <w:lang w:val="en-US"/>
              </w:rPr>
            </w:pPr>
            <w:r>
              <w:rPr>
                <w:rFonts w:hint="eastAsia" w:ascii="宋体" w:hAnsi="宋体" w:eastAsia="宋体" w:cs="宋体"/>
                <w:color w:val="auto"/>
                <w:sz w:val="24"/>
                <w:szCs w:val="24"/>
                <w:highlight w:val="none"/>
                <w:lang w:val="en-US" w:eastAsia="zh-CN"/>
              </w:rPr>
              <w:t>监理管理规范性</w:t>
            </w:r>
          </w:p>
        </w:tc>
        <w:tc>
          <w:tcPr>
            <w:tcW w:w="647"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83.33%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5" w:type="pct"/>
            <w:gridSpan w:val="2"/>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验收管理规范性</w:t>
            </w:r>
          </w:p>
        </w:tc>
        <w:tc>
          <w:tcPr>
            <w:tcW w:w="647"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5" w:type="pct"/>
            <w:gridSpan w:val="2"/>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管护保障有效性</w:t>
            </w:r>
          </w:p>
        </w:tc>
        <w:tc>
          <w:tcPr>
            <w:tcW w:w="647"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5" w:type="pct"/>
            <w:gridSpan w:val="2"/>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i w:val="0"/>
                <w:iCs w:val="0"/>
                <w:color w:val="auto"/>
                <w:kern w:val="0"/>
                <w:sz w:val="24"/>
                <w:szCs w:val="24"/>
                <w:highlight w:val="none"/>
                <w:lang w:val="en-US"/>
              </w:rPr>
            </w:pPr>
            <w:r>
              <w:rPr>
                <w:rFonts w:hint="eastAsia" w:ascii="宋体" w:hAnsi="宋体" w:eastAsia="宋体" w:cs="宋体"/>
                <w:color w:val="auto"/>
                <w:sz w:val="24"/>
                <w:szCs w:val="24"/>
                <w:highlight w:val="none"/>
                <w:lang w:val="en-US" w:eastAsia="zh-CN"/>
              </w:rPr>
              <w:t>合同管理完备性</w:t>
            </w:r>
          </w:p>
        </w:tc>
        <w:tc>
          <w:tcPr>
            <w:tcW w:w="647"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5" w:type="pct"/>
            <w:gridSpan w:val="2"/>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档案管理完整性</w:t>
            </w:r>
          </w:p>
        </w:tc>
        <w:tc>
          <w:tcPr>
            <w:tcW w:w="647"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2" w:type="pct"/>
            <w:gridSpan w:val="4"/>
            <w:tcBorders>
              <w:left w:val="nil"/>
              <w:bottom w:val="doub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val="en-US" w:eastAsia="zh-CN"/>
              </w:rPr>
              <w:t>过程</w:t>
            </w:r>
            <w:r>
              <w:rPr>
                <w:rFonts w:hint="eastAsia" w:ascii="宋体" w:hAnsi="宋体" w:eastAsia="宋体" w:cs="宋体"/>
                <w:b/>
                <w:color w:val="auto"/>
                <w:sz w:val="24"/>
                <w:szCs w:val="22"/>
                <w:highlight w:val="none"/>
              </w:rPr>
              <w:t>”情况评级</w:t>
            </w:r>
          </w:p>
        </w:tc>
        <w:tc>
          <w:tcPr>
            <w:tcW w:w="647" w:type="pct"/>
            <w:tcBorders>
              <w:bottom w:val="doub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中</w:t>
            </w:r>
          </w:p>
        </w:tc>
      </w:tr>
    </w:tbl>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textAlignment w:val="auto"/>
        <w:outlineLvl w:val="2"/>
        <w:rPr>
          <w:rFonts w:hint="eastAsia" w:ascii="仿宋_GB2312" w:hAnsi="仿宋_GB2312" w:eastAsia="仿宋_GB2312" w:cs="仿宋_GB2312"/>
          <w:b/>
          <w:color w:val="auto"/>
          <w:szCs w:val="32"/>
          <w:highlight w:val="none"/>
          <w:lang w:val="en-US" w:eastAsia="zh-CN"/>
        </w:rPr>
      </w:pPr>
      <w:bookmarkStart w:id="854" w:name="_Toc9628"/>
      <w:bookmarkStart w:id="855" w:name="_Toc2993"/>
      <w:r>
        <w:rPr>
          <w:rFonts w:hint="eastAsia" w:ascii="仿宋_GB2312" w:hAnsi="仿宋_GB2312" w:eastAsia="仿宋_GB2312" w:cs="仿宋_GB2312"/>
          <w:b/>
          <w:color w:val="auto"/>
          <w:szCs w:val="32"/>
          <w:highlight w:val="none"/>
          <w:lang w:val="en-US" w:eastAsia="zh-CN"/>
        </w:rPr>
        <w:t>1.</w:t>
      </w:r>
      <w:r>
        <w:rPr>
          <w:rFonts w:hint="eastAsia" w:cs="仿宋_GB2312"/>
          <w:b/>
          <w:color w:val="auto"/>
          <w:szCs w:val="32"/>
          <w:highlight w:val="none"/>
          <w:lang w:val="en-US" w:eastAsia="zh-CN"/>
        </w:rPr>
        <w:t>资金管理</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7</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5</w:t>
      </w:r>
      <w:r>
        <w:rPr>
          <w:rFonts w:hint="eastAsia" w:ascii="仿宋_GB2312" w:hAnsi="仿宋_GB2312" w:eastAsia="仿宋_GB2312" w:cs="仿宋_GB2312"/>
          <w:b/>
          <w:color w:val="auto"/>
          <w:szCs w:val="32"/>
          <w:highlight w:val="none"/>
          <w:lang w:val="en-US" w:eastAsia="zh-CN"/>
        </w:rPr>
        <w:t>分）</w:t>
      </w:r>
      <w:bookmarkEnd w:id="854"/>
      <w:bookmarkEnd w:id="855"/>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856" w:name="_Toc18368"/>
      <w:bookmarkStart w:id="857" w:name="_Toc28044"/>
      <w:bookmarkStart w:id="858" w:name="_Toc16197"/>
      <w:bookmarkStart w:id="859" w:name="_Toc11540"/>
      <w:bookmarkStart w:id="860" w:name="_Toc6013"/>
      <w:r>
        <w:rPr>
          <w:rFonts w:hint="eastAsia" w:ascii="仿宋_GB2312" w:hAnsi="仿宋_GB2312" w:eastAsia="仿宋_GB2312" w:cs="仿宋_GB2312"/>
          <w:b/>
          <w:color w:val="auto"/>
          <w:szCs w:val="32"/>
          <w:highlight w:val="none"/>
          <w:lang w:val="en-US" w:eastAsia="zh-CN"/>
        </w:rPr>
        <w:t>（1）</w:t>
      </w:r>
      <w:r>
        <w:rPr>
          <w:rFonts w:hint="eastAsia" w:cs="仿宋_GB2312"/>
          <w:b/>
          <w:color w:val="auto"/>
          <w:szCs w:val="32"/>
          <w:highlight w:val="none"/>
          <w:lang w:val="en-US" w:eastAsia="zh-CN"/>
        </w:rPr>
        <w:t>资金支出进度</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1</w:t>
      </w:r>
      <w:r>
        <w:rPr>
          <w:rFonts w:hint="eastAsia" w:ascii="仿宋_GB2312" w:hAnsi="仿宋_GB2312" w:eastAsia="仿宋_GB2312" w:cs="仿宋_GB2312"/>
          <w:b/>
          <w:color w:val="auto"/>
          <w:szCs w:val="32"/>
          <w:highlight w:val="none"/>
          <w:lang w:val="en-US" w:eastAsia="zh-CN"/>
        </w:rPr>
        <w:t>分）</w:t>
      </w:r>
      <w:bookmarkEnd w:id="856"/>
      <w:bookmarkEnd w:id="857"/>
      <w:bookmarkEnd w:id="858"/>
      <w:bookmarkEnd w:id="859"/>
      <w:bookmarkEnd w:id="860"/>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楷体_GB2312" w:hAnsi="楷体_GB2312" w:eastAsia="楷体_GB2312" w:cs="楷体_GB2312"/>
          <w:b/>
          <w:bCs/>
          <w:color w:val="auto"/>
          <w:kern w:val="2"/>
          <w:sz w:val="32"/>
          <w:szCs w:val="32"/>
          <w:highlight w:val="none"/>
          <w:lang w:val="en-US" w:eastAsia="zh-CN" w:bidi="ar-SA"/>
        </w:rPr>
      </w:pPr>
      <w:r>
        <w:rPr>
          <w:rFonts w:hint="eastAsia" w:ascii="仿宋_GB2312" w:hAnsi="仿宋_GB2312" w:eastAsia="仿宋_GB2312" w:cs="Times New Roman"/>
          <w:color w:val="auto"/>
          <w:kern w:val="2"/>
          <w:sz w:val="32"/>
          <w:szCs w:val="24"/>
          <w:lang w:val="en-US" w:eastAsia="zh-CN" w:bidi="ar-SA"/>
        </w:rPr>
        <w:t>经核查财务相关资料，</w:t>
      </w:r>
      <w:r>
        <w:rPr>
          <w:rFonts w:hint="eastAsia" w:ascii="仿宋_GB2312" w:hAnsi="仿宋_GB2312" w:eastAsia="仿宋_GB2312" w:cs="仿宋_GB2312"/>
          <w:b w:val="0"/>
          <w:bCs w:val="0"/>
          <w:color w:val="auto"/>
          <w:kern w:val="2"/>
          <w:sz w:val="32"/>
          <w:szCs w:val="32"/>
          <w:highlight w:val="none"/>
          <w:lang w:val="en-US" w:eastAsia="zh-CN" w:bidi="ar-SA"/>
        </w:rPr>
        <w:t>城中区总寨塬智能温室园区道路工程和排水工程项目招投标代理费、设计费、监理费、工程管理费能够按照合同约定支出，但工程款未按工程进度和合同约定支出施工款项，具体为：</w:t>
      </w:r>
      <w:r>
        <w:rPr>
          <w:rFonts w:hint="eastAsia" w:ascii="Times New Roman" w:hAnsi="Times New Roman" w:eastAsia="仿宋_GB2312" w:cs="Times New Roman"/>
          <w:bCs/>
          <w:color w:val="auto"/>
          <w:sz w:val="32"/>
          <w:szCs w:val="32"/>
          <w:highlight w:val="none"/>
          <w:lang w:val="en-US" w:eastAsia="zh-CN"/>
        </w:rPr>
        <w:t>1.道路工程项目于2020年9月11日支付第一笔工程款57.84万元，2020年10月12日支付第二笔工程款77.12万元，2020年11月11日支付第三笔工程款28.92万元，2020年12月17日支付第四笔工程款25.83万元，依据道路工程签订的《建设工程施工合同》中关于付款周期“分3次支付，支付30%预付款，工</w:t>
      </w:r>
      <w:r>
        <w:rPr>
          <w:rFonts w:hint="eastAsia" w:ascii="仿宋_GB2312" w:hAnsi="仿宋_GB2312" w:eastAsia="仿宋_GB2312" w:cs="Times New Roman"/>
          <w:color w:val="auto"/>
          <w:kern w:val="2"/>
          <w:sz w:val="32"/>
          <w:szCs w:val="24"/>
          <w:lang w:val="en-US" w:eastAsia="zh-CN" w:bidi="ar-SA"/>
        </w:rPr>
        <w:t>程完工后支付</w:t>
      </w:r>
      <w:r>
        <w:rPr>
          <w:rFonts w:hint="eastAsia" w:ascii="Times New Roman" w:hAnsi="Times New Roman" w:eastAsia="仿宋_GB2312" w:cs="Times New Roman"/>
          <w:bCs/>
          <w:color w:val="auto"/>
          <w:sz w:val="32"/>
          <w:szCs w:val="32"/>
          <w:highlight w:val="none"/>
          <w:lang w:val="en-US" w:eastAsia="zh-CN"/>
        </w:rPr>
        <w:t>60%，验收完结清。”的约定，工程施工款项未按合同约定的工程进度支出，且付款比例与合同不符；2.排水工程项目于2020年9月11日支付第一笔工程款31.28万元，2020年10月12日支付第二笔工程款41.71万元，2020年11月11日支付第三笔工程款15.64万元，2020年12月15日支付第四笔工程款17.39万元，由</w:t>
      </w:r>
      <w:r>
        <w:rPr>
          <w:rFonts w:hint="eastAsia" w:ascii="仿宋_GB2312" w:hAnsi="仿宋_GB2312" w:eastAsia="仿宋_GB2312" w:cs="Times New Roman"/>
          <w:color w:val="auto"/>
          <w:kern w:val="2"/>
          <w:sz w:val="32"/>
          <w:szCs w:val="24"/>
          <w:lang w:val="en-US" w:eastAsia="zh-CN" w:bidi="ar-SA"/>
        </w:rPr>
        <w:t>于排水工程施工合同中未对付款周期及付款比例进行约定，且未查阅到监理工程量签证，因此无法核实排水工程资金支付是否按工程进度支付。</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b w:val="0"/>
          <w:bCs w:val="0"/>
          <w:color w:val="auto"/>
          <w:sz w:val="32"/>
          <w:szCs w:val="32"/>
          <w:highlight w:val="none"/>
          <w:lang w:val="en-US" w:eastAsia="zh-CN"/>
        </w:rPr>
        <w:t>道路工程和排水工程项目监理费、质检费、设计费、招标代理费能够按照合同约定及时支出，但工程款未按工程进度和合同约定支出施工款项，不</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Times New Roman" w:hAnsi="Times New Roman" w:eastAsia="仿宋_GB2312" w:cs="Times New Roman"/>
          <w:bCs/>
          <w:color w:val="auto"/>
          <w:sz w:val="32"/>
          <w:szCs w:val="32"/>
          <w:highlight w:val="none"/>
          <w:lang w:val="en-US" w:eastAsia="zh-CN"/>
        </w:rPr>
        <w:t>扣1分，指标得分1分。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861" w:name="_Toc13551"/>
      <w:bookmarkStart w:id="862" w:name="_Toc21095"/>
      <w:bookmarkStart w:id="863" w:name="_Toc9360"/>
      <w:bookmarkStart w:id="864" w:name="_Toc343"/>
      <w:bookmarkStart w:id="865" w:name="_Toc2147"/>
      <w:r>
        <w:rPr>
          <w:rFonts w:hint="eastAsia" w:cs="仿宋_GB2312"/>
          <w:b/>
          <w:color w:val="auto"/>
          <w:szCs w:val="32"/>
          <w:highlight w:val="none"/>
          <w:lang w:val="en-US" w:eastAsia="zh-CN"/>
        </w:rPr>
        <w:t>（2）资金使用合规</w:t>
      </w:r>
      <w:r>
        <w:rPr>
          <w:rFonts w:hint="eastAsia" w:ascii="仿宋_GB2312" w:hAnsi="仿宋_GB2312" w:eastAsia="仿宋_GB2312" w:cs="仿宋_GB2312"/>
          <w:b/>
          <w:color w:val="auto"/>
          <w:szCs w:val="32"/>
          <w:highlight w:val="none"/>
          <w:lang w:val="en-US" w:eastAsia="zh-CN"/>
        </w:rPr>
        <w:t>性（指标分值</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w:t>
      </w:r>
      <w:bookmarkEnd w:id="861"/>
      <w:bookmarkEnd w:id="862"/>
      <w:bookmarkEnd w:id="863"/>
      <w:bookmarkEnd w:id="864"/>
      <w:bookmarkEnd w:id="865"/>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cs="仿宋_GB2312"/>
          <w:b w:val="0"/>
          <w:bCs w:val="0"/>
          <w:color w:val="auto"/>
          <w:sz w:val="32"/>
          <w:szCs w:val="32"/>
          <w:highlight w:val="none"/>
          <w:lang w:val="en-US" w:eastAsia="zh-CN"/>
        </w:rPr>
        <w:t>经核查财务资料，城中区总寨塬智能温室园区道路工程和排水工程项目依据《城中区农业农村和扶贫开发局财务管理规章制度》要求使用资金，并按建设工程缺陷责任期内预留3%质保金的要求预留质保金，资金拨付有完整的审批手续，资金使用符合项目实施方案批复的用途，专账管理、专账核算，不存在截留、挤占、挪用、虚列支出等情况。</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b w:val="0"/>
          <w:bCs w:val="0"/>
          <w:color w:val="auto"/>
          <w:sz w:val="32"/>
          <w:szCs w:val="32"/>
          <w:highlight w:val="none"/>
          <w:lang w:val="en-US" w:eastAsia="zh-CN"/>
        </w:rPr>
        <w:t>城中区总寨塬智能温室园区道路工程和排水工程项目能够按照财务制度使用项目资金，资金拨付手续齐全，资金使用符合项目实施方案批复的用途，专账管理、专账核算，不存在截留、挤占、挪用、虚列支出等情况，</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Times New Roman" w:hAnsi="Times New Roman" w:eastAsia="仿宋_GB2312" w:cs="Times New Roman"/>
          <w:bCs/>
          <w:color w:val="auto"/>
          <w:sz w:val="32"/>
          <w:szCs w:val="32"/>
          <w:highlight w:val="none"/>
          <w:lang w:val="en-US" w:eastAsia="zh-CN"/>
        </w:rPr>
        <w:t>分2分。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866" w:name="_Toc143"/>
      <w:bookmarkStart w:id="867" w:name="_Toc8754"/>
      <w:bookmarkStart w:id="868" w:name="_Toc18728"/>
      <w:bookmarkStart w:id="869" w:name="_Toc5395"/>
      <w:bookmarkStart w:id="870" w:name="_Toc3575"/>
      <w:r>
        <w:rPr>
          <w:rFonts w:hint="eastAsia" w:cs="仿宋_GB2312"/>
          <w:b/>
          <w:color w:val="auto"/>
          <w:szCs w:val="32"/>
          <w:highlight w:val="none"/>
          <w:lang w:val="en-US" w:eastAsia="zh-CN"/>
        </w:rPr>
        <w:t>（3）财务管理规范</w:t>
      </w:r>
      <w:r>
        <w:rPr>
          <w:rFonts w:hint="eastAsia" w:ascii="仿宋_GB2312" w:hAnsi="仿宋_GB2312" w:eastAsia="仿宋_GB2312" w:cs="仿宋_GB2312"/>
          <w:b/>
          <w:color w:val="auto"/>
          <w:szCs w:val="32"/>
          <w:highlight w:val="none"/>
          <w:lang w:val="en-US" w:eastAsia="zh-CN"/>
        </w:rPr>
        <w:t>性（指标分值</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w:t>
      </w:r>
      <w:bookmarkEnd w:id="866"/>
      <w:bookmarkEnd w:id="867"/>
      <w:bookmarkEnd w:id="868"/>
      <w:bookmarkEnd w:id="869"/>
      <w:bookmarkEnd w:id="870"/>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default" w:cs="仿宋_GB2312"/>
          <w:b w:val="0"/>
          <w:bCs w:val="0"/>
          <w:color w:val="auto"/>
          <w:sz w:val="32"/>
          <w:szCs w:val="32"/>
          <w:highlight w:val="none"/>
          <w:lang w:val="en-US" w:eastAsia="zh-CN"/>
        </w:rPr>
      </w:pPr>
      <w:r>
        <w:rPr>
          <w:rFonts w:hint="eastAsia" w:cs="仿宋_GB2312"/>
          <w:b w:val="0"/>
          <w:bCs w:val="0"/>
          <w:color w:val="auto"/>
          <w:sz w:val="32"/>
          <w:szCs w:val="32"/>
          <w:highlight w:val="none"/>
          <w:lang w:val="en-US" w:eastAsia="zh-CN"/>
        </w:rPr>
        <w:t>经核查财务资料，城中区农业农村和乡村振兴局能够根据《财务管理规章制度》管理项目资金，项目资金支出凭证、报表齐全，财务资料齐全。但项目资金支出明细账中存在记账凭证摘要错误，导致费用归类有误的情况，具体为：道路工程款记入排水工程明细账中，排水工程监理费、管理费、质检费记入道路工程明细账中。财务管理规范性不足。</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b w:val="0"/>
          <w:bCs w:val="0"/>
          <w:color w:val="auto"/>
          <w:sz w:val="32"/>
          <w:szCs w:val="32"/>
          <w:highlight w:val="none"/>
          <w:lang w:val="en-US" w:eastAsia="zh-CN"/>
        </w:rPr>
        <w:t>城中区总寨塬智能温室园区道路工程和排水工程项目财务资料齐全，资金管理规范，但记账凭证中存在摘要错误的情况，财务管理规范性不足，不</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Times New Roman" w:hAnsi="Times New Roman" w:eastAsia="仿宋_GB2312" w:cs="Times New Roman"/>
          <w:bCs/>
          <w:color w:val="auto"/>
          <w:sz w:val="32"/>
          <w:szCs w:val="32"/>
          <w:highlight w:val="none"/>
          <w:lang w:val="en-US" w:eastAsia="zh-CN"/>
        </w:rPr>
        <w:t>扣1分，指标得分2分。</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textAlignment w:val="auto"/>
        <w:outlineLvl w:val="2"/>
        <w:rPr>
          <w:rFonts w:hint="eastAsia" w:ascii="仿宋_GB2312" w:hAnsi="仿宋_GB2312" w:eastAsia="仿宋_GB2312" w:cs="仿宋_GB2312"/>
          <w:b/>
          <w:color w:val="auto"/>
          <w:szCs w:val="32"/>
          <w:highlight w:val="none"/>
          <w:lang w:val="en-US" w:eastAsia="zh-CN"/>
        </w:rPr>
      </w:pPr>
      <w:bookmarkStart w:id="871" w:name="_Toc30391"/>
      <w:bookmarkStart w:id="872" w:name="_Toc29938"/>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组织实施</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16.5</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11.5</w:t>
      </w:r>
      <w:r>
        <w:rPr>
          <w:rFonts w:hint="eastAsia" w:ascii="仿宋_GB2312" w:hAnsi="仿宋_GB2312" w:eastAsia="仿宋_GB2312" w:cs="仿宋_GB2312"/>
          <w:b/>
          <w:color w:val="auto"/>
          <w:szCs w:val="32"/>
          <w:highlight w:val="none"/>
          <w:lang w:val="en-US" w:eastAsia="zh-CN"/>
        </w:rPr>
        <w:t>分）</w:t>
      </w:r>
      <w:bookmarkEnd w:id="871"/>
      <w:bookmarkEnd w:id="872"/>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873" w:name="_Toc32408"/>
      <w:bookmarkStart w:id="874" w:name="_Toc28514"/>
      <w:bookmarkStart w:id="875" w:name="_Toc12563"/>
      <w:bookmarkStart w:id="876" w:name="_Toc7344"/>
      <w:bookmarkStart w:id="877" w:name="_Toc11853"/>
      <w:r>
        <w:rPr>
          <w:rFonts w:hint="eastAsia" w:ascii="仿宋_GB2312" w:hAnsi="仿宋_GB2312" w:eastAsia="仿宋_GB2312" w:cs="仿宋_GB2312"/>
          <w:b/>
          <w:color w:val="auto"/>
          <w:szCs w:val="32"/>
          <w:highlight w:val="none"/>
          <w:lang w:val="en-US" w:eastAsia="zh-CN"/>
        </w:rPr>
        <w:t>（1）</w:t>
      </w:r>
      <w:r>
        <w:rPr>
          <w:rFonts w:hint="eastAsia" w:cs="仿宋_GB2312"/>
          <w:b/>
          <w:color w:val="auto"/>
          <w:szCs w:val="32"/>
          <w:highlight w:val="none"/>
          <w:lang w:val="en-US" w:eastAsia="zh-CN"/>
        </w:rPr>
        <w:t>管理制度健全性</w:t>
      </w:r>
      <w:r>
        <w:rPr>
          <w:rFonts w:hint="eastAsia" w:ascii="仿宋_GB2312" w:hAnsi="仿宋_GB2312" w:eastAsia="仿宋_GB2312" w:cs="仿宋_GB2312"/>
          <w:b/>
          <w:color w:val="auto"/>
          <w:szCs w:val="32"/>
          <w:highlight w:val="none"/>
          <w:lang w:val="en-US" w:eastAsia="zh-CN"/>
        </w:rPr>
        <w:t>（指标分值2分）（得分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w:t>
      </w:r>
      <w:bookmarkEnd w:id="873"/>
      <w:bookmarkEnd w:id="874"/>
      <w:bookmarkEnd w:id="875"/>
      <w:bookmarkEnd w:id="876"/>
      <w:bookmarkEnd w:id="877"/>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hint="default" w:cs="Times New Roman"/>
          <w:color w:val="auto"/>
          <w:lang w:val="en-US" w:eastAsia="zh-CN"/>
        </w:rPr>
      </w:pPr>
      <w:r>
        <w:rPr>
          <w:rFonts w:hint="eastAsia" w:cs="Times New Roman"/>
          <w:color w:val="auto"/>
          <w:lang w:val="en-US" w:eastAsia="zh-CN"/>
        </w:rPr>
        <w:t>经查阅项目资料，城中区总寨塬道路工程和排水工程项目具有相应的招投标制度、合同管理制度、建设项目管理制度、档案管理制度，质量检查第三方技术服务公司制定了质量检查管理制度，第三方监理公司制定了建设责任制度、环境管理制度、监理廉政自律制度，项目施工方制定了安全管理制度、定期检查制度、设备机械操作规程等，</w:t>
      </w:r>
      <w:r>
        <w:rPr>
          <w:rFonts w:hint="eastAsia" w:cs="仿宋_GB2312"/>
          <w:color w:val="auto"/>
          <w:lang w:val="en-US" w:eastAsia="zh-CN"/>
        </w:rPr>
        <w:t>管理制度合法、合规、完整。</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Times New Roman"/>
          <w:color w:val="auto"/>
          <w:lang w:val="en-US" w:eastAsia="zh-CN"/>
        </w:rPr>
        <w:t>城中区总寨塬道路工程和排水项目</w:t>
      </w:r>
      <w:r>
        <w:rPr>
          <w:rFonts w:hint="eastAsia" w:ascii="仿宋_GB2312" w:hAnsi="华文仿宋" w:eastAsia="仿宋_GB2312" w:cs="仿宋"/>
          <w:b w:val="0"/>
          <w:bCs w:val="0"/>
          <w:color w:val="auto"/>
          <w:sz w:val="32"/>
          <w:szCs w:val="32"/>
          <w:highlight w:val="none"/>
          <w:lang w:val="en-US" w:eastAsia="zh-CN"/>
        </w:rPr>
        <w:t>业务</w:t>
      </w:r>
      <w:r>
        <w:rPr>
          <w:rFonts w:hint="eastAsia" w:hAnsi="华文仿宋" w:cs="仿宋"/>
          <w:b w:val="0"/>
          <w:bCs w:val="0"/>
          <w:color w:val="auto"/>
          <w:sz w:val="32"/>
          <w:szCs w:val="32"/>
          <w:highlight w:val="none"/>
          <w:lang w:val="en-US" w:eastAsia="zh-CN"/>
        </w:rPr>
        <w:t>相关</w:t>
      </w:r>
      <w:r>
        <w:rPr>
          <w:rFonts w:hint="eastAsia" w:ascii="仿宋_GB2312" w:hAnsi="华文仿宋" w:eastAsia="仿宋_GB2312" w:cs="仿宋"/>
          <w:b w:val="0"/>
          <w:bCs w:val="0"/>
          <w:color w:val="auto"/>
          <w:sz w:val="32"/>
          <w:szCs w:val="32"/>
          <w:highlight w:val="none"/>
          <w:lang w:val="en-US" w:eastAsia="zh-CN"/>
        </w:rPr>
        <w:t>管理制度</w:t>
      </w:r>
      <w:r>
        <w:rPr>
          <w:rFonts w:hint="eastAsia" w:hAnsi="华文仿宋" w:cs="仿宋"/>
          <w:b w:val="0"/>
          <w:bCs w:val="0"/>
          <w:color w:val="auto"/>
          <w:sz w:val="32"/>
          <w:szCs w:val="32"/>
          <w:highlight w:val="none"/>
          <w:lang w:val="en-US" w:eastAsia="zh-CN"/>
        </w:rPr>
        <w:t>基本</w:t>
      </w:r>
      <w:r>
        <w:rPr>
          <w:rFonts w:hint="eastAsia" w:ascii="仿宋_GB2312" w:hAnsi="华文仿宋" w:eastAsia="仿宋_GB2312" w:cs="仿宋"/>
          <w:b w:val="0"/>
          <w:bCs w:val="0"/>
          <w:color w:val="auto"/>
          <w:sz w:val="32"/>
          <w:szCs w:val="32"/>
          <w:highlight w:val="none"/>
          <w:lang w:val="en-US" w:eastAsia="zh-CN"/>
        </w:rPr>
        <w:t>健全，</w:t>
      </w:r>
      <w:r>
        <w:rPr>
          <w:rFonts w:hint="eastAsia" w:hAnsi="华文仿宋" w:cs="仿宋"/>
          <w:b w:val="0"/>
          <w:bCs w:val="0"/>
          <w:color w:val="auto"/>
          <w:sz w:val="32"/>
          <w:szCs w:val="32"/>
          <w:highlight w:val="none"/>
          <w:lang w:val="en-US" w:eastAsia="zh-CN"/>
        </w:rPr>
        <w:t>能够</w:t>
      </w:r>
      <w:r>
        <w:rPr>
          <w:rFonts w:hint="eastAsia" w:ascii="仿宋_GB2312" w:hAnsi="华文仿宋" w:eastAsia="仿宋_GB2312" w:cs="仿宋"/>
          <w:b w:val="0"/>
          <w:bCs w:val="0"/>
          <w:color w:val="auto"/>
          <w:sz w:val="32"/>
          <w:szCs w:val="32"/>
          <w:highlight w:val="none"/>
          <w:lang w:val="en-US" w:eastAsia="zh-CN"/>
        </w:rPr>
        <w:t>保障项目顺利实施</w:t>
      </w:r>
      <w:r>
        <w:rPr>
          <w:rFonts w:hint="eastAsia" w:hAnsi="华文仿宋" w:cs="仿宋"/>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Times New Roman" w:hAnsi="Times New Roman" w:eastAsia="仿宋_GB2312" w:cs="Times New Roman"/>
          <w:bCs/>
          <w:color w:val="auto"/>
          <w:sz w:val="32"/>
          <w:szCs w:val="32"/>
          <w:highlight w:val="none"/>
          <w:lang w:val="en-US" w:eastAsia="zh-CN"/>
        </w:rPr>
        <w:t>分2分。</w:t>
      </w:r>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878" w:name="_Toc31775"/>
      <w:bookmarkStart w:id="879" w:name="_Toc31732"/>
      <w:bookmarkStart w:id="880" w:name="_Toc8329"/>
      <w:bookmarkStart w:id="881" w:name="_Toc9674"/>
      <w:bookmarkStart w:id="882" w:name="_Toc30471"/>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项目招投标合规</w:t>
      </w:r>
      <w:r>
        <w:rPr>
          <w:rFonts w:hint="eastAsia" w:ascii="仿宋_GB2312" w:hAnsi="仿宋_GB2312" w:eastAsia="仿宋_GB2312" w:cs="仿宋_GB2312"/>
          <w:b/>
          <w:color w:val="auto"/>
          <w:szCs w:val="32"/>
          <w:highlight w:val="none"/>
          <w:lang w:val="en-US" w:eastAsia="zh-CN"/>
        </w:rPr>
        <w:t>性（指标分值</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w:t>
      </w:r>
      <w:bookmarkEnd w:id="878"/>
      <w:bookmarkEnd w:id="879"/>
      <w:bookmarkEnd w:id="880"/>
      <w:bookmarkEnd w:id="881"/>
      <w:bookmarkEnd w:id="882"/>
    </w:p>
    <w:p>
      <w:pPr>
        <w:pageBreakBefore w:val="0"/>
        <w:overflowPunct/>
        <w:topLinePunct w:val="0"/>
        <w:bidi w:val="0"/>
        <w:spacing w:line="576" w:lineRule="exact"/>
        <w:ind w:left="0" w:leftChars="0"/>
        <w:outlineLvl w:val="9"/>
        <w:rPr>
          <w:rFonts w:hint="default" w:cs="Times New Roman"/>
          <w:color w:val="auto"/>
          <w:lang w:val="en-US" w:eastAsia="zh-CN"/>
        </w:rPr>
      </w:pPr>
      <w:r>
        <w:rPr>
          <w:rFonts w:hint="eastAsia" w:cs="Times New Roman"/>
          <w:color w:val="auto"/>
          <w:lang w:val="en-US" w:eastAsia="zh-CN"/>
        </w:rPr>
        <w:t>根据《西宁市城中区发展改革和工业信息化局关于城中区总寨塬智能连栋温室园区道路工程实施方案的批复》（城中发工信字</w:t>
      </w:r>
      <w:r>
        <w:rPr>
          <w:rFonts w:hint="eastAsia" w:ascii="Times New Roman" w:hAnsi="Times New Roman" w:eastAsia="仿宋_GB2312" w:cs="Times New Roman"/>
          <w:bCs/>
          <w:color w:val="auto"/>
          <w:sz w:val="32"/>
          <w:szCs w:val="32"/>
          <w:highlight w:val="none"/>
          <w:lang w:val="en-US" w:eastAsia="zh-CN"/>
        </w:rPr>
        <w:t>〔2020〕36号）和《西宁市城中区发展改革和工业信息化局关于城中区总寨塬智能连栋温室园区排水工程实施方案的批复》（城中发工信字〔2019〕101号）文件要求，城中区总寨塬智能连栋温室园区道路工程和排水工程项目落实招投标制，对道路工程和排水工程的工程建设分别进行公开招标。中标结果通过西宁市公共资源交易网（http://www.qhdzzbfw.gov.cn/xin/）对进行了</w:t>
      </w:r>
      <w:r>
        <w:rPr>
          <w:rFonts w:hint="eastAsia" w:cs="Times New Roman"/>
          <w:color w:val="auto"/>
          <w:lang w:val="en-US" w:eastAsia="zh-CN"/>
        </w:rPr>
        <w:t>公开公示，道路工程建设中标单位为四川中达东方建设工程有限公司，排水工程建设中标单位为青海乌兰宏泰水利水电工程有限公司。</w:t>
      </w:r>
      <w:r>
        <w:rPr>
          <w:rFonts w:hint="eastAsia" w:ascii="仿宋_GB2312" w:hAnsi="仿宋_GB2312" w:eastAsia="仿宋_GB2312" w:cs="仿宋_GB2312"/>
          <w:b w:val="0"/>
          <w:bCs w:val="0"/>
          <w:color w:val="auto"/>
          <w:sz w:val="32"/>
          <w:szCs w:val="32"/>
          <w:highlight w:val="none"/>
          <w:lang w:val="en-US" w:eastAsia="zh-CN"/>
        </w:rPr>
        <w:t>招投标程序合法合规，招投标资料齐全</w:t>
      </w:r>
      <w:r>
        <w:rPr>
          <w:rFonts w:hint="eastAsia" w:cs="仿宋_GB2312"/>
          <w:b w:val="0"/>
          <w:bCs w:val="0"/>
          <w:color w:val="auto"/>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根据评分标准，项目</w:t>
      </w:r>
      <w:r>
        <w:rPr>
          <w:rFonts w:hint="eastAsia" w:cs="仿宋_GB2312"/>
          <w:b w:val="0"/>
          <w:bCs w:val="0"/>
          <w:color w:val="auto"/>
          <w:sz w:val="32"/>
          <w:szCs w:val="32"/>
          <w:highlight w:val="none"/>
          <w:lang w:val="en-US" w:eastAsia="zh-CN"/>
        </w:rPr>
        <w:t>落实招投标制，对道路工程和排水工程建设项目</w:t>
      </w:r>
      <w:r>
        <w:rPr>
          <w:rFonts w:hint="eastAsia" w:ascii="仿宋_GB2312" w:hAnsi="仿宋_GB2312" w:eastAsia="仿宋_GB2312" w:cs="仿宋_GB2312"/>
          <w:b w:val="0"/>
          <w:bCs w:val="0"/>
          <w:color w:val="auto"/>
          <w:sz w:val="32"/>
          <w:szCs w:val="32"/>
          <w:highlight w:val="none"/>
          <w:lang w:val="en-US" w:eastAsia="zh-CN"/>
        </w:rPr>
        <w:t>公开招标，并按要求</w:t>
      </w:r>
      <w:r>
        <w:rPr>
          <w:rFonts w:hint="eastAsia" w:cs="仿宋_GB2312"/>
          <w:b w:val="0"/>
          <w:bCs w:val="0"/>
          <w:color w:val="auto"/>
          <w:sz w:val="32"/>
          <w:szCs w:val="32"/>
          <w:highlight w:val="none"/>
          <w:lang w:val="en-US" w:eastAsia="zh-CN"/>
        </w:rPr>
        <w:t>在政府网站对中标结果</w:t>
      </w:r>
      <w:r>
        <w:rPr>
          <w:rFonts w:hint="eastAsia" w:ascii="仿宋_GB2312" w:hAnsi="仿宋_GB2312" w:eastAsia="仿宋_GB2312" w:cs="仿宋_GB2312"/>
          <w:b w:val="0"/>
          <w:bCs w:val="0"/>
          <w:color w:val="auto"/>
          <w:sz w:val="32"/>
          <w:szCs w:val="32"/>
          <w:highlight w:val="none"/>
          <w:lang w:val="en-US" w:eastAsia="zh-CN"/>
        </w:rPr>
        <w:t>进行</w:t>
      </w:r>
      <w:r>
        <w:rPr>
          <w:rFonts w:hint="eastAsia" w:cs="仿宋_GB2312"/>
          <w:b w:val="0"/>
          <w:bCs w:val="0"/>
          <w:color w:val="auto"/>
          <w:sz w:val="32"/>
          <w:szCs w:val="32"/>
          <w:highlight w:val="none"/>
          <w:lang w:val="en-US" w:eastAsia="zh-CN"/>
        </w:rPr>
        <w:t>公开</w:t>
      </w:r>
      <w:r>
        <w:rPr>
          <w:rFonts w:hint="eastAsia" w:ascii="仿宋_GB2312" w:hAnsi="仿宋_GB2312" w:eastAsia="仿宋_GB2312" w:cs="仿宋_GB2312"/>
          <w:b w:val="0"/>
          <w:bCs w:val="0"/>
          <w:color w:val="auto"/>
          <w:sz w:val="32"/>
          <w:szCs w:val="32"/>
          <w:highlight w:val="none"/>
          <w:lang w:val="en-US" w:eastAsia="zh-CN"/>
        </w:rPr>
        <w:t>公示，招投标程序合法合规，招投标资料齐全</w:t>
      </w:r>
      <w:r>
        <w:rPr>
          <w:rFonts w:hint="eastAsia"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w:t>
      </w:r>
      <w:r>
        <w:rPr>
          <w:rFonts w:hint="eastAsia" w:ascii="Times New Roman" w:hAnsi="Times New Roman" w:eastAsia="仿宋_GB2312" w:cs="Times New Roman"/>
          <w:bCs/>
          <w:color w:val="auto"/>
          <w:sz w:val="32"/>
          <w:szCs w:val="32"/>
          <w:highlight w:val="none"/>
          <w:lang w:val="en-US" w:eastAsia="zh-CN"/>
        </w:rPr>
        <w:t>得分2分。</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3"/>
        <w:textAlignment w:val="auto"/>
        <w:outlineLvl w:val="1"/>
        <w:rPr>
          <w:rFonts w:hint="eastAsia" w:ascii="仿宋_GB2312" w:hAnsi="仿宋_GB2312" w:eastAsia="仿宋_GB2312" w:cs="仿宋_GB2312"/>
          <w:b/>
          <w:color w:val="auto"/>
          <w:szCs w:val="32"/>
          <w:highlight w:val="yellow"/>
          <w:lang w:val="en-US" w:eastAsia="zh-CN"/>
        </w:rPr>
      </w:pPr>
      <w:bookmarkStart w:id="883" w:name="_Toc223"/>
      <w:bookmarkStart w:id="884" w:name="_Toc15438"/>
      <w:bookmarkStart w:id="885" w:name="_Toc12323"/>
      <w:bookmarkStart w:id="886" w:name="_Toc18010"/>
      <w:bookmarkStart w:id="887" w:name="_Toc15307"/>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施工管理规范性</w:t>
      </w:r>
      <w:r>
        <w:rPr>
          <w:rFonts w:hint="eastAsia" w:ascii="仿宋_GB2312" w:hAnsi="仿宋_GB2312" w:eastAsia="仿宋_GB2312" w:cs="仿宋_GB2312"/>
          <w:b/>
          <w:color w:val="auto"/>
          <w:szCs w:val="32"/>
          <w:highlight w:val="none"/>
          <w:lang w:val="en-US" w:eastAsia="zh-CN"/>
        </w:rPr>
        <w:t>（指标分值2分）（得分</w:t>
      </w:r>
      <w:r>
        <w:rPr>
          <w:rFonts w:hint="eastAsia" w:cs="仿宋_GB2312"/>
          <w:b/>
          <w:color w:val="auto"/>
          <w:szCs w:val="32"/>
          <w:highlight w:val="none"/>
          <w:lang w:val="en-US" w:eastAsia="zh-CN"/>
        </w:rPr>
        <w:t>1.25</w:t>
      </w:r>
      <w:r>
        <w:rPr>
          <w:rFonts w:hint="eastAsia" w:ascii="仿宋_GB2312" w:hAnsi="仿宋_GB2312" w:eastAsia="仿宋_GB2312" w:cs="仿宋_GB2312"/>
          <w:b/>
          <w:color w:val="auto"/>
          <w:szCs w:val="32"/>
          <w:highlight w:val="none"/>
          <w:lang w:val="en-US" w:eastAsia="zh-CN"/>
        </w:rPr>
        <w:t>分）</w:t>
      </w:r>
      <w:bookmarkEnd w:id="883"/>
      <w:bookmarkEnd w:id="884"/>
      <w:bookmarkEnd w:id="885"/>
      <w:bookmarkEnd w:id="886"/>
      <w:bookmarkEnd w:id="887"/>
    </w:p>
    <w:p>
      <w:pPr>
        <w:pageBreakBefore w:val="0"/>
        <w:overflowPunct/>
        <w:topLinePunct w:val="0"/>
        <w:bidi w:val="0"/>
        <w:spacing w:line="576" w:lineRule="exact"/>
        <w:ind w:left="0" w:leftChars="0"/>
        <w:outlineLvl w:val="9"/>
        <w:rPr>
          <w:rFonts w:hint="default" w:cs="Times New Roman"/>
          <w:color w:val="auto"/>
          <w:lang w:val="en-US" w:eastAsia="zh-CN"/>
        </w:rPr>
      </w:pPr>
      <w:r>
        <w:rPr>
          <w:rFonts w:hint="eastAsia" w:cs="Times New Roman"/>
          <w:color w:val="auto"/>
          <w:highlight w:val="none"/>
          <w:lang w:val="en-US" w:eastAsia="zh-CN"/>
        </w:rPr>
        <w:t>经查阅项目施工资料，</w:t>
      </w:r>
      <w:r>
        <w:rPr>
          <w:rFonts w:hint="eastAsia" w:cs="Times New Roman"/>
          <w:color w:val="auto"/>
          <w:lang w:val="en-US" w:eastAsia="zh-CN"/>
        </w:rPr>
        <w:t>城中区总寨塬智能温室园区排水工程“两证一书”齐全，开工审批手续完整；道路工程项目和排水工程项目均能够按照实施方案、批复以及工程建设相关技术规范建设施工，项目施工日志和监理日志齐全，日志记录详实、填写规范。工程施工期间能够落实安全责任制，工期内未发生施工安全事故和环境安全事故。但项目施工管理中仍存在部分问题：</w:t>
      </w:r>
      <w:r>
        <w:rPr>
          <w:rFonts w:hint="eastAsia" w:ascii="Times New Roman" w:hAnsi="Times New Roman" w:eastAsia="仿宋_GB2312" w:cs="Times New Roman"/>
          <w:bCs/>
          <w:color w:val="auto"/>
          <w:sz w:val="32"/>
          <w:szCs w:val="32"/>
          <w:highlight w:val="none"/>
          <w:lang w:val="en-US" w:eastAsia="zh-CN"/>
        </w:rPr>
        <w:t>1.因</w:t>
      </w:r>
      <w:r>
        <w:rPr>
          <w:rFonts w:hint="eastAsia" w:cs="Times New Roman"/>
          <w:color w:val="auto"/>
          <w:lang w:val="en-US" w:eastAsia="zh-CN"/>
        </w:rPr>
        <w:t>受现场客观条件制约，在施工过程中，道路工程项目和排水工程项目部分工程量经主管单位、监理单位、施工单位及设计单位现场调研后决定变更，但在项目资料中未发现工程量变更相关批复</w:t>
      </w:r>
      <w:r>
        <w:rPr>
          <w:rFonts w:hint="eastAsia" w:ascii="Times New Roman" w:hAnsi="Times New Roman" w:eastAsia="仿宋_GB2312" w:cs="Times New Roman"/>
          <w:bCs/>
          <w:color w:val="auto"/>
          <w:sz w:val="32"/>
          <w:szCs w:val="32"/>
          <w:highlight w:val="none"/>
          <w:lang w:val="en-US" w:eastAsia="zh-CN"/>
        </w:rPr>
        <w:t>；2</w:t>
      </w:r>
      <w:r>
        <w:rPr>
          <w:rFonts w:hint="eastAsia" w:cs="Times New Roman"/>
          <w:color w:val="auto"/>
          <w:lang w:val="en-US" w:eastAsia="zh-CN"/>
        </w:rPr>
        <w:t>.道路工程施工资料中，开工报告未填写开工时间和审批结论，资料填写不完整，评价组无法核实项目开工时间和审批结论，不符合施工规范。</w:t>
      </w:r>
    </w:p>
    <w:p>
      <w:pPr>
        <w:pageBreakBefore w:val="0"/>
        <w:overflowPunct/>
        <w:topLinePunct w:val="0"/>
        <w:bidi w:val="0"/>
        <w:spacing w:line="576" w:lineRule="exact"/>
        <w:ind w:left="0" w:leftChars="0"/>
        <w:outlineLvl w:val="9"/>
        <w:rPr>
          <w:rFonts w:hint="eastAsia" w:ascii="Times New Roman" w:hAnsi="Times New Roman" w:eastAsia="仿宋_GB2312" w:cs="Times New Roman"/>
          <w:bCs/>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Times New Roman"/>
          <w:color w:val="auto"/>
          <w:lang w:val="en-US" w:eastAsia="zh-CN"/>
        </w:rPr>
        <w:t>城中区总寨塬智能温室园区道路工程和排水工程项目能够按照实施方案、批复以及工程建设相关技术规范建设施工，落实“六制”要求，但仍存在缺少工程量变更批复、缺少开工手续和施工资料填写不完整的问题，不</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cs="仿宋_GB2312"/>
          <w:b w:val="0"/>
          <w:bCs w:val="0"/>
          <w:color w:val="auto"/>
          <w:sz w:val="32"/>
          <w:szCs w:val="32"/>
          <w:highlight w:val="none"/>
          <w:lang w:val="en-US" w:eastAsia="zh-CN"/>
        </w:rPr>
        <w:t>扣</w:t>
      </w:r>
      <w:r>
        <w:rPr>
          <w:rFonts w:hint="eastAsia" w:ascii="Times New Roman" w:hAnsi="Times New Roman" w:eastAsia="仿宋_GB2312" w:cs="Times New Roman"/>
          <w:bCs/>
          <w:color w:val="auto"/>
          <w:sz w:val="32"/>
          <w:szCs w:val="32"/>
          <w:highlight w:val="none"/>
          <w:lang w:val="en-US" w:eastAsia="zh-CN"/>
        </w:rPr>
        <w:t>0.75分，指标得分1.25分。</w:t>
      </w:r>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888" w:name="_Toc13695"/>
      <w:bookmarkStart w:id="889" w:name="_Toc11394"/>
      <w:bookmarkStart w:id="890" w:name="_Toc6690"/>
      <w:bookmarkStart w:id="891" w:name="_Toc27203"/>
      <w:bookmarkStart w:id="892" w:name="_Toc20093"/>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质量安全管理规范性</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w:t>
      </w:r>
      <w:bookmarkEnd w:id="888"/>
      <w:bookmarkEnd w:id="889"/>
      <w:bookmarkEnd w:id="890"/>
      <w:bookmarkEnd w:id="891"/>
      <w:bookmarkEnd w:id="892"/>
    </w:p>
    <w:p>
      <w:pPr>
        <w:pageBreakBefore w:val="0"/>
        <w:overflowPunct/>
        <w:topLinePunct w:val="0"/>
        <w:bidi w:val="0"/>
        <w:spacing w:line="576" w:lineRule="exact"/>
        <w:ind w:left="0" w:leftChars="0"/>
        <w:outlineLvl w:val="9"/>
        <w:rPr>
          <w:rFonts w:hint="default" w:cs="Times New Roman"/>
          <w:color w:val="auto"/>
          <w:lang w:val="en-US" w:eastAsia="zh-CN"/>
        </w:rPr>
      </w:pPr>
      <w:r>
        <w:rPr>
          <w:rFonts w:hint="eastAsia" w:cs="Times New Roman"/>
          <w:color w:val="auto"/>
          <w:lang w:val="en-US" w:eastAsia="zh-CN"/>
        </w:rPr>
        <w:t>经查阅项目资料，城中区总寨塬智能温室园区排水工程项目由第三方质量检测单位青海江海质量检测有限责任公司提供质量检测技术服务。第三方质量检测单位依据质检技术服务合同要求、《水工混凝土施工规范》</w:t>
      </w:r>
      <w:r>
        <w:rPr>
          <w:rFonts w:hint="eastAsia" w:ascii="Times New Roman" w:hAnsi="Times New Roman" w:eastAsia="仿宋_GB2312" w:cs="Times New Roman"/>
          <w:bCs/>
          <w:color w:val="auto"/>
          <w:sz w:val="32"/>
          <w:szCs w:val="32"/>
          <w:highlight w:val="none"/>
          <w:lang w:val="en-US" w:eastAsia="zh-CN"/>
        </w:rPr>
        <w:t>SL677-2014、《水工混凝土试验规范》SL352-2006、《水利水电施工质量检验与评定规程》SL176-2007等行业质量检测</w:t>
      </w:r>
      <w:r>
        <w:rPr>
          <w:rFonts w:hint="eastAsia" w:cs="Times New Roman"/>
          <w:color w:val="auto"/>
          <w:lang w:val="en-US" w:eastAsia="zh-CN"/>
        </w:rPr>
        <w:t>规范、规程，对原材料、水泥、钢筋进场后进行抽样检测，对混凝土拌和物、砂石骨料等在施工单位自检的基础上抽取样品检测，对混凝土抗压试件在出机口随机取样检测。经检测，项目所检材料质量符合规范要求，混凝土抗压试件强度满足设计要求，工程质量合格。依据城中区质检部门要求，道路工程原材料和设备由施工单位送检，监理单位负责监督检查，经查阅资料，工程原材料和设备具有合格证、检验报告、复试报告，施工所用材料和设备全部符合建设施工相关技术标准。</w:t>
      </w:r>
    </w:p>
    <w:p>
      <w:pPr>
        <w:pageBreakBefore w:val="0"/>
        <w:overflowPunct/>
        <w:topLinePunct w:val="0"/>
        <w:bidi w:val="0"/>
        <w:spacing w:line="576" w:lineRule="exact"/>
        <w:ind w:left="0" w:leftChars="0"/>
        <w:outlineLvl w:val="9"/>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Times New Roman"/>
          <w:color w:val="auto"/>
          <w:lang w:val="en-US" w:eastAsia="zh-CN"/>
        </w:rPr>
        <w:t>城中区总寨塬智能温室园区道路工程和排水工程项目能够按照国家颁布的法律法规、规程、批准的设计文件、施工合同和对应的工程质量评定标准对工程原材料、混凝土中间产品、施工设备质量进行检测，检测结果符合建设施工相关技术标准，符合评分标准，指标得</w:t>
      </w:r>
      <w:r>
        <w:rPr>
          <w:rFonts w:hint="eastAsia" w:ascii="Times New Roman" w:hAnsi="Times New Roman" w:eastAsia="仿宋_GB2312" w:cs="Times New Roman"/>
          <w:bCs/>
          <w:color w:val="auto"/>
          <w:sz w:val="32"/>
          <w:szCs w:val="32"/>
          <w:highlight w:val="none"/>
          <w:lang w:val="en-US" w:eastAsia="zh-CN"/>
        </w:rPr>
        <w:t>分2分</w:t>
      </w:r>
      <w:r>
        <w:rPr>
          <w:rFonts w:hint="eastAsia" w:cs="Times New Roman"/>
          <w:color w:val="auto"/>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893" w:name="_Toc3139"/>
      <w:bookmarkStart w:id="894" w:name="_Toc21394"/>
      <w:bookmarkStart w:id="895" w:name="_Toc5598"/>
      <w:bookmarkStart w:id="896" w:name="_Toc554"/>
      <w:bookmarkStart w:id="897" w:name="_Toc9608"/>
      <w:r>
        <w:rPr>
          <w:rFonts w:hint="eastAsia" w:cs="仿宋_GB2312"/>
          <w:b/>
          <w:color w:val="auto"/>
          <w:szCs w:val="32"/>
          <w:highlight w:val="none"/>
          <w:lang w:val="en-US" w:eastAsia="zh-CN"/>
        </w:rPr>
        <w:t>（5）监理管理规范性</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1.5</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1.25</w:t>
      </w:r>
      <w:r>
        <w:rPr>
          <w:rFonts w:hint="eastAsia" w:ascii="仿宋_GB2312" w:hAnsi="仿宋_GB2312" w:eastAsia="仿宋_GB2312" w:cs="仿宋_GB2312"/>
          <w:b/>
          <w:color w:val="auto"/>
          <w:szCs w:val="32"/>
          <w:highlight w:val="none"/>
          <w:lang w:val="en-US" w:eastAsia="zh-CN"/>
        </w:rPr>
        <w:t>分）</w:t>
      </w:r>
      <w:bookmarkEnd w:id="893"/>
      <w:bookmarkEnd w:id="894"/>
      <w:bookmarkEnd w:id="895"/>
      <w:bookmarkEnd w:id="896"/>
      <w:bookmarkEnd w:id="897"/>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default" w:cs="仿宋_GB2312"/>
          <w:b w:val="0"/>
          <w:bCs w:val="0"/>
          <w:color w:val="auto"/>
          <w:sz w:val="32"/>
          <w:szCs w:val="32"/>
          <w:highlight w:val="none"/>
          <w:lang w:val="en-US" w:eastAsia="zh-CN"/>
        </w:rPr>
      </w:pPr>
      <w:r>
        <w:rPr>
          <w:rFonts w:hint="eastAsia" w:cs="仿宋_GB2312"/>
          <w:b w:val="0"/>
          <w:bCs w:val="0"/>
          <w:color w:val="auto"/>
          <w:sz w:val="32"/>
          <w:szCs w:val="32"/>
          <w:highlight w:val="none"/>
          <w:lang w:val="en-US" w:eastAsia="zh-CN"/>
        </w:rPr>
        <w:t>经查阅项目资料，</w:t>
      </w:r>
      <w:r>
        <w:rPr>
          <w:rFonts w:hint="eastAsia" w:cs="Times New Roman"/>
          <w:color w:val="auto"/>
          <w:lang w:val="en-US" w:eastAsia="zh-CN"/>
        </w:rPr>
        <w:t>城中区总寨塬智能温室园区道路工程和排水工程项目能够落实监理制要求，由监理公司依据工程建设法律、法规、项目批准文件、监理合同，对项目投资、工程质量和建设工期进行监督管理。</w:t>
      </w:r>
      <w:r>
        <w:rPr>
          <w:rFonts w:hint="eastAsia" w:cs="Times New Roman"/>
          <w:color w:val="auto"/>
          <w:highlight w:val="none"/>
          <w:lang w:val="en-US" w:eastAsia="zh-CN"/>
        </w:rPr>
        <w:t>负责道路工程和排水工程的两家监理公司</w:t>
      </w:r>
      <w:r>
        <w:rPr>
          <w:rFonts w:hint="eastAsia" w:cs="仿宋_GB2312"/>
          <w:b w:val="0"/>
          <w:bCs w:val="0"/>
          <w:color w:val="auto"/>
          <w:sz w:val="32"/>
          <w:szCs w:val="32"/>
          <w:highlight w:val="none"/>
          <w:lang w:val="en-US" w:eastAsia="zh-CN"/>
        </w:rPr>
        <w:t>编写制定了监理规划、监理实施细则、监理工作计划和管理制度，按照批复的实施方案和图纸对道路工程和排水工程项目施工阶段全程监理，能够按照</w:t>
      </w:r>
      <w:r>
        <w:rPr>
          <w:rFonts w:hint="eastAsia" w:cs="Times New Roman"/>
          <w:color w:val="auto"/>
          <w:highlight w:val="none"/>
          <w:lang w:val="en-US" w:eastAsia="zh-CN"/>
        </w:rPr>
        <w:t>《建设工程监理规范》</w:t>
      </w:r>
      <w:r>
        <w:rPr>
          <w:rFonts w:hint="eastAsia" w:ascii="Times New Roman" w:hAnsi="Times New Roman" w:eastAsia="仿宋_GB2312" w:cs="Times New Roman"/>
          <w:bCs/>
          <w:color w:val="auto"/>
          <w:sz w:val="32"/>
          <w:szCs w:val="32"/>
          <w:highlight w:val="none"/>
          <w:lang w:val="en-US" w:eastAsia="zh-CN"/>
        </w:rPr>
        <w:t>（GB/T50319-2013）及《水利工程建设项目施工监理规范》（SL288-2014）对</w:t>
      </w:r>
      <w:r>
        <w:rPr>
          <w:rFonts w:hint="eastAsia" w:cs="仿宋_GB2312"/>
          <w:b w:val="0"/>
          <w:bCs w:val="0"/>
          <w:color w:val="auto"/>
          <w:sz w:val="32"/>
          <w:szCs w:val="32"/>
          <w:highlight w:val="none"/>
          <w:lang w:val="en-US" w:eastAsia="zh-CN"/>
        </w:rPr>
        <w:t>工程质量、进度、投资控制、施工安全、环境保护等进行全面的监督和管理，并对监理工作形成监理工作报告。但在查阅项目资料时发现，排水工程监理方未按“工程监理签证制度”对项目工程量进行计量并确认签证，监理管理不规范。</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b w:val="0"/>
          <w:bCs w:val="0"/>
          <w:color w:val="auto"/>
          <w:sz w:val="32"/>
          <w:szCs w:val="32"/>
          <w:highlight w:val="none"/>
          <w:lang w:val="en-US" w:eastAsia="zh-CN"/>
        </w:rPr>
        <w:t>道路工程和排水工程两项工程的监理单位制定了监理相关工作计划、制度等，基本能够按要求对工程质量、进度、投资控制、施工安全、文明施工和环境保护进行全面的监督和管理，但排水工程存在未按“工程监理签证制度”对工程量进行计量并确认签证的问题，不</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Times New Roman" w:hAnsi="Times New Roman" w:eastAsia="仿宋_GB2312" w:cs="Times New Roman"/>
          <w:bCs/>
          <w:color w:val="auto"/>
          <w:sz w:val="32"/>
          <w:szCs w:val="32"/>
          <w:highlight w:val="none"/>
          <w:lang w:val="en-US" w:eastAsia="zh-CN"/>
        </w:rPr>
        <w:t>扣0.25分，指标得分1.25分。</w:t>
      </w:r>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898" w:name="_Toc7893"/>
      <w:bookmarkStart w:id="899" w:name="_Toc24793"/>
      <w:bookmarkStart w:id="900" w:name="_Toc28874"/>
      <w:bookmarkStart w:id="901" w:name="_Toc12867"/>
      <w:bookmarkStart w:id="902" w:name="_Toc16113"/>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6</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验收管理规范性</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1.5</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1</w:t>
      </w:r>
      <w:r>
        <w:rPr>
          <w:rFonts w:hint="eastAsia" w:ascii="仿宋_GB2312" w:hAnsi="仿宋_GB2312" w:eastAsia="仿宋_GB2312" w:cs="仿宋_GB2312"/>
          <w:b/>
          <w:color w:val="auto"/>
          <w:szCs w:val="32"/>
          <w:highlight w:val="none"/>
          <w:lang w:val="en-US" w:eastAsia="zh-CN"/>
        </w:rPr>
        <w:t>分）</w:t>
      </w:r>
      <w:bookmarkEnd w:id="898"/>
      <w:bookmarkEnd w:id="899"/>
      <w:bookmarkEnd w:id="900"/>
      <w:bookmarkEnd w:id="901"/>
      <w:bookmarkEnd w:id="902"/>
    </w:p>
    <w:p>
      <w:pPr>
        <w:pageBreakBefore w:val="0"/>
        <w:overflowPunct/>
        <w:topLinePunct w:val="0"/>
        <w:bidi w:val="0"/>
        <w:spacing w:line="576" w:lineRule="exact"/>
        <w:ind w:left="0" w:leftChars="0"/>
        <w:outlineLvl w:val="9"/>
        <w:rPr>
          <w:rFonts w:hint="default" w:cs="Times New Roman"/>
          <w:color w:val="auto"/>
          <w:lang w:val="en-US" w:eastAsia="zh-CN"/>
        </w:rPr>
      </w:pPr>
      <w:r>
        <w:rPr>
          <w:rFonts w:hint="eastAsia" w:cs="Times New Roman"/>
          <w:color w:val="auto"/>
          <w:lang w:val="en-US" w:eastAsia="zh-CN"/>
        </w:rPr>
        <w:t>经查阅项目资料，城中区总寨塬智能温室园区道路工程和排水工程项目依据验收标准对施工所用原材料和设备进行了现场验收，验收单据齐全，验收流程清晰，所验原材料及设备均符合施工要求。排水工程项目由项目主管单位、施工单位、监理单位、质检单位等多家单位联合对项目竣工质量进行验收，出具验收报告并提出针对性建议，验收程序清晰。但道路工程项目未提供项目验收报告，提供的《总寨塬智能连栋温室园区道路工程项目验收表》中仅显示</w:t>
      </w:r>
      <w:r>
        <w:rPr>
          <w:rFonts w:hint="eastAsia" w:cs="仿宋_GB2312"/>
          <w:color w:val="auto"/>
          <w:lang w:val="en-US" w:eastAsia="zh-CN"/>
        </w:rPr>
        <w:t>经西宁市工程咨询院、西宁市审图中心和海南图审中心专家验收评定“同意验收”，未对工程质量合格情况予以体现。</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b w:val="0"/>
          <w:bCs w:val="0"/>
          <w:color w:val="auto"/>
          <w:sz w:val="32"/>
          <w:szCs w:val="32"/>
          <w:highlight w:val="none"/>
          <w:lang w:val="en-US" w:eastAsia="zh-CN"/>
        </w:rPr>
        <w:t>排水工程项目进场验收和竣工验收手续齐全，验收结论明确，验收管理规范，但道路项目竣工验收资料不全，</w:t>
      </w:r>
      <w:r>
        <w:rPr>
          <w:rFonts w:hint="eastAsia" w:cs="仿宋_GB2312"/>
          <w:color w:val="auto"/>
          <w:lang w:val="en-US" w:eastAsia="zh-CN"/>
        </w:rPr>
        <w:t>工程建设完成量和工程质量合格情况未体现，</w:t>
      </w:r>
      <w:r>
        <w:rPr>
          <w:rFonts w:hint="eastAsia" w:cs="仿宋_GB2312"/>
          <w:b w:val="0"/>
          <w:bCs w:val="0"/>
          <w:color w:val="auto"/>
          <w:sz w:val="32"/>
          <w:szCs w:val="32"/>
          <w:highlight w:val="none"/>
          <w:lang w:val="en-US" w:eastAsia="zh-CN"/>
        </w:rPr>
        <w:t>不</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Times New Roman" w:hAnsi="Times New Roman" w:eastAsia="仿宋_GB2312" w:cs="Times New Roman"/>
          <w:bCs/>
          <w:color w:val="auto"/>
          <w:sz w:val="32"/>
          <w:szCs w:val="32"/>
          <w:highlight w:val="none"/>
          <w:lang w:val="en-US" w:eastAsia="zh-CN"/>
        </w:rPr>
        <w:t>扣0.5分，指标得分1分。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903" w:name="_Toc3030"/>
      <w:bookmarkStart w:id="904" w:name="_Toc27928"/>
      <w:bookmarkStart w:id="905" w:name="_Toc1070"/>
      <w:bookmarkStart w:id="906" w:name="_Toc29312"/>
      <w:bookmarkStart w:id="907" w:name="_Toc29513"/>
      <w:r>
        <w:rPr>
          <w:rFonts w:hint="eastAsia" w:cs="仿宋_GB2312"/>
          <w:b/>
          <w:color w:val="auto"/>
          <w:szCs w:val="32"/>
          <w:highlight w:val="none"/>
          <w:lang w:val="en-US" w:eastAsia="zh-CN"/>
        </w:rPr>
        <w:t>（7）管护保障有效性</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0</w:t>
      </w:r>
      <w:r>
        <w:rPr>
          <w:rFonts w:hint="eastAsia" w:ascii="仿宋_GB2312" w:hAnsi="仿宋_GB2312" w:eastAsia="仿宋_GB2312" w:cs="仿宋_GB2312"/>
          <w:b/>
          <w:color w:val="auto"/>
          <w:szCs w:val="32"/>
          <w:highlight w:val="none"/>
          <w:lang w:val="en-US" w:eastAsia="zh-CN"/>
        </w:rPr>
        <w:t>分）</w:t>
      </w:r>
      <w:bookmarkEnd w:id="903"/>
      <w:bookmarkEnd w:id="904"/>
      <w:bookmarkEnd w:id="905"/>
      <w:bookmarkEnd w:id="906"/>
      <w:bookmarkEnd w:id="907"/>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right="0" w:firstLine="640" w:firstLineChars="200"/>
        <w:textAlignment w:val="auto"/>
        <w:rPr>
          <w:rFonts w:hint="default" w:ascii="Times New Roman" w:hAnsi="Times New Roman" w:eastAsia="仿宋_GB2312" w:cs="Times New Roman"/>
          <w:bCs/>
          <w:color w:val="auto"/>
          <w:sz w:val="32"/>
          <w:szCs w:val="32"/>
          <w:highlight w:val="none"/>
          <w:lang w:val="en-US" w:eastAsia="zh-CN"/>
        </w:rPr>
      </w:pPr>
      <w:r>
        <w:rPr>
          <w:rFonts w:hint="eastAsia" w:cs="Times New Roman"/>
          <w:color w:val="auto"/>
          <w:lang w:val="en-US" w:eastAsia="zh-CN"/>
        </w:rPr>
        <w:t>截至</w:t>
      </w:r>
      <w:r>
        <w:rPr>
          <w:rFonts w:hint="eastAsia" w:ascii="Times New Roman" w:hAnsi="Times New Roman" w:eastAsia="仿宋_GB2312" w:cs="Times New Roman"/>
          <w:bCs/>
          <w:color w:val="auto"/>
          <w:sz w:val="32"/>
          <w:szCs w:val="32"/>
          <w:highlight w:val="none"/>
          <w:lang w:val="en-US" w:eastAsia="zh-CN"/>
        </w:rPr>
        <w:t>2021年11月24日，城中区农业农村和乡村振兴局尚未将城中区总寨塬智能温室园区道路工程和排水工程项目移交总寨塬智能温室园区管护。经评价组实地调研，因管护不到位，现场存在以下问题：1.项</w:t>
      </w:r>
      <w:r>
        <w:rPr>
          <w:rFonts w:hint="eastAsia" w:cs="仿宋_GB2312"/>
          <w:b w:val="0"/>
          <w:bCs w:val="0"/>
          <w:color w:val="auto"/>
          <w:sz w:val="32"/>
          <w:szCs w:val="32"/>
          <w:highlight w:val="none"/>
          <w:lang w:val="en-US" w:eastAsia="zh-CN"/>
        </w:rPr>
        <w:t>目新建的“</w:t>
      </w:r>
      <w:r>
        <w:rPr>
          <w:rFonts w:hint="eastAsia" w:cs="仿宋_GB2312"/>
          <w:color w:val="auto"/>
          <w:lang w:val="en-US" w:eastAsia="zh-CN"/>
        </w:rPr>
        <w:t>主</w:t>
      </w:r>
      <w:r>
        <w:rPr>
          <w:rFonts w:hint="eastAsia" w:ascii="Times New Roman" w:hAnsi="Times New Roman" w:eastAsia="仿宋_GB2312" w:cs="Times New Roman"/>
          <w:bCs/>
          <w:color w:val="auto"/>
          <w:sz w:val="32"/>
          <w:szCs w:val="32"/>
          <w:highlight w:val="none"/>
          <w:lang w:val="en-US" w:eastAsia="zh-CN"/>
        </w:rPr>
        <w:t>线1”</w:t>
      </w:r>
      <w:r>
        <w:rPr>
          <w:rFonts w:hint="eastAsia" w:cs="仿宋_GB2312"/>
          <w:color w:val="auto"/>
          <w:lang w:val="en-US" w:eastAsia="zh-CN"/>
        </w:rPr>
        <w:t>和“主线</w:t>
      </w:r>
      <w:r>
        <w:rPr>
          <w:rFonts w:hint="eastAsia" w:ascii="Times New Roman" w:hAnsi="Times New Roman" w:eastAsia="仿宋_GB2312" w:cs="Times New Roman"/>
          <w:bCs/>
          <w:color w:val="auto"/>
          <w:sz w:val="32"/>
          <w:szCs w:val="32"/>
          <w:highlight w:val="none"/>
          <w:lang w:val="en-US" w:eastAsia="zh-CN"/>
        </w:rPr>
        <w:t>2”两条道路因大型车辆通行，造成部分路段受损，路面起伏不平，未得到及时、有效管护；2.园区部分支线道路边及阳光带堆积大量农业生产产生的农业废弃物，无人清理，清理责任不明，影响园区种植环境，对温室大棚存在潜在安全隐患。</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right="0" w:firstLine="640" w:firstLineChars="200"/>
        <w:textAlignment w:val="auto"/>
        <w:rPr>
          <w:rFonts w:hint="eastAsia"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根据评分标准，截至2021年11月24日，城中区农业农村和乡村振兴局尚未将城中区总寨塬智能温室园区道路工程和排水工程项目移交总寨塬智能温室园区管护，也并无相应的管护制度、办法等，项目存在管护不到位的情况，影响效益发挥，不符合评分标准，扣2分，指标得分0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908" w:name="_Toc6846"/>
      <w:bookmarkStart w:id="909" w:name="_Toc13958"/>
      <w:bookmarkStart w:id="910" w:name="_Toc13603"/>
      <w:bookmarkStart w:id="911" w:name="_Toc22624"/>
      <w:bookmarkStart w:id="912" w:name="_Toc32758"/>
      <w:r>
        <w:rPr>
          <w:rFonts w:hint="eastAsia" w:cs="仿宋_GB2312"/>
          <w:b/>
          <w:color w:val="auto"/>
          <w:szCs w:val="32"/>
          <w:highlight w:val="none"/>
          <w:lang w:val="en-US" w:eastAsia="zh-CN"/>
        </w:rPr>
        <w:t>（8）合同管理完备性</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1.5</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1</w:t>
      </w:r>
      <w:r>
        <w:rPr>
          <w:rFonts w:hint="eastAsia" w:ascii="仿宋_GB2312" w:hAnsi="仿宋_GB2312" w:eastAsia="仿宋_GB2312" w:cs="仿宋_GB2312"/>
          <w:b/>
          <w:color w:val="auto"/>
          <w:szCs w:val="32"/>
          <w:highlight w:val="none"/>
          <w:lang w:val="en-US" w:eastAsia="zh-CN"/>
        </w:rPr>
        <w:t>分）</w:t>
      </w:r>
      <w:bookmarkEnd w:id="908"/>
      <w:bookmarkEnd w:id="909"/>
      <w:bookmarkEnd w:id="910"/>
      <w:bookmarkEnd w:id="911"/>
      <w:bookmarkEnd w:id="912"/>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en-US" w:eastAsia="zh-CN"/>
        </w:rPr>
      </w:pPr>
      <w:r>
        <w:rPr>
          <w:rFonts w:hint="eastAsia" w:cs="仿宋_GB2312"/>
          <w:b w:val="0"/>
          <w:bCs w:val="0"/>
          <w:color w:val="auto"/>
          <w:sz w:val="32"/>
          <w:szCs w:val="32"/>
          <w:highlight w:val="none"/>
          <w:lang w:val="en-US" w:eastAsia="zh-CN"/>
        </w:rPr>
        <w:t>经核查项目资料，</w:t>
      </w:r>
      <w:r>
        <w:rPr>
          <w:rFonts w:hint="eastAsia" w:cs="Times New Roman"/>
          <w:color w:val="auto"/>
          <w:lang w:val="en-US" w:eastAsia="zh-CN"/>
        </w:rPr>
        <w:t>依据《西宁市城中区发展改革和工业信息化局关于城中区总寨塬智能连栋温室园区道路工程实施方案的批复》（城中发工信字</w:t>
      </w:r>
      <w:r>
        <w:rPr>
          <w:rFonts w:hint="eastAsia" w:ascii="Times New Roman" w:hAnsi="Times New Roman" w:eastAsia="仿宋_GB2312" w:cs="Times New Roman"/>
          <w:bCs/>
          <w:color w:val="auto"/>
          <w:sz w:val="32"/>
          <w:szCs w:val="32"/>
          <w:highlight w:val="none"/>
          <w:lang w:val="en-US" w:eastAsia="zh-CN"/>
        </w:rPr>
        <w:t>〔2020〕36号）和《西宁市城中区发展改革和工业信息化局关于城中区总寨塬智能连栋温室园区排水工程实施方案的批复》（城中发工信字〔2019〕101号）文件要求，城中区总寨塬</w:t>
      </w:r>
      <w:r>
        <w:rPr>
          <w:rFonts w:hint="eastAsia" w:cs="Times New Roman"/>
          <w:color w:val="auto"/>
          <w:lang w:val="en-US" w:eastAsia="zh-CN"/>
        </w:rPr>
        <w:t>智能温室园区道路工程项目签订了建设工程施工合同和工程施工监理合同，排水工程项目签订了建设工程施工合同、工程施工监理合同、质检技术服务合同，合同能够分别对工程施工内容、施工要求、监理范围、质检服务内容作出明确约定，履约期限、履约内容及双方权利义务、具体风险责任与措施、变更终止约定等合同条款约定清晰。但排水工程施工监理合同和质检技术服务合同未填写签约时间，合同签订时间不明确；排水工程施工合同中未对工程付款周期进行约束，导致排水工程项目施工款项付款依据不明确，合同签订不规范。</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根据评分标准，项目</w:t>
      </w:r>
      <w:r>
        <w:rPr>
          <w:rFonts w:hint="eastAsia" w:cs="仿宋_GB2312"/>
          <w:b w:val="0"/>
          <w:bCs w:val="0"/>
          <w:color w:val="auto"/>
          <w:sz w:val="32"/>
          <w:szCs w:val="32"/>
          <w:highlight w:val="none"/>
          <w:lang w:val="en-US" w:eastAsia="zh-CN"/>
        </w:rPr>
        <w:t>按要求</w:t>
      </w:r>
      <w:r>
        <w:rPr>
          <w:rFonts w:hint="eastAsia" w:cs="Times New Roman"/>
          <w:color w:val="auto"/>
          <w:lang w:val="en-US" w:eastAsia="zh-CN"/>
        </w:rPr>
        <w:t>分别签订了建设工程施工合同、工程施工监理合同、质检技术服务合同，合同内容明确，权利义务清晰。但存在排水工程施工合同未填写付款周期，监理合同和质检技术服务合同未填写签约时间的问题，合同签订不规范，不</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Times New Roman" w:hAnsi="Times New Roman" w:eastAsia="仿宋_GB2312" w:cs="Times New Roman"/>
          <w:bCs/>
          <w:color w:val="auto"/>
          <w:sz w:val="32"/>
          <w:szCs w:val="32"/>
          <w:highlight w:val="none"/>
          <w:lang w:val="en-US" w:eastAsia="zh-CN"/>
        </w:rPr>
        <w:t>扣0.5分，指标得分1分。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913" w:name="_Toc5814"/>
      <w:bookmarkStart w:id="914" w:name="_Toc3786"/>
      <w:bookmarkStart w:id="915" w:name="_Toc1324"/>
      <w:bookmarkStart w:id="916" w:name="_Toc10859"/>
      <w:bookmarkStart w:id="917" w:name="_Toc6788"/>
      <w:r>
        <w:rPr>
          <w:rFonts w:hint="eastAsia" w:cs="仿宋_GB2312"/>
          <w:b/>
          <w:color w:val="auto"/>
          <w:szCs w:val="32"/>
          <w:highlight w:val="none"/>
          <w:lang w:val="en-US" w:eastAsia="zh-CN"/>
        </w:rPr>
        <w:t>（9）档案管理完整性</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1</w:t>
      </w:r>
      <w:r>
        <w:rPr>
          <w:rFonts w:hint="eastAsia" w:ascii="仿宋_GB2312" w:hAnsi="仿宋_GB2312" w:eastAsia="仿宋_GB2312" w:cs="仿宋_GB2312"/>
          <w:b/>
          <w:color w:val="auto"/>
          <w:szCs w:val="32"/>
          <w:highlight w:val="none"/>
          <w:lang w:val="en-US" w:eastAsia="zh-CN"/>
        </w:rPr>
        <w:t>分）</w:t>
      </w:r>
      <w:bookmarkEnd w:id="913"/>
      <w:bookmarkEnd w:id="914"/>
      <w:bookmarkEnd w:id="915"/>
      <w:bookmarkEnd w:id="916"/>
      <w:bookmarkEnd w:id="917"/>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hint="default"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根据查阅资料情况，</w:t>
      </w:r>
      <w:r>
        <w:rPr>
          <w:rFonts w:hint="eastAsia" w:cs="仿宋_GB2312"/>
          <w:b w:val="0"/>
          <w:bCs w:val="0"/>
          <w:color w:val="auto"/>
          <w:sz w:val="32"/>
          <w:szCs w:val="32"/>
          <w:highlight w:val="none"/>
          <w:lang w:val="en-US" w:eastAsia="zh-CN"/>
        </w:rPr>
        <w:t>城中区农业农村和乡村振兴局</w:t>
      </w:r>
      <w:r>
        <w:rPr>
          <w:rFonts w:hint="eastAsia" w:ascii="仿宋_GB2312" w:hAnsi="仿宋_GB2312" w:eastAsia="仿宋_GB2312" w:cs="仿宋_GB2312"/>
          <w:b w:val="0"/>
          <w:bCs w:val="0"/>
          <w:color w:val="auto"/>
          <w:sz w:val="32"/>
          <w:szCs w:val="32"/>
          <w:highlight w:val="none"/>
          <w:lang w:val="en-US" w:eastAsia="zh-CN"/>
        </w:rPr>
        <w:t>对项目相关资料</w:t>
      </w:r>
      <w:r>
        <w:rPr>
          <w:rFonts w:hint="eastAsia" w:cs="仿宋_GB2312"/>
          <w:b w:val="0"/>
          <w:bCs w:val="0"/>
          <w:color w:val="auto"/>
          <w:sz w:val="32"/>
          <w:szCs w:val="32"/>
          <w:highlight w:val="none"/>
          <w:lang w:val="en-US" w:eastAsia="zh-CN"/>
        </w:rPr>
        <w:t>全部装订成册，</w:t>
      </w:r>
      <w:r>
        <w:rPr>
          <w:rFonts w:hint="eastAsia" w:ascii="仿宋_GB2312" w:hAnsi="仿宋_GB2312" w:eastAsia="仿宋_GB2312" w:cs="仿宋_GB2312"/>
          <w:b w:val="0"/>
          <w:bCs w:val="0"/>
          <w:color w:val="auto"/>
          <w:sz w:val="32"/>
          <w:szCs w:val="32"/>
          <w:highlight w:val="none"/>
          <w:lang w:val="en-US" w:eastAsia="zh-CN"/>
        </w:rPr>
        <w:t>整理</w:t>
      </w:r>
      <w:r>
        <w:rPr>
          <w:rFonts w:hint="eastAsia" w:cs="仿宋_GB2312"/>
          <w:b w:val="0"/>
          <w:bCs w:val="0"/>
          <w:color w:val="auto"/>
          <w:sz w:val="32"/>
          <w:szCs w:val="32"/>
          <w:highlight w:val="none"/>
          <w:lang w:val="en-US" w:eastAsia="zh-CN"/>
        </w:rPr>
        <w:t>存档。但仍存在档案管理不完整的问题：</w:t>
      </w:r>
      <w:r>
        <w:rPr>
          <w:rFonts w:hint="eastAsia" w:ascii="Times New Roman" w:hAnsi="Times New Roman" w:eastAsia="仿宋_GB2312" w:cs="Times New Roman"/>
          <w:bCs/>
          <w:color w:val="auto"/>
          <w:sz w:val="32"/>
          <w:szCs w:val="32"/>
          <w:highlight w:val="none"/>
          <w:lang w:val="en-US" w:eastAsia="zh-CN"/>
        </w:rPr>
        <w:t>1.财务资料中缺少资金下达文件和绩效目标申报表，财务档案管理水平有待提高；2.由于</w:t>
      </w:r>
      <w:r>
        <w:rPr>
          <w:rFonts w:hint="eastAsia" w:cs="仿宋_GB2312"/>
          <w:b w:val="0"/>
          <w:bCs w:val="0"/>
          <w:color w:val="auto"/>
          <w:sz w:val="32"/>
          <w:szCs w:val="32"/>
          <w:highlight w:val="none"/>
          <w:lang w:val="en-US" w:eastAsia="zh-CN"/>
        </w:rPr>
        <w:t>评价组调研前夕，城中区农业农村和乡村振兴局办公区域整体装修，项目档案资料装箱另存，截至评价组调研期间办公区域仍未装修完毕，导致排水工程监理工程量签证、道路工程竣工验收资料、工程量变更批复项目部分资料未找到，无法核对工程变更量、道路工程完成情况和道路工程验收质量，项目档案管理仍需加强。</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Times New Roman"/>
          <w:color w:val="auto"/>
          <w:lang w:val="en-US" w:eastAsia="zh-CN"/>
        </w:rPr>
        <w:t>城中区总寨塬智能温室园区道路工程和排水工程项目档案和财务档案能够装订成册，但仍缺少部分项目资料和财务资料，档案保存不完整，</w:t>
      </w:r>
      <w:r>
        <w:rPr>
          <w:rFonts w:hint="eastAsia" w:cs="仿宋_GB2312"/>
          <w:b w:val="0"/>
          <w:bCs w:val="0"/>
          <w:color w:val="auto"/>
          <w:sz w:val="32"/>
          <w:szCs w:val="32"/>
          <w:highlight w:val="none"/>
          <w:lang w:val="en-US" w:eastAsia="zh-CN"/>
        </w:rPr>
        <w:t>财务资料中缺少资金下达文件和绩效目标申报表，财务档案管理不足，</w:t>
      </w:r>
      <w:r>
        <w:rPr>
          <w:rFonts w:hint="eastAsia" w:cs="Times New Roman"/>
          <w:color w:val="auto"/>
          <w:lang w:val="en-US" w:eastAsia="zh-CN"/>
        </w:rPr>
        <w:t>不</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Times New Roman" w:hAnsi="Times New Roman" w:eastAsia="仿宋_GB2312" w:cs="Times New Roman"/>
          <w:bCs/>
          <w:color w:val="auto"/>
          <w:sz w:val="32"/>
          <w:szCs w:val="32"/>
          <w:highlight w:val="none"/>
          <w:lang w:val="en-US" w:eastAsia="zh-CN"/>
        </w:rPr>
        <w:t>，扣1分，指标得分1分</w:t>
      </w:r>
      <w:r>
        <w:rPr>
          <w:rFonts w:hint="eastAsia" w:ascii="仿宋_GB2312" w:hAnsi="仿宋_GB2312" w:eastAsia="仿宋_GB2312" w:cs="仿宋_GB2312"/>
          <w:b w:val="0"/>
          <w:bCs w:val="0"/>
          <w:color w:val="auto"/>
          <w:sz w:val="32"/>
          <w:szCs w:val="32"/>
          <w:highlight w:val="none"/>
          <w:lang w:val="en-US" w:eastAsia="zh-CN"/>
        </w:rPr>
        <w:t>。</w:t>
      </w:r>
    </w:p>
    <w:p>
      <w:pPr>
        <w:pageBreakBefore w:val="0"/>
        <w:overflowPunct/>
        <w:topLinePunct w:val="0"/>
        <w:bidi w:val="0"/>
        <w:spacing w:line="576" w:lineRule="exact"/>
        <w:ind w:left="0" w:leftChars="0" w:firstLine="643"/>
        <w:outlineLvl w:val="1"/>
        <w:rPr>
          <w:rFonts w:hint="eastAsia" w:ascii="楷体_GB2312" w:hAnsi="楷体_GB2312" w:eastAsia="楷体_GB2312" w:cs="楷体_GB2312"/>
          <w:b/>
          <w:bCs/>
          <w:color w:val="auto"/>
          <w:szCs w:val="32"/>
          <w:lang w:val="en-US" w:eastAsia="zh-CN"/>
        </w:rPr>
      </w:pPr>
      <w:bookmarkStart w:id="918" w:name="_Toc23581"/>
      <w:bookmarkStart w:id="919" w:name="_Toc10361"/>
      <w:bookmarkStart w:id="920" w:name="_Toc15463"/>
      <w:bookmarkStart w:id="921" w:name="_Toc19874"/>
      <w:bookmarkStart w:id="922" w:name="_Toc3669"/>
      <w:bookmarkStart w:id="923" w:name="_Toc30727"/>
      <w:bookmarkStart w:id="924" w:name="_Toc760"/>
      <w:bookmarkStart w:id="925" w:name="_Toc4106"/>
      <w:r>
        <w:rPr>
          <w:rFonts w:hint="eastAsia" w:ascii="楷体_GB2312" w:hAnsi="楷体_GB2312" w:eastAsia="楷体_GB2312" w:cs="楷体_GB2312"/>
          <w:b/>
          <w:bCs/>
          <w:color w:val="auto"/>
          <w:szCs w:val="32"/>
          <w:lang w:val="zh-CN"/>
        </w:rPr>
        <w:t>（三）项目产出情况</w:t>
      </w:r>
      <w:bookmarkEnd w:id="918"/>
      <w:bookmarkEnd w:id="919"/>
      <w:bookmarkEnd w:id="920"/>
      <w:bookmarkStart w:id="926" w:name="_Toc5840"/>
      <w:bookmarkStart w:id="927" w:name="_Toc24863"/>
      <w:bookmarkStart w:id="928" w:name="_Toc4783"/>
      <w:r>
        <w:rPr>
          <w:rFonts w:hint="eastAsia" w:ascii="楷体_GB2312" w:hAnsi="楷体_GB2312" w:eastAsia="楷体_GB2312" w:cs="楷体_GB2312"/>
          <w:b/>
          <w:bCs/>
          <w:color w:val="auto"/>
          <w:szCs w:val="32"/>
          <w:lang w:val="en-US" w:eastAsia="zh-CN"/>
        </w:rPr>
        <w:t>（指标分值30分）（得分23分）</w:t>
      </w:r>
      <w:bookmarkEnd w:id="921"/>
      <w:bookmarkEnd w:id="922"/>
      <w:bookmarkEnd w:id="923"/>
      <w:bookmarkEnd w:id="924"/>
      <w:bookmarkEnd w:id="925"/>
    </w:p>
    <w:p>
      <w:pPr>
        <w:pageBreakBefore w:val="0"/>
        <w:overflowPunct/>
        <w:topLinePunct w:val="0"/>
        <w:bidi w:val="0"/>
        <w:spacing w:line="576" w:lineRule="exact"/>
        <w:ind w:left="0" w:leftChars="0"/>
        <w:rPr>
          <w:rFonts w:hint="eastAsia" w:cs="Times New Roman"/>
          <w:color w:val="auto"/>
        </w:rPr>
      </w:pPr>
      <w:r>
        <w:rPr>
          <w:rFonts w:hint="eastAsia" w:cs="仿宋_GB2312"/>
          <w:color w:val="auto"/>
          <w:lang w:val="en-US" w:eastAsia="zh-CN"/>
        </w:rPr>
        <w:t>西宁市城中区总寨塬智能温室园区道路工程和排水</w:t>
      </w:r>
      <w:r>
        <w:rPr>
          <w:rFonts w:hint="eastAsia" w:cs="仿宋_GB2312"/>
          <w:color w:val="auto"/>
        </w:rPr>
        <w:t>项目</w:t>
      </w:r>
      <w:r>
        <w:rPr>
          <w:rFonts w:hint="eastAsia" w:cs="Times New Roman"/>
          <w:color w:val="auto"/>
        </w:rPr>
        <w:t>绩效评价</w:t>
      </w:r>
      <w:r>
        <w:rPr>
          <w:rFonts w:hint="eastAsia" w:cs="Times New Roman"/>
          <w:color w:val="auto"/>
          <w:lang w:val="en-US" w:eastAsia="zh-CN"/>
        </w:rPr>
        <w:t>产出</w:t>
      </w:r>
      <w:r>
        <w:rPr>
          <w:rFonts w:hint="eastAsia" w:cs="Times New Roman"/>
          <w:color w:val="auto"/>
        </w:rPr>
        <w:t>类指标得分情况如下表所示：</w:t>
      </w:r>
    </w:p>
    <w:p>
      <w:pPr>
        <w:pageBreakBefore w:val="0"/>
        <w:overflowPunct/>
        <w:topLinePunct w:val="0"/>
        <w:bidi w:val="0"/>
        <w:adjustRightInd w:val="0"/>
        <w:snapToGrid w:val="0"/>
        <w:spacing w:line="576" w:lineRule="exact"/>
        <w:ind w:left="0" w:leftChars="0" w:firstLine="0" w:firstLineChars="0"/>
        <w:jc w:val="center"/>
        <w:rPr>
          <w:rFonts w:ascii="宋体" w:eastAsia="宋体" w:cs="Times New Roman"/>
          <w:b/>
          <w:bCs/>
          <w:color w:val="auto"/>
          <w:sz w:val="24"/>
        </w:rPr>
      </w:pPr>
      <w:r>
        <w:rPr>
          <w:rFonts w:hint="eastAsia" w:ascii="宋体" w:eastAsia="宋体" w:cs="Times New Roman"/>
          <w:b/>
          <w:bCs/>
          <w:color w:val="auto"/>
          <w:sz w:val="28"/>
          <w:szCs w:val="28"/>
        </w:rPr>
        <w:t>表</w:t>
      </w:r>
      <w:r>
        <w:rPr>
          <w:rFonts w:hint="eastAsia" w:ascii="宋体" w:eastAsia="宋体" w:cs="Times New Roman"/>
          <w:b/>
          <w:bCs/>
          <w:color w:val="auto"/>
          <w:sz w:val="28"/>
          <w:szCs w:val="28"/>
          <w:lang w:val="en-US" w:eastAsia="zh-CN"/>
        </w:rPr>
        <w:t>6</w:t>
      </w:r>
      <w:r>
        <w:rPr>
          <w:rFonts w:hint="eastAsia" w:ascii="宋体" w:eastAsia="宋体" w:cs="Times New Roman"/>
          <w:b/>
          <w:bCs/>
          <w:color w:val="auto"/>
          <w:sz w:val="28"/>
          <w:szCs w:val="28"/>
        </w:rPr>
        <w:t xml:space="preserve"> 项目</w:t>
      </w:r>
      <w:r>
        <w:rPr>
          <w:rFonts w:hint="eastAsia" w:ascii="宋体" w:eastAsia="宋体" w:cs="Times New Roman"/>
          <w:b/>
          <w:bCs/>
          <w:color w:val="auto"/>
          <w:sz w:val="28"/>
          <w:szCs w:val="28"/>
          <w:lang w:val="en-US" w:eastAsia="zh-CN"/>
        </w:rPr>
        <w:t>产出</w:t>
      </w:r>
      <w:r>
        <w:rPr>
          <w:rFonts w:hint="eastAsia" w:ascii="宋体" w:eastAsia="宋体" w:cs="Times New Roman"/>
          <w:b/>
          <w:bCs/>
          <w:color w:val="auto"/>
          <w:sz w:val="28"/>
          <w:szCs w:val="28"/>
        </w:rPr>
        <w:t>类各项指标绩效评价得分表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2336"/>
        <w:gridCol w:w="3438"/>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tcBorders>
              <w:top w:val="double" w:color="000000" w:sz="4" w:space="0"/>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1289" w:type="pct"/>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1897" w:type="pct"/>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655" w:type="pct"/>
            <w:tcBorders>
              <w:top w:val="double" w:color="000000" w:sz="4" w:space="0"/>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restart"/>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产出</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76.67</w:t>
            </w:r>
            <w:r>
              <w:rPr>
                <w:rFonts w:hint="eastAsia" w:ascii="宋体" w:hAnsi="宋体" w:eastAsia="宋体" w:cs="宋体"/>
                <w:bCs/>
                <w:color w:val="auto"/>
                <w:sz w:val="24"/>
                <w:szCs w:val="22"/>
                <w:highlight w:val="none"/>
              </w:rPr>
              <w:t>%</w:t>
            </w: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数量</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87.5</w:t>
            </w:r>
            <w:r>
              <w:rPr>
                <w:rFonts w:hint="eastAsia" w:ascii="宋体" w:hAnsi="宋体" w:eastAsia="宋体" w:cs="宋体"/>
                <w:bCs/>
                <w:color w:val="auto"/>
                <w:sz w:val="24"/>
                <w:szCs w:val="22"/>
                <w:highlight w:val="none"/>
              </w:rPr>
              <w:t>%</w:t>
            </w:r>
          </w:p>
        </w:tc>
        <w:tc>
          <w:tcPr>
            <w:tcW w:w="1897"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bCs/>
                <w:i w:val="0"/>
                <w:iCs w:val="0"/>
                <w:color w:val="auto"/>
                <w:sz w:val="24"/>
                <w:szCs w:val="22"/>
                <w:highlight w:val="none"/>
                <w:lang w:val="en-US" w:eastAsia="zh-CN"/>
              </w:rPr>
            </w:pPr>
            <w:r>
              <w:rPr>
                <w:rFonts w:hint="eastAsia" w:ascii="宋体" w:hAnsi="宋体" w:eastAsia="宋体" w:cs="宋体"/>
                <w:bCs/>
                <w:i w:val="0"/>
                <w:iCs w:val="0"/>
                <w:color w:val="auto"/>
                <w:sz w:val="24"/>
                <w:szCs w:val="22"/>
                <w:highlight w:val="none"/>
                <w:lang w:val="en-US" w:eastAsia="zh-CN"/>
              </w:rPr>
              <w:t>道路工程建设内容完工率</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897"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bCs/>
                <w:i w:val="0"/>
                <w:iCs w:val="0"/>
                <w:color w:val="auto"/>
                <w:kern w:val="2"/>
                <w:sz w:val="24"/>
                <w:szCs w:val="22"/>
                <w:highlight w:val="none"/>
                <w:lang w:val="en-US" w:eastAsia="zh-CN" w:bidi="ar-SA"/>
              </w:rPr>
            </w:pPr>
            <w:r>
              <w:rPr>
                <w:rFonts w:hint="eastAsia" w:ascii="宋体" w:hAnsi="宋体" w:eastAsia="宋体" w:cs="宋体"/>
                <w:bCs/>
                <w:i w:val="0"/>
                <w:iCs w:val="0"/>
                <w:color w:val="auto"/>
                <w:sz w:val="24"/>
                <w:szCs w:val="22"/>
                <w:highlight w:val="none"/>
                <w:lang w:val="en-US" w:eastAsia="zh-CN"/>
              </w:rPr>
              <w:t>排水工程建设内容完工率</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kern w:val="2"/>
                <w:sz w:val="24"/>
                <w:szCs w:val="22"/>
                <w:highlight w:val="none"/>
                <w:lang w:val="en-US" w:eastAsia="zh-CN" w:bidi="ar-SA"/>
              </w:rPr>
            </w:pPr>
            <w:r>
              <w:rPr>
                <w:rFonts w:hint="eastAsia" w:ascii="宋体" w:hAnsi="宋体" w:eastAsia="宋体" w:cs="宋体"/>
                <w:i/>
                <w:iCs/>
                <w:color w:val="auto"/>
                <w:sz w:val="24"/>
                <w:szCs w:val="22"/>
                <w:highlight w:val="none"/>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质量</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eastAsia="zh-CN"/>
              </w:rPr>
              <w:t>：</w:t>
            </w:r>
            <w:r>
              <w:rPr>
                <w:rFonts w:hint="eastAsia" w:ascii="宋体" w:hAnsi="宋体" w:eastAsia="宋体" w:cs="宋体"/>
                <w:bCs/>
                <w:color w:val="auto"/>
                <w:sz w:val="24"/>
                <w:szCs w:val="22"/>
                <w:highlight w:val="none"/>
                <w:lang w:val="en-US" w:eastAsia="zh-CN"/>
              </w:rPr>
              <w:t>50</w:t>
            </w:r>
            <w:r>
              <w:rPr>
                <w:rFonts w:hint="eastAsia" w:ascii="宋体" w:hAnsi="宋体" w:eastAsia="宋体" w:cs="宋体"/>
                <w:bCs/>
                <w:color w:val="auto"/>
                <w:sz w:val="24"/>
                <w:szCs w:val="22"/>
                <w:highlight w:val="none"/>
              </w:rPr>
              <w:t>%</w:t>
            </w:r>
          </w:p>
        </w:tc>
        <w:tc>
          <w:tcPr>
            <w:tcW w:w="189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bCs/>
                <w:i w:val="0"/>
                <w:iCs w:val="0"/>
                <w:color w:val="auto"/>
                <w:sz w:val="24"/>
                <w:szCs w:val="22"/>
                <w:highlight w:val="none"/>
                <w:lang w:val="en-US" w:eastAsia="zh-CN"/>
              </w:rPr>
            </w:pPr>
            <w:r>
              <w:rPr>
                <w:rFonts w:hint="eastAsia" w:ascii="宋体" w:hAnsi="宋体" w:eastAsia="宋体" w:cs="宋体"/>
                <w:bCs/>
                <w:i w:val="0"/>
                <w:iCs w:val="0"/>
                <w:color w:val="auto"/>
                <w:sz w:val="24"/>
                <w:szCs w:val="22"/>
                <w:highlight w:val="none"/>
                <w:lang w:val="en-US" w:eastAsia="zh-CN"/>
              </w:rPr>
              <w:t>道路工程质量合格情况</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89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color w:val="auto"/>
                <w:kern w:val="0"/>
                <w:sz w:val="24"/>
                <w:szCs w:val="24"/>
                <w:highlight w:val="none"/>
                <w:lang w:val="en-US" w:eastAsia="zh-CN"/>
              </w:rPr>
            </w:pPr>
            <w:r>
              <w:rPr>
                <w:rFonts w:hint="eastAsia" w:ascii="宋体" w:hAnsi="宋体" w:eastAsia="宋体" w:cs="宋体"/>
                <w:bCs/>
                <w:i w:val="0"/>
                <w:iCs w:val="0"/>
                <w:color w:val="auto"/>
                <w:sz w:val="24"/>
                <w:szCs w:val="22"/>
                <w:highlight w:val="none"/>
                <w:lang w:val="en-US" w:eastAsia="zh-CN"/>
              </w:rPr>
              <w:t>排水工程质量合格情况</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时效</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eastAsia="zh-CN"/>
              </w:rPr>
              <w:t>：</w:t>
            </w:r>
            <w:r>
              <w:rPr>
                <w:rFonts w:hint="eastAsia" w:ascii="宋体" w:hAnsi="宋体" w:eastAsia="宋体" w:cs="宋体"/>
                <w:bCs/>
                <w:color w:val="auto"/>
                <w:sz w:val="24"/>
                <w:szCs w:val="22"/>
                <w:highlight w:val="none"/>
                <w:lang w:val="en-US" w:eastAsia="zh-CN"/>
              </w:rPr>
              <w:t>75</w:t>
            </w:r>
            <w:r>
              <w:rPr>
                <w:rFonts w:hint="eastAsia" w:ascii="宋体" w:hAnsi="宋体" w:eastAsia="宋体" w:cs="宋体"/>
                <w:bCs/>
                <w:color w:val="auto"/>
                <w:sz w:val="24"/>
                <w:szCs w:val="22"/>
                <w:highlight w:val="none"/>
              </w:rPr>
              <w:t>%</w:t>
            </w:r>
          </w:p>
        </w:tc>
        <w:tc>
          <w:tcPr>
            <w:tcW w:w="189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bCs/>
                <w:i w:val="0"/>
                <w:iCs w:val="0"/>
                <w:color w:val="auto"/>
                <w:sz w:val="24"/>
                <w:szCs w:val="22"/>
                <w:highlight w:val="none"/>
                <w:lang w:val="en-US" w:eastAsia="zh-CN"/>
              </w:rPr>
            </w:pPr>
            <w:r>
              <w:rPr>
                <w:rFonts w:hint="eastAsia" w:ascii="宋体" w:hAnsi="宋体" w:eastAsia="宋体" w:cs="宋体"/>
                <w:bCs/>
                <w:i w:val="0"/>
                <w:iCs w:val="0"/>
                <w:color w:val="auto"/>
                <w:sz w:val="24"/>
                <w:szCs w:val="22"/>
                <w:highlight w:val="none"/>
                <w:lang w:val="en-US" w:eastAsia="zh-CN"/>
              </w:rPr>
              <w:t>工程完工及时性</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89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验收、移交及时性</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成本</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eastAsia="zh-CN"/>
              </w:rPr>
              <w:t>：</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1897"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成本节约率</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4" w:type="pct"/>
            <w:gridSpan w:val="3"/>
            <w:tcBorders>
              <w:left w:val="nil"/>
              <w:bottom w:val="doub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eastAsia="zh-CN"/>
              </w:rPr>
              <w:t>产出</w:t>
            </w:r>
            <w:r>
              <w:rPr>
                <w:rFonts w:hint="eastAsia" w:ascii="宋体" w:hAnsi="宋体" w:eastAsia="宋体" w:cs="宋体"/>
                <w:b/>
                <w:color w:val="auto"/>
                <w:sz w:val="24"/>
                <w:szCs w:val="22"/>
                <w:highlight w:val="none"/>
              </w:rPr>
              <w:t>”情况评级</w:t>
            </w:r>
          </w:p>
        </w:tc>
        <w:tc>
          <w:tcPr>
            <w:tcW w:w="655" w:type="pct"/>
            <w:tcBorders>
              <w:bottom w:val="doub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中</w:t>
            </w:r>
          </w:p>
        </w:tc>
      </w:tr>
    </w:tbl>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textAlignment w:val="auto"/>
        <w:outlineLvl w:val="2"/>
        <w:rPr>
          <w:rFonts w:hint="eastAsia" w:ascii="仿宋_GB2312" w:hAnsi="仿宋_GB2312" w:eastAsia="仿宋_GB2312" w:cs="仿宋_GB2312"/>
          <w:b/>
          <w:color w:val="auto"/>
          <w:szCs w:val="32"/>
          <w:highlight w:val="none"/>
          <w:lang w:val="en-US" w:eastAsia="zh-CN"/>
        </w:rPr>
      </w:pPr>
      <w:bookmarkStart w:id="929" w:name="_Toc2839"/>
      <w:bookmarkStart w:id="930" w:name="_Toc16433"/>
      <w:r>
        <w:rPr>
          <w:rFonts w:hint="eastAsia" w:ascii="仿宋_GB2312" w:hAnsi="仿宋_GB2312" w:eastAsia="仿宋_GB2312" w:cs="仿宋_GB2312"/>
          <w:b/>
          <w:color w:val="auto"/>
          <w:szCs w:val="32"/>
          <w:highlight w:val="none"/>
          <w:lang w:val="en-US" w:eastAsia="zh-CN"/>
        </w:rPr>
        <w:t>1.</w:t>
      </w:r>
      <w:r>
        <w:rPr>
          <w:rFonts w:hint="eastAsia" w:cs="仿宋_GB2312"/>
          <w:b/>
          <w:color w:val="auto"/>
          <w:szCs w:val="32"/>
          <w:highlight w:val="none"/>
          <w:lang w:val="en-US" w:eastAsia="zh-CN"/>
        </w:rPr>
        <w:t>数量</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8</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7</w:t>
      </w:r>
      <w:r>
        <w:rPr>
          <w:rFonts w:hint="eastAsia" w:ascii="仿宋_GB2312" w:hAnsi="仿宋_GB2312" w:eastAsia="仿宋_GB2312" w:cs="仿宋_GB2312"/>
          <w:b/>
          <w:color w:val="auto"/>
          <w:szCs w:val="32"/>
          <w:highlight w:val="none"/>
          <w:lang w:val="en-US" w:eastAsia="zh-CN"/>
        </w:rPr>
        <w:t>分）</w:t>
      </w:r>
      <w:bookmarkEnd w:id="929"/>
      <w:bookmarkEnd w:id="930"/>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931" w:name="_Toc25148"/>
      <w:bookmarkStart w:id="932" w:name="_Toc9567"/>
      <w:bookmarkStart w:id="933" w:name="_Toc19027"/>
      <w:bookmarkStart w:id="934" w:name="_Toc23320"/>
      <w:bookmarkStart w:id="935" w:name="_Toc6168"/>
      <w:r>
        <w:rPr>
          <w:rFonts w:hint="eastAsia" w:ascii="仿宋_GB2312" w:hAnsi="仿宋_GB2312" w:eastAsia="仿宋_GB2312" w:cs="仿宋_GB2312"/>
          <w:b/>
          <w:color w:val="auto"/>
          <w:szCs w:val="32"/>
          <w:highlight w:val="none"/>
          <w:lang w:val="en-US" w:eastAsia="zh-CN"/>
        </w:rPr>
        <w:t>（1）</w:t>
      </w:r>
      <w:r>
        <w:rPr>
          <w:rFonts w:hint="eastAsia" w:cs="仿宋_GB2312"/>
          <w:b/>
          <w:color w:val="auto"/>
          <w:szCs w:val="32"/>
          <w:highlight w:val="none"/>
          <w:lang w:val="en-US" w:eastAsia="zh-CN"/>
        </w:rPr>
        <w:t>道路工程建设内容完工率</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分）</w:t>
      </w:r>
      <w:bookmarkEnd w:id="931"/>
      <w:bookmarkEnd w:id="932"/>
      <w:bookmarkEnd w:id="933"/>
      <w:bookmarkEnd w:id="934"/>
      <w:bookmarkEnd w:id="935"/>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default" w:cs="Times New Roman"/>
          <w:color w:val="auto"/>
          <w:lang w:val="en-US" w:eastAsia="zh-CN"/>
        </w:rPr>
      </w:pPr>
      <w:r>
        <w:rPr>
          <w:rFonts w:hint="eastAsia" w:cs="Times New Roman"/>
          <w:color w:val="auto"/>
          <w:lang w:val="en-US" w:eastAsia="zh-CN"/>
        </w:rPr>
        <w:t>经查阅项目资料，</w:t>
      </w:r>
      <w:r>
        <w:rPr>
          <w:rFonts w:hint="eastAsia" w:cs="仿宋_GB2312"/>
          <w:color w:val="auto"/>
          <w:lang w:val="en-US" w:eastAsia="zh-CN"/>
        </w:rPr>
        <w:t>城中区总寨塬智能温室园区道路</w:t>
      </w:r>
      <w:r>
        <w:rPr>
          <w:rFonts w:hint="eastAsia" w:cs="仿宋_GB2312"/>
          <w:color w:val="auto"/>
        </w:rPr>
        <w:t>项目</w:t>
      </w:r>
      <w:r>
        <w:rPr>
          <w:rFonts w:hint="eastAsia" w:cs="仿宋_GB2312"/>
          <w:color w:val="auto"/>
          <w:lang w:val="en-US" w:eastAsia="zh-CN"/>
        </w:rPr>
        <w:t>计划建设内容为：</w:t>
      </w:r>
      <w:r>
        <w:rPr>
          <w:rFonts w:hint="eastAsia" w:cs="Times New Roman"/>
          <w:color w:val="auto"/>
          <w:lang w:val="en-US" w:eastAsia="zh-CN"/>
        </w:rPr>
        <w:t>修建园区简易砂石道路，新建道路全长</w:t>
      </w:r>
      <w:r>
        <w:rPr>
          <w:rFonts w:hint="eastAsia" w:ascii="Times New Roman" w:hAnsi="Times New Roman" w:eastAsia="仿宋_GB2312" w:cs="Times New Roman"/>
          <w:bCs/>
          <w:color w:val="auto"/>
          <w:sz w:val="32"/>
          <w:szCs w:val="32"/>
          <w:highlight w:val="none"/>
          <w:lang w:val="en-US" w:eastAsia="zh-CN"/>
        </w:rPr>
        <w:t>1.932km（其中路线1长997.165m、路线2全长405.388m、支线1长81.868m、支线2长38.055m、支线3长70.809m、支线4长67.925m、支线5长69.336m、支线6长67.507m、支线7长64.816m、支线8长69.207m），新建U型砼边沟（50*50）1848m，新建砼圆筒涵（d=45）58m，</w:t>
      </w:r>
      <w:r>
        <w:rPr>
          <w:rFonts w:hint="eastAsia" w:cs="Times New Roman"/>
          <w:color w:val="auto"/>
          <w:highlight w:val="none"/>
          <w:lang w:val="en-US" w:eastAsia="zh-CN"/>
        </w:rPr>
        <w:t>依据《总寨塬智能温室园区道路工程项目验收表》验收情况，项目已全部完工。</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color w:val="auto"/>
          <w:lang w:val="en-US" w:eastAsia="zh-CN"/>
        </w:rPr>
        <w:t>城中区总寨塬智能温室园区道路</w:t>
      </w:r>
      <w:r>
        <w:rPr>
          <w:rFonts w:hint="eastAsia" w:cs="仿宋_GB2312"/>
          <w:color w:val="auto"/>
        </w:rPr>
        <w:t>项目</w:t>
      </w:r>
      <w:r>
        <w:rPr>
          <w:rFonts w:hint="eastAsia" w:cs="仿宋_GB2312"/>
          <w:color w:val="auto"/>
          <w:lang w:val="en-US" w:eastAsia="zh-CN"/>
        </w:rPr>
        <w:t>工程建设内容全部完工，完</w:t>
      </w:r>
      <w:r>
        <w:rPr>
          <w:rFonts w:hint="eastAsia" w:ascii="Times New Roman" w:hAnsi="Times New Roman" w:eastAsia="仿宋_GB2312" w:cs="Times New Roman"/>
          <w:bCs/>
          <w:color w:val="auto"/>
          <w:sz w:val="32"/>
          <w:szCs w:val="32"/>
          <w:highlight w:val="none"/>
          <w:lang w:val="en-US" w:eastAsia="zh-CN"/>
        </w:rPr>
        <w:t>工率100%，</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仿宋_GB2312" w:hAnsi="仿宋_GB2312" w:eastAsia="仿宋_GB2312" w:cs="仿宋_GB2312"/>
          <w:b w:val="0"/>
          <w:bCs w:val="0"/>
          <w:color w:val="auto"/>
          <w:sz w:val="32"/>
          <w:szCs w:val="32"/>
          <w:highlight w:val="none"/>
          <w:lang w:val="en-US" w:eastAsia="zh-CN"/>
        </w:rPr>
        <w:t>分</w:t>
      </w:r>
      <w:r>
        <w:rPr>
          <w:rFonts w:hint="eastAsia" w:ascii="Times New Roman" w:hAnsi="Times New Roman" w:eastAsia="仿宋_GB2312" w:cs="Times New Roman"/>
          <w:bCs/>
          <w:color w:val="auto"/>
          <w:sz w:val="32"/>
          <w:szCs w:val="32"/>
          <w:highlight w:val="none"/>
          <w:lang w:val="en-US" w:eastAsia="zh-CN"/>
        </w:rPr>
        <w:t>4分。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936" w:name="_Toc32187"/>
      <w:bookmarkStart w:id="937" w:name="_Toc11706"/>
      <w:bookmarkStart w:id="938" w:name="_Toc18949"/>
      <w:bookmarkStart w:id="939" w:name="_Toc23843"/>
      <w:bookmarkStart w:id="940" w:name="_Toc19629"/>
      <w:r>
        <w:rPr>
          <w:rFonts w:hint="eastAsia" w:cs="仿宋_GB2312"/>
          <w:b/>
          <w:color w:val="auto"/>
          <w:szCs w:val="32"/>
          <w:highlight w:val="none"/>
          <w:lang w:val="en-US" w:eastAsia="zh-CN"/>
        </w:rPr>
        <w:t>（2）排水工程建设内容完工率</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w:t>
      </w:r>
      <w:bookmarkEnd w:id="936"/>
      <w:bookmarkEnd w:id="937"/>
      <w:bookmarkEnd w:id="938"/>
      <w:bookmarkEnd w:id="939"/>
      <w:bookmarkEnd w:id="940"/>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default" w:ascii="仿宋_GB2312" w:hAnsi="仿宋_GB2312" w:eastAsia="仿宋_GB2312" w:cs="仿宋_GB2312"/>
          <w:b w:val="0"/>
          <w:bCs w:val="0"/>
          <w:color w:val="auto"/>
          <w:sz w:val="32"/>
          <w:szCs w:val="32"/>
          <w:highlight w:val="yellow"/>
          <w:lang w:val="en-US" w:eastAsia="zh-CN"/>
        </w:rPr>
      </w:pPr>
      <w:r>
        <w:rPr>
          <w:rFonts w:hint="eastAsia" w:cs="仿宋_GB2312"/>
          <w:b w:val="0"/>
          <w:bCs w:val="0"/>
          <w:color w:val="auto"/>
          <w:sz w:val="32"/>
          <w:szCs w:val="32"/>
          <w:highlight w:val="none"/>
          <w:lang w:val="en-US" w:eastAsia="zh-CN"/>
        </w:rPr>
        <w:t>经查阅项目资料，</w:t>
      </w:r>
      <w:r>
        <w:rPr>
          <w:rFonts w:hint="eastAsia" w:cs="仿宋_GB2312"/>
          <w:color w:val="auto"/>
          <w:lang w:val="en-US" w:eastAsia="zh-CN"/>
        </w:rPr>
        <w:t>城中区总寨塬智能温室园区排水工程</w:t>
      </w:r>
      <w:r>
        <w:rPr>
          <w:rFonts w:hint="eastAsia" w:cs="仿宋_GB2312"/>
          <w:color w:val="auto"/>
        </w:rPr>
        <w:t>项目</w:t>
      </w:r>
      <w:r>
        <w:rPr>
          <w:rFonts w:hint="eastAsia" w:cs="仿宋_GB2312"/>
          <w:color w:val="auto"/>
          <w:lang w:val="en-US" w:eastAsia="zh-CN"/>
        </w:rPr>
        <w:t>计划建设内容为：</w:t>
      </w:r>
      <w:r>
        <w:rPr>
          <w:rFonts w:hint="eastAsia" w:ascii="Times New Roman" w:hAnsi="Times New Roman" w:eastAsia="仿宋_GB2312" w:cs="Times New Roman"/>
          <w:bCs/>
          <w:color w:val="auto"/>
          <w:sz w:val="32"/>
          <w:szCs w:val="32"/>
          <w:highlight w:val="none"/>
          <w:lang w:val="en-US" w:eastAsia="zh-CN"/>
        </w:rPr>
        <w:t>新建干沟549m，新建支沟3822m（其中温棚段无盖板支沟3475m，穿路段盖板支沟347m），新建干沟陡坡2座、支沟陡坡6座。实际建设内容为：维修干沟62m；清理原干沟内土方1011.14m³；新建支沟3637.1m（其中温棚段无盖板支沟3442.1m，穿路段盖板支沟195m）；新建干沟陡坡2座、支沟陡坡6座、支沟砼管涵20m；新增农田退水24m；新增阳光带外用土回填5770m³；新增温室前坎砼挡墙63m³。依据《合同（单位）工程完工验收鉴定书》，截至2020年10月15日，</w:t>
      </w:r>
      <w:r>
        <w:rPr>
          <w:rFonts w:hint="eastAsia" w:cs="Times New Roman"/>
          <w:color w:val="auto"/>
          <w:highlight w:val="none"/>
          <w:lang w:val="en-US" w:eastAsia="zh-CN"/>
        </w:rPr>
        <w:t>项目已全部完工。由于受现场因素限制，实际工程量发生变更，但项目主管单位提供的项目佐证资料中缺少工程量变更相关批复，无法核实工程增量部分是否全部完成。</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color w:val="auto"/>
          <w:lang w:val="en-US" w:eastAsia="zh-CN"/>
        </w:rPr>
        <w:t>城中区总寨塬智能温室园区排水工程</w:t>
      </w:r>
      <w:r>
        <w:rPr>
          <w:rFonts w:hint="eastAsia" w:cs="仿宋_GB2312"/>
          <w:color w:val="auto"/>
        </w:rPr>
        <w:t>项目</w:t>
      </w:r>
      <w:r>
        <w:rPr>
          <w:rFonts w:hint="eastAsia" w:cs="仿宋_GB2312"/>
          <w:color w:val="auto"/>
          <w:lang w:val="en-US" w:eastAsia="zh-CN"/>
        </w:rPr>
        <w:t>建设内容全部完工，</w:t>
      </w:r>
      <w:r>
        <w:rPr>
          <w:rFonts w:hint="eastAsia" w:cs="Times New Roman"/>
          <w:color w:val="auto"/>
          <w:highlight w:val="none"/>
          <w:lang w:val="en-US" w:eastAsia="zh-CN"/>
        </w:rPr>
        <w:t>由于受现场因素限制，实际工程量发生变更，但项目主管单位提供的项目佐证资料中缺少工程量变更相关批复，无法核实增量部分的工程是否全部完成。</w:t>
      </w:r>
      <w:r>
        <w:rPr>
          <w:rFonts w:hint="eastAsia" w:cs="仿宋_GB2312"/>
          <w:color w:val="auto"/>
          <w:lang w:val="en-US" w:eastAsia="zh-CN"/>
        </w:rPr>
        <w:t>不</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Times New Roman" w:hAnsi="Times New Roman" w:eastAsia="仿宋_GB2312" w:cs="Times New Roman"/>
          <w:bCs/>
          <w:color w:val="auto"/>
          <w:sz w:val="32"/>
          <w:szCs w:val="32"/>
          <w:highlight w:val="none"/>
          <w:lang w:val="en-US" w:eastAsia="zh-CN"/>
        </w:rPr>
        <w:t>，扣1分，指标得分3分。</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textAlignment w:val="auto"/>
        <w:outlineLvl w:val="2"/>
        <w:rPr>
          <w:rFonts w:hint="eastAsia" w:ascii="仿宋_GB2312" w:hAnsi="仿宋_GB2312" w:eastAsia="仿宋_GB2312" w:cs="仿宋_GB2312"/>
          <w:b/>
          <w:color w:val="auto"/>
          <w:szCs w:val="32"/>
          <w:highlight w:val="none"/>
          <w:lang w:val="en-US" w:eastAsia="zh-CN"/>
        </w:rPr>
      </w:pPr>
      <w:bookmarkStart w:id="941" w:name="_Toc16239"/>
      <w:bookmarkStart w:id="942" w:name="_Toc21583"/>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质量</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8</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分）</w:t>
      </w:r>
      <w:bookmarkEnd w:id="941"/>
      <w:bookmarkEnd w:id="942"/>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943" w:name="_Toc17749"/>
      <w:bookmarkStart w:id="944" w:name="_Toc30100"/>
      <w:bookmarkStart w:id="945" w:name="_Toc5811"/>
      <w:bookmarkStart w:id="946" w:name="_Toc32046"/>
      <w:bookmarkStart w:id="947" w:name="_Toc3765"/>
      <w:r>
        <w:rPr>
          <w:rFonts w:hint="eastAsia" w:ascii="仿宋_GB2312" w:hAnsi="仿宋_GB2312" w:eastAsia="仿宋_GB2312" w:cs="仿宋_GB2312"/>
          <w:b/>
          <w:color w:val="auto"/>
          <w:szCs w:val="32"/>
          <w:highlight w:val="none"/>
          <w:lang w:val="en-US" w:eastAsia="zh-CN"/>
        </w:rPr>
        <w:t>（1）</w:t>
      </w:r>
      <w:r>
        <w:rPr>
          <w:rFonts w:hint="eastAsia" w:cs="仿宋_GB2312"/>
          <w:b/>
          <w:color w:val="auto"/>
          <w:szCs w:val="32"/>
          <w:highlight w:val="none"/>
          <w:lang w:val="en-US" w:eastAsia="zh-CN"/>
        </w:rPr>
        <w:t>道路工程质量合格情况</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0</w:t>
      </w:r>
      <w:r>
        <w:rPr>
          <w:rFonts w:hint="eastAsia" w:ascii="仿宋_GB2312" w:hAnsi="仿宋_GB2312" w:eastAsia="仿宋_GB2312" w:cs="仿宋_GB2312"/>
          <w:b/>
          <w:color w:val="auto"/>
          <w:szCs w:val="32"/>
          <w:highlight w:val="none"/>
          <w:lang w:val="en-US" w:eastAsia="zh-CN"/>
        </w:rPr>
        <w:t>分）</w:t>
      </w:r>
      <w:bookmarkEnd w:id="943"/>
      <w:bookmarkEnd w:id="944"/>
      <w:bookmarkEnd w:id="945"/>
      <w:bookmarkEnd w:id="946"/>
      <w:bookmarkEnd w:id="947"/>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right="0" w:firstLine="640" w:firstLineChars="200"/>
        <w:textAlignment w:val="auto"/>
        <w:rPr>
          <w:rFonts w:hint="default" w:ascii="Times New Roman" w:hAnsi="Times New Roman" w:eastAsia="仿宋_GB2312" w:cs="Times New Roman"/>
          <w:bCs/>
          <w:color w:val="auto"/>
          <w:sz w:val="32"/>
          <w:szCs w:val="32"/>
          <w:highlight w:val="none"/>
          <w:lang w:val="en-US" w:eastAsia="zh-CN"/>
        </w:rPr>
      </w:pPr>
      <w:r>
        <w:rPr>
          <w:rFonts w:hint="eastAsia" w:cs="仿宋_GB2312"/>
          <w:color w:val="auto"/>
          <w:lang w:val="en-US" w:eastAsia="zh-CN"/>
        </w:rPr>
        <w:t>经评价组现场调研，道路工程建设的</w:t>
      </w:r>
      <w:r>
        <w:rPr>
          <w:rFonts w:hint="eastAsia" w:cs="Times New Roman"/>
          <w:color w:val="auto"/>
          <w:lang w:val="en-US" w:eastAsia="zh-CN"/>
        </w:rPr>
        <w:t>U型砼边沟畅通，</w:t>
      </w:r>
      <w:r>
        <w:rPr>
          <w:rFonts w:hint="eastAsia" w:ascii="Times New Roman" w:hAnsi="Times New Roman" w:eastAsia="仿宋_GB2312" w:cs="Times New Roman"/>
          <w:bCs/>
          <w:color w:val="auto"/>
          <w:sz w:val="32"/>
          <w:szCs w:val="32"/>
          <w:highlight w:val="none"/>
          <w:lang w:val="en-US" w:eastAsia="zh-CN"/>
        </w:rPr>
        <w:t>2条主路和8条支线道路大部分砂石路面较为平整，但主路1和主路2两条道路由于大型车辆通行，造成部分路面受损。道路工程提供的《总寨塬智能连栋温室园区道路工程项目验收表》中仅显示经西宁市工程咨询院、西宁市审图中心和海南图审中心专家验收意见为“同意验收”，未对工程质量合格情况予以体现，故无法确定工程质量合格情况。</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right="0" w:firstLine="640" w:firstLineChars="200"/>
        <w:textAlignment w:val="auto"/>
        <w:rPr>
          <w:rFonts w:hint="eastAsia"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根据评分标准，城中区总寨塬智能温室园区道路工程部分路面受损，且项目缺少工程质量验收资料，无法确定工程质量合格情况，不符合评分标准，扣4分，指标得分0分。</w:t>
      </w:r>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948" w:name="_Toc25852"/>
      <w:bookmarkStart w:id="949" w:name="_Toc22109"/>
      <w:bookmarkStart w:id="950" w:name="_Toc4385"/>
      <w:bookmarkStart w:id="951" w:name="_Toc31799"/>
      <w:bookmarkStart w:id="952" w:name="_Toc26449"/>
      <w:r>
        <w:rPr>
          <w:rFonts w:hint="eastAsia" w:ascii="仿宋_GB2312" w:hAnsi="仿宋_GB2312" w:eastAsia="仿宋_GB2312" w:cs="仿宋_GB2312"/>
          <w:b/>
          <w:color w:val="auto"/>
          <w:szCs w:val="32"/>
          <w:highlight w:val="none"/>
          <w:lang w:val="en-US" w:eastAsia="zh-CN"/>
        </w:rPr>
        <w:t>（2）</w:t>
      </w:r>
      <w:r>
        <w:rPr>
          <w:rFonts w:hint="eastAsia" w:cs="仿宋_GB2312"/>
          <w:b/>
          <w:color w:val="auto"/>
          <w:szCs w:val="32"/>
          <w:highlight w:val="none"/>
          <w:lang w:val="en-US" w:eastAsia="zh-CN"/>
        </w:rPr>
        <w:t>排水工程质量合格情况</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分）</w:t>
      </w:r>
      <w:bookmarkEnd w:id="948"/>
      <w:bookmarkEnd w:id="949"/>
      <w:bookmarkEnd w:id="950"/>
      <w:bookmarkEnd w:id="951"/>
      <w:bookmarkEnd w:id="952"/>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cs="仿宋_GB2312"/>
          <w:b w:val="0"/>
          <w:bCs w:val="0"/>
          <w:color w:val="auto"/>
          <w:sz w:val="32"/>
          <w:szCs w:val="32"/>
          <w:highlight w:val="none"/>
          <w:lang w:val="en-US" w:eastAsia="zh-CN"/>
        </w:rPr>
        <w:t>依据</w:t>
      </w:r>
      <w:r>
        <w:rPr>
          <w:rFonts w:hint="eastAsia" w:cs="Times New Roman"/>
          <w:color w:val="auto"/>
          <w:highlight w:val="none"/>
          <w:lang w:val="en-US" w:eastAsia="zh-CN"/>
        </w:rPr>
        <w:t>《合同（单位）工程完工验收鉴定书》，经</w:t>
      </w:r>
      <w:r>
        <w:rPr>
          <w:rFonts w:hint="eastAsia" w:cs="Times New Roman"/>
          <w:color w:val="auto"/>
          <w:lang w:val="en-US" w:eastAsia="zh-CN"/>
        </w:rPr>
        <w:t>项目主管单位、施工单位、监理单位、质检单位等多家单位联合对项目竣工质量进行验收，</w:t>
      </w:r>
      <w:r>
        <w:rPr>
          <w:rFonts w:hint="eastAsia" w:cs="Times New Roman"/>
          <w:color w:val="auto"/>
          <w:highlight w:val="none"/>
          <w:lang w:val="en-US" w:eastAsia="zh-CN"/>
        </w:rPr>
        <w:t>排水工</w:t>
      </w:r>
      <w:r>
        <w:rPr>
          <w:rFonts w:hint="eastAsia" w:ascii="Times New Roman" w:hAnsi="Times New Roman" w:eastAsia="仿宋_GB2312" w:cs="Times New Roman"/>
          <w:bCs/>
          <w:color w:val="auto"/>
          <w:sz w:val="32"/>
          <w:szCs w:val="32"/>
          <w:highlight w:val="none"/>
          <w:lang w:val="en-US" w:eastAsia="zh-CN"/>
        </w:rPr>
        <w:t>程项目分部工程质量评定67个单元工程，全部评定为合格，3个分部工程评定为合格；工程外观质量评定得分率为80.3%；工程质量检测自检全部合格，监理单位复核67个单元工程、3</w:t>
      </w:r>
      <w:r>
        <w:rPr>
          <w:rFonts w:hint="eastAsia" w:cs="Times New Roman"/>
          <w:color w:val="auto"/>
          <w:highlight w:val="none"/>
          <w:lang w:val="en-US" w:eastAsia="zh-CN"/>
        </w:rPr>
        <w:t>个分部工程全部合格，工程总体施工质量合格。</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color w:val="auto"/>
          <w:lang w:val="en-US" w:eastAsia="zh-CN"/>
        </w:rPr>
        <w:t>城中区总寨塬智能温室园区排水工程</w:t>
      </w:r>
      <w:r>
        <w:rPr>
          <w:rFonts w:hint="eastAsia" w:cs="仿宋_GB2312"/>
          <w:color w:val="auto"/>
        </w:rPr>
        <w:t>项目</w:t>
      </w:r>
      <w:r>
        <w:rPr>
          <w:rFonts w:hint="eastAsia" w:cs="仿宋_GB2312"/>
          <w:color w:val="auto"/>
          <w:lang w:val="en-US" w:eastAsia="zh-CN"/>
        </w:rPr>
        <w:t>工程质量等级施工单位自评为合格，监理单位复核为合格，项目法人认定为合格</w:t>
      </w:r>
      <w:r>
        <w:rPr>
          <w:rFonts w:hint="eastAsia" w:cs="仿宋_GB2312"/>
          <w:color w:val="auto"/>
          <w:lang w:eastAsia="zh-CN"/>
        </w:rPr>
        <w:t>，</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Times New Roman" w:hAnsi="Times New Roman" w:eastAsia="仿宋_GB2312" w:cs="Times New Roman"/>
          <w:bCs/>
          <w:color w:val="auto"/>
          <w:sz w:val="32"/>
          <w:szCs w:val="32"/>
          <w:highlight w:val="none"/>
          <w:lang w:val="en-US" w:eastAsia="zh-CN"/>
        </w:rPr>
        <w:t>分4分。</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textAlignment w:val="auto"/>
        <w:outlineLvl w:val="2"/>
        <w:rPr>
          <w:rFonts w:hint="eastAsia" w:cs="Times New Roman"/>
          <w:color w:val="auto"/>
          <w:lang w:val="en-US" w:eastAsia="zh-CN"/>
        </w:rPr>
      </w:pPr>
      <w:bookmarkStart w:id="953" w:name="_Toc25535"/>
      <w:bookmarkStart w:id="954" w:name="_Toc4867"/>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时效</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8</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6</w:t>
      </w:r>
      <w:r>
        <w:rPr>
          <w:rFonts w:hint="eastAsia" w:ascii="仿宋_GB2312" w:hAnsi="仿宋_GB2312" w:eastAsia="仿宋_GB2312" w:cs="仿宋_GB2312"/>
          <w:b/>
          <w:color w:val="auto"/>
          <w:szCs w:val="32"/>
          <w:highlight w:val="none"/>
          <w:lang w:val="en-US" w:eastAsia="zh-CN"/>
        </w:rPr>
        <w:t>分）</w:t>
      </w:r>
      <w:bookmarkEnd w:id="953"/>
      <w:bookmarkEnd w:id="954"/>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955" w:name="_Toc12318"/>
      <w:bookmarkStart w:id="956" w:name="_Toc11704"/>
      <w:bookmarkStart w:id="957" w:name="_Toc25997"/>
      <w:bookmarkStart w:id="958" w:name="_Toc5871"/>
      <w:bookmarkStart w:id="959" w:name="_Toc18576"/>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1</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工程完工及时性</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分）</w:t>
      </w:r>
      <w:bookmarkEnd w:id="955"/>
      <w:bookmarkEnd w:id="956"/>
      <w:bookmarkEnd w:id="957"/>
      <w:bookmarkEnd w:id="958"/>
      <w:bookmarkEnd w:id="959"/>
    </w:p>
    <w:p>
      <w:pPr>
        <w:pageBreakBefore w:val="0"/>
        <w:widowControl w:val="0"/>
        <w:overflowPunct/>
        <w:topLinePunct w:val="0"/>
        <w:bidi w:val="0"/>
        <w:spacing w:line="576" w:lineRule="exact"/>
        <w:ind w:left="0" w:leftChars="0" w:firstLine="640" w:firstLineChars="200"/>
        <w:jc w:val="both"/>
        <w:rPr>
          <w:rFonts w:hint="default" w:ascii="Times New Roman" w:hAnsi="Times New Roman" w:eastAsia="仿宋_GB2312" w:cs="Times New Roman"/>
          <w:bCs/>
          <w:color w:val="auto"/>
          <w:sz w:val="32"/>
          <w:szCs w:val="32"/>
          <w:highlight w:val="none"/>
          <w:lang w:val="en-US" w:eastAsia="zh-CN"/>
        </w:rPr>
      </w:pPr>
      <w:r>
        <w:rPr>
          <w:rFonts w:hint="eastAsia" w:ascii="仿宋_GB2312" w:hAnsi="仿宋_GB2312" w:eastAsia="仿宋_GB2312" w:cs="Times New Roman"/>
          <w:color w:val="auto"/>
          <w:kern w:val="2"/>
          <w:sz w:val="32"/>
          <w:szCs w:val="24"/>
          <w:lang w:val="en-US" w:eastAsia="zh-CN" w:bidi="ar-SA"/>
        </w:rPr>
        <w:t>经核对项目资料，</w:t>
      </w:r>
      <w:r>
        <w:rPr>
          <w:rFonts w:hint="eastAsia" w:ascii="仿宋_GB2312" w:hAnsi="仿宋_GB2312" w:eastAsia="仿宋_GB2312" w:cs="仿宋_GB2312"/>
          <w:color w:val="auto"/>
          <w:kern w:val="2"/>
          <w:sz w:val="32"/>
          <w:szCs w:val="24"/>
          <w:lang w:val="en-US" w:eastAsia="zh-CN" w:bidi="ar-SA"/>
        </w:rPr>
        <w:t>城中区总寨塬智能温室园区道路工程和排水工程项目在合同期内完成工程建设内容，</w:t>
      </w:r>
      <w:r>
        <w:rPr>
          <w:rFonts w:hint="eastAsia" w:ascii="仿宋_GB2312" w:hAnsi="仿宋_GB2312" w:eastAsia="仿宋_GB2312" w:cs="Times New Roman"/>
          <w:color w:val="auto"/>
          <w:kern w:val="2"/>
          <w:sz w:val="32"/>
          <w:szCs w:val="24"/>
          <w:lang w:val="en-US" w:eastAsia="zh-CN" w:bidi="ar-SA"/>
        </w:rPr>
        <w:t>符合工程建设合同要求</w:t>
      </w:r>
      <w:r>
        <w:rPr>
          <w:rFonts w:hint="eastAsia" w:ascii="仿宋_GB2312" w:hAnsi="仿宋_GB2312" w:eastAsia="仿宋_GB2312" w:cs="仿宋_GB2312"/>
          <w:color w:val="auto"/>
          <w:kern w:val="2"/>
          <w:sz w:val="32"/>
          <w:szCs w:val="24"/>
          <w:lang w:val="en-US" w:eastAsia="zh-CN" w:bidi="ar-SA"/>
        </w:rPr>
        <w:t>及时完工。其中，道路工程项目</w:t>
      </w:r>
      <w:r>
        <w:rPr>
          <w:rFonts w:hint="eastAsia" w:ascii="Times New Roman" w:hAnsi="Times New Roman" w:eastAsia="仿宋_GB2312" w:cs="Times New Roman"/>
          <w:bCs/>
          <w:color w:val="auto"/>
          <w:sz w:val="32"/>
          <w:szCs w:val="32"/>
          <w:highlight w:val="none"/>
          <w:lang w:val="en-US" w:eastAsia="zh-CN"/>
        </w:rPr>
        <w:t>于2020年7月2日开工，2020年10月30日竣工，工程建设工期121日历天；排水工程项目2020年7月8日开工，2020年10月15日竣工，工程建设工期100日历天。</w:t>
      </w:r>
    </w:p>
    <w:p>
      <w:pPr>
        <w:pageBreakBefore w:val="0"/>
        <w:widowControl w:val="0"/>
        <w:overflowPunct/>
        <w:topLinePunct w:val="0"/>
        <w:bidi w:val="0"/>
        <w:spacing w:line="576" w:lineRule="exact"/>
        <w:ind w:left="0" w:leftChars="0" w:firstLine="640" w:firstLineChars="200"/>
        <w:jc w:val="both"/>
        <w:rPr>
          <w:rFonts w:hint="eastAsia" w:ascii="仿宋_GB2312" w:hAnsi="仿宋_GB2312" w:eastAsia="仿宋_GB2312" w:cs="Times New Roman"/>
          <w:color w:val="auto"/>
          <w:kern w:val="2"/>
          <w:sz w:val="32"/>
          <w:szCs w:val="24"/>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根据评分标准，</w:t>
      </w:r>
      <w:r>
        <w:rPr>
          <w:rFonts w:hint="eastAsia" w:ascii="仿宋_GB2312" w:hAnsi="仿宋_GB2312" w:eastAsia="仿宋_GB2312" w:cs="仿宋_GB2312"/>
          <w:color w:val="auto"/>
          <w:kern w:val="2"/>
          <w:sz w:val="32"/>
          <w:szCs w:val="24"/>
          <w:lang w:val="en-US" w:eastAsia="zh-CN" w:bidi="ar-SA"/>
        </w:rPr>
        <w:t>城中区总寨塬智能温室园区道路工程和排水工程项目在合同期内完成工程建设内容，</w:t>
      </w:r>
      <w:r>
        <w:rPr>
          <w:rFonts w:hint="eastAsia" w:ascii="仿宋_GB2312" w:hAnsi="仿宋_GB2312" w:eastAsia="仿宋_GB2312" w:cs="Times New Roman"/>
          <w:color w:val="auto"/>
          <w:kern w:val="2"/>
          <w:sz w:val="32"/>
          <w:szCs w:val="24"/>
          <w:lang w:val="en-US" w:eastAsia="zh-CN" w:bidi="ar-SA"/>
        </w:rPr>
        <w:t>符合工程建设合同要求</w:t>
      </w:r>
      <w:r>
        <w:rPr>
          <w:rFonts w:hint="eastAsia" w:ascii="仿宋_GB2312" w:hAnsi="仿宋_GB2312" w:eastAsia="仿宋_GB2312" w:cs="仿宋_GB2312"/>
          <w:color w:val="auto"/>
          <w:kern w:val="2"/>
          <w:sz w:val="32"/>
          <w:szCs w:val="24"/>
          <w:lang w:val="en-US" w:eastAsia="zh-CN" w:bidi="ar-SA"/>
        </w:rPr>
        <w:t>，</w:t>
      </w:r>
      <w:r>
        <w:rPr>
          <w:rFonts w:hint="eastAsia" w:ascii="仿宋_GB2312" w:hAnsi="仿宋_GB2312" w:eastAsia="仿宋_GB2312" w:cs="仿宋_GB2312"/>
          <w:b w:val="0"/>
          <w:bCs w:val="0"/>
          <w:color w:val="auto"/>
          <w:kern w:val="2"/>
          <w:sz w:val="32"/>
          <w:szCs w:val="32"/>
          <w:highlight w:val="none"/>
          <w:lang w:val="en-US" w:eastAsia="zh-CN" w:bidi="ar-SA"/>
        </w:rPr>
        <w:t>符合评分标准，</w:t>
      </w:r>
      <w:r>
        <w:rPr>
          <w:rFonts w:hint="eastAsia" w:ascii="仿宋_GB2312" w:hAnsi="仿宋_GB2312" w:eastAsia="仿宋_GB2312" w:cs="仿宋_GB2312"/>
          <w:b w:val="0"/>
          <w:bCs/>
          <w:color w:val="auto"/>
          <w:kern w:val="2"/>
          <w:sz w:val="32"/>
          <w:szCs w:val="32"/>
          <w:highlight w:val="none"/>
          <w:lang w:val="en-US" w:eastAsia="zh-CN" w:bidi="ar-SA"/>
        </w:rPr>
        <w:t>指标得</w:t>
      </w:r>
      <w:r>
        <w:rPr>
          <w:rFonts w:hint="eastAsia" w:ascii="仿宋_GB2312" w:hAnsi="仿宋_GB2312" w:eastAsia="仿宋_GB2312" w:cs="仿宋_GB2312"/>
          <w:b w:val="0"/>
          <w:bCs w:val="0"/>
          <w:color w:val="auto"/>
          <w:kern w:val="2"/>
          <w:sz w:val="32"/>
          <w:szCs w:val="32"/>
          <w:highlight w:val="none"/>
          <w:lang w:val="en-US" w:eastAsia="zh-CN" w:bidi="ar-SA"/>
        </w:rPr>
        <w:t>分</w:t>
      </w:r>
      <w:r>
        <w:rPr>
          <w:rFonts w:hint="eastAsia" w:ascii="Times New Roman" w:hAnsi="Times New Roman" w:eastAsia="仿宋_GB2312" w:cs="Times New Roman"/>
          <w:bCs/>
          <w:color w:val="auto"/>
          <w:sz w:val="32"/>
          <w:szCs w:val="32"/>
          <w:highlight w:val="none"/>
          <w:lang w:val="en-US" w:eastAsia="zh-CN"/>
        </w:rPr>
        <w:t>4分。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960" w:name="_Toc27763"/>
      <w:bookmarkStart w:id="961" w:name="_Toc26647"/>
      <w:bookmarkStart w:id="962" w:name="_Toc21416"/>
      <w:bookmarkStart w:id="963" w:name="_Toc14579"/>
      <w:bookmarkStart w:id="964" w:name="_Toc12913"/>
      <w:r>
        <w:rPr>
          <w:rFonts w:hint="eastAsia" w:cs="仿宋_GB2312"/>
          <w:b/>
          <w:color w:val="auto"/>
          <w:szCs w:val="32"/>
          <w:highlight w:val="none"/>
          <w:lang w:val="en-US" w:eastAsia="zh-CN"/>
        </w:rPr>
        <w:t>（2）验收、移交及时性</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w:t>
      </w:r>
      <w:bookmarkEnd w:id="960"/>
      <w:bookmarkEnd w:id="961"/>
      <w:bookmarkEnd w:id="962"/>
      <w:bookmarkEnd w:id="963"/>
      <w:bookmarkEnd w:id="964"/>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default" w:ascii="仿宋_GB2312" w:hAnsi="仿宋_GB2312" w:eastAsia="仿宋_GB2312" w:cs="仿宋_GB2312"/>
          <w:b w:val="0"/>
          <w:bCs w:val="0"/>
          <w:color w:val="auto"/>
          <w:sz w:val="32"/>
          <w:szCs w:val="32"/>
          <w:highlight w:val="none"/>
          <w:lang w:val="en-US" w:eastAsia="zh-CN"/>
        </w:rPr>
      </w:pPr>
      <w:r>
        <w:rPr>
          <w:rFonts w:hint="eastAsia" w:cs="仿宋_GB2312"/>
          <w:b w:val="0"/>
          <w:bCs w:val="0"/>
          <w:color w:val="auto"/>
          <w:sz w:val="32"/>
          <w:szCs w:val="32"/>
          <w:highlight w:val="none"/>
          <w:lang w:val="en-US" w:eastAsia="zh-CN"/>
        </w:rPr>
        <w:t>经评价组查阅项目相关资料及实地调研，</w:t>
      </w:r>
      <w:r>
        <w:rPr>
          <w:rFonts w:hint="eastAsia" w:cs="仿宋_GB2312"/>
          <w:color w:val="auto"/>
          <w:lang w:val="en-US" w:eastAsia="zh-CN"/>
        </w:rPr>
        <w:t>城中区总寨塬智能温室园区道路工程和排水工程项目于</w:t>
      </w:r>
      <w:r>
        <w:rPr>
          <w:rFonts w:hint="eastAsia" w:ascii="Times New Roman" w:hAnsi="Times New Roman" w:eastAsia="仿宋_GB2312" w:cs="Times New Roman"/>
          <w:bCs/>
          <w:color w:val="auto"/>
          <w:sz w:val="32"/>
          <w:szCs w:val="32"/>
          <w:highlight w:val="none"/>
          <w:lang w:val="en-US" w:eastAsia="zh-CN"/>
        </w:rPr>
        <w:t>2020年12</w:t>
      </w:r>
      <w:r>
        <w:rPr>
          <w:rFonts w:hint="eastAsia" w:cs="仿宋_GB2312"/>
          <w:color w:val="auto"/>
          <w:lang w:val="en-US" w:eastAsia="zh-CN"/>
        </w:rPr>
        <w:t>月底前完成项目验收并投入运营。与项目负责人访谈了解到，项目建成验收后将整体移交至总寨塬智能温室园区进行后期管护，但截至评价组调研期间，城中区农业农村和乡村振兴局尚未与总寨塬温室园区进行管护权交接，项目移交不及时。</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Times New Roman" w:hAnsi="Times New Roman" w:eastAsia="仿宋_GB2312" w:cs="Times New Roman"/>
          <w:bCs/>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color w:val="auto"/>
          <w:lang w:val="en-US" w:eastAsia="zh-CN"/>
        </w:rPr>
        <w:t>城中区总寨塬智能温室园区道路工程和排水工程项目验收及时，但项目验收至今尚未完成后期管护交接，项目移交不及时，不</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Times New Roman" w:hAnsi="Times New Roman" w:eastAsia="仿宋_GB2312" w:cs="Times New Roman"/>
          <w:bCs/>
          <w:color w:val="auto"/>
          <w:sz w:val="32"/>
          <w:szCs w:val="32"/>
          <w:highlight w:val="none"/>
          <w:lang w:val="en-US" w:eastAsia="zh-CN"/>
        </w:rPr>
        <w:t>扣2分，指标得分2分。</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textAlignment w:val="auto"/>
        <w:outlineLvl w:val="2"/>
        <w:rPr>
          <w:rFonts w:hint="eastAsia" w:cs="Times New Roman"/>
          <w:color w:val="auto"/>
          <w:lang w:val="en-US" w:eastAsia="zh-CN"/>
        </w:rPr>
      </w:pPr>
      <w:bookmarkStart w:id="965" w:name="_Toc30044"/>
      <w:bookmarkStart w:id="966" w:name="_Toc30691"/>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成本</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6</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6</w:t>
      </w:r>
      <w:r>
        <w:rPr>
          <w:rFonts w:hint="eastAsia" w:ascii="仿宋_GB2312" w:hAnsi="仿宋_GB2312" w:eastAsia="仿宋_GB2312" w:cs="仿宋_GB2312"/>
          <w:b/>
          <w:color w:val="auto"/>
          <w:szCs w:val="32"/>
          <w:highlight w:val="none"/>
          <w:lang w:val="en-US" w:eastAsia="zh-CN"/>
        </w:rPr>
        <w:t>分）</w:t>
      </w:r>
      <w:bookmarkEnd w:id="965"/>
      <w:bookmarkEnd w:id="966"/>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967" w:name="_Toc30064"/>
      <w:bookmarkStart w:id="968" w:name="_Toc957"/>
      <w:bookmarkStart w:id="969" w:name="_Toc25536"/>
      <w:bookmarkStart w:id="970" w:name="_Toc6448"/>
      <w:bookmarkStart w:id="971" w:name="_Toc30268"/>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1</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成本节约率</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6</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6</w:t>
      </w:r>
      <w:r>
        <w:rPr>
          <w:rFonts w:hint="eastAsia" w:ascii="仿宋_GB2312" w:hAnsi="仿宋_GB2312" w:eastAsia="仿宋_GB2312" w:cs="仿宋_GB2312"/>
          <w:b/>
          <w:color w:val="auto"/>
          <w:szCs w:val="32"/>
          <w:highlight w:val="none"/>
          <w:lang w:val="en-US" w:eastAsia="zh-CN"/>
        </w:rPr>
        <w:t>分）</w:t>
      </w:r>
      <w:bookmarkEnd w:id="967"/>
      <w:bookmarkEnd w:id="968"/>
      <w:bookmarkEnd w:id="969"/>
      <w:bookmarkEnd w:id="970"/>
      <w:bookmarkEnd w:id="971"/>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rPr>
          <w:rFonts w:hint="eastAsia" w:ascii="Times New Roman" w:hAnsi="Times New Roman" w:eastAsia="仿宋_GB2312" w:cs="Times New Roman"/>
          <w:bCs/>
          <w:color w:val="auto"/>
          <w:sz w:val="32"/>
          <w:szCs w:val="32"/>
          <w:highlight w:val="none"/>
          <w:lang w:val="en-US" w:eastAsia="zh-CN"/>
        </w:rPr>
      </w:pPr>
      <w:r>
        <w:rPr>
          <w:rFonts w:hint="eastAsia" w:cs="仿宋_GB2312"/>
          <w:color w:val="auto"/>
          <w:lang w:val="en-US" w:eastAsia="zh-CN"/>
        </w:rPr>
        <w:t>城中区总寨塬智能温室园区道路工程和排水工程项目预算总投资</w:t>
      </w:r>
      <w:r>
        <w:rPr>
          <w:rFonts w:hint="eastAsia" w:ascii="Times New Roman" w:hAnsi="Times New Roman" w:eastAsia="仿宋_GB2312" w:cs="Times New Roman"/>
          <w:bCs/>
          <w:color w:val="auto"/>
          <w:sz w:val="32"/>
          <w:szCs w:val="32"/>
          <w:highlight w:val="none"/>
          <w:lang w:val="en-US" w:eastAsia="zh-CN"/>
        </w:rPr>
        <w:t>387.85万元，项目实际总投资341.82万元，预算成本执行结果未超支，成本节约率为11.87%。</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楷体_GB2312" w:hAnsi="楷体_GB2312" w:eastAsia="楷体_GB2312" w:cs="楷体_GB2312"/>
          <w:b/>
          <w:bCs/>
          <w:color w:val="auto"/>
          <w:szCs w:val="32"/>
          <w:lang w:val="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color w:val="auto"/>
          <w:lang w:val="en-US" w:eastAsia="zh-CN"/>
        </w:rPr>
        <w:t>城中区总寨塬智能温室园区道路工程和排水工程项目</w:t>
      </w:r>
      <w:r>
        <w:rPr>
          <w:rFonts w:hint="eastAsia" w:ascii="仿宋_GB2312" w:hAnsi="仿宋_GB2312" w:eastAsia="仿宋_GB2312" w:cs="仿宋_GB2312"/>
          <w:b w:val="0"/>
          <w:bCs w:val="0"/>
          <w:color w:val="auto"/>
          <w:sz w:val="32"/>
          <w:szCs w:val="32"/>
          <w:highlight w:val="none"/>
          <w:lang w:val="en-US" w:eastAsia="zh-CN"/>
        </w:rPr>
        <w:t>预算成本执行结果未超支</w:t>
      </w:r>
      <w:r>
        <w:rPr>
          <w:rFonts w:hint="eastAsia" w:cs="仿宋_GB2312"/>
          <w:b w:val="0"/>
          <w:bCs w:val="0"/>
          <w:color w:val="auto"/>
          <w:sz w:val="32"/>
          <w:szCs w:val="32"/>
          <w:highlight w:val="none"/>
          <w:lang w:val="en-US" w:eastAsia="zh-CN"/>
        </w:rPr>
        <w:t>，成本节约率为</w:t>
      </w:r>
      <w:r>
        <w:rPr>
          <w:rFonts w:hint="eastAsia" w:ascii="Times New Roman" w:hAnsi="Times New Roman" w:eastAsia="仿宋_GB2312" w:cs="Times New Roman"/>
          <w:bCs/>
          <w:color w:val="auto"/>
          <w:sz w:val="32"/>
          <w:szCs w:val="32"/>
          <w:highlight w:val="none"/>
          <w:lang w:val="en-US" w:eastAsia="zh-CN"/>
        </w:rPr>
        <w:t>11.87%，符合评分标准，指标得分6分。</w:t>
      </w:r>
    </w:p>
    <w:p>
      <w:pPr>
        <w:pageBreakBefore w:val="0"/>
        <w:overflowPunct/>
        <w:topLinePunct w:val="0"/>
        <w:bidi w:val="0"/>
        <w:spacing w:line="576" w:lineRule="exact"/>
        <w:ind w:left="0" w:leftChars="0" w:firstLine="643"/>
        <w:outlineLvl w:val="1"/>
        <w:rPr>
          <w:rFonts w:hint="eastAsia" w:ascii="楷体_GB2312" w:hAnsi="楷体_GB2312" w:eastAsia="楷体_GB2312" w:cs="楷体_GB2312"/>
          <w:b/>
          <w:bCs/>
          <w:color w:val="auto"/>
          <w:szCs w:val="32"/>
          <w:lang w:val="en-US" w:eastAsia="zh-CN"/>
        </w:rPr>
      </w:pPr>
      <w:bookmarkStart w:id="972" w:name="_Toc23530"/>
      <w:bookmarkStart w:id="973" w:name="_Toc17120"/>
      <w:bookmarkStart w:id="974" w:name="_Toc30475"/>
      <w:bookmarkStart w:id="975" w:name="_Toc8501"/>
      <w:bookmarkStart w:id="976" w:name="_Toc18257"/>
      <w:r>
        <w:rPr>
          <w:rFonts w:hint="eastAsia" w:ascii="楷体_GB2312" w:hAnsi="楷体_GB2312" w:eastAsia="楷体_GB2312" w:cs="楷体_GB2312"/>
          <w:b/>
          <w:bCs/>
          <w:color w:val="auto"/>
          <w:szCs w:val="32"/>
          <w:lang w:val="zh-CN"/>
        </w:rPr>
        <w:t>（四）项目效益情况</w:t>
      </w:r>
      <w:bookmarkEnd w:id="926"/>
      <w:bookmarkEnd w:id="927"/>
      <w:bookmarkEnd w:id="928"/>
      <w:r>
        <w:rPr>
          <w:rFonts w:hint="eastAsia" w:ascii="楷体_GB2312" w:hAnsi="楷体_GB2312" w:eastAsia="楷体_GB2312" w:cs="楷体_GB2312"/>
          <w:b/>
          <w:bCs/>
          <w:color w:val="auto"/>
          <w:szCs w:val="32"/>
          <w:lang w:val="en-US" w:eastAsia="zh-CN"/>
        </w:rPr>
        <w:t>（指标分值35分）（得分34分）</w:t>
      </w:r>
      <w:bookmarkEnd w:id="972"/>
      <w:bookmarkEnd w:id="973"/>
      <w:bookmarkEnd w:id="974"/>
      <w:bookmarkEnd w:id="975"/>
      <w:bookmarkEnd w:id="976"/>
    </w:p>
    <w:p>
      <w:pPr>
        <w:pageBreakBefore w:val="0"/>
        <w:overflowPunct/>
        <w:topLinePunct w:val="0"/>
        <w:bidi w:val="0"/>
        <w:spacing w:line="576" w:lineRule="exact"/>
        <w:ind w:left="0" w:leftChars="0"/>
        <w:rPr>
          <w:rFonts w:hint="eastAsia" w:cs="Times New Roman"/>
          <w:color w:val="auto"/>
        </w:rPr>
      </w:pPr>
      <w:r>
        <w:rPr>
          <w:rFonts w:hint="eastAsia" w:cs="仿宋_GB2312"/>
          <w:color w:val="auto"/>
          <w:lang w:val="en-US" w:eastAsia="zh-CN"/>
        </w:rPr>
        <w:t>西宁市城中区总寨塬智能温室园区道路工程和排水工程</w:t>
      </w:r>
      <w:r>
        <w:rPr>
          <w:rFonts w:hint="eastAsia" w:cs="仿宋_GB2312"/>
          <w:color w:val="auto"/>
        </w:rPr>
        <w:t>项目</w:t>
      </w:r>
      <w:r>
        <w:rPr>
          <w:rFonts w:hint="eastAsia" w:cs="Times New Roman"/>
          <w:color w:val="auto"/>
        </w:rPr>
        <w:t>绩效评价</w:t>
      </w:r>
      <w:r>
        <w:rPr>
          <w:rFonts w:hint="eastAsia" w:cs="Times New Roman"/>
          <w:color w:val="auto"/>
          <w:lang w:val="en-US" w:eastAsia="zh-CN"/>
        </w:rPr>
        <w:t>效益</w:t>
      </w:r>
      <w:r>
        <w:rPr>
          <w:rFonts w:hint="eastAsia" w:cs="Times New Roman"/>
          <w:color w:val="auto"/>
        </w:rPr>
        <w:t>类指标得分情况如下表所示：</w:t>
      </w:r>
    </w:p>
    <w:p>
      <w:pPr>
        <w:pageBreakBefore w:val="0"/>
        <w:overflowPunct/>
        <w:topLinePunct w:val="0"/>
        <w:autoSpaceDE w:val="0"/>
        <w:autoSpaceDN w:val="0"/>
        <w:bidi w:val="0"/>
        <w:spacing w:line="576" w:lineRule="exact"/>
        <w:ind w:left="0" w:leftChars="0" w:firstLine="643"/>
        <w:jc w:val="center"/>
        <w:outlineLvl w:val="9"/>
        <w:rPr>
          <w:rFonts w:hint="eastAsia" w:ascii="宋体" w:eastAsia="宋体" w:cs="Times New Roman"/>
          <w:b/>
          <w:bCs/>
          <w:color w:val="auto"/>
          <w:sz w:val="28"/>
          <w:szCs w:val="28"/>
        </w:rPr>
      </w:pPr>
      <w:r>
        <w:rPr>
          <w:rFonts w:hint="eastAsia" w:ascii="宋体" w:eastAsia="宋体" w:cs="Times New Roman"/>
          <w:b/>
          <w:bCs/>
          <w:color w:val="auto"/>
          <w:sz w:val="28"/>
          <w:szCs w:val="28"/>
        </w:rPr>
        <w:t>表</w:t>
      </w:r>
      <w:r>
        <w:rPr>
          <w:rFonts w:hint="eastAsia" w:ascii="宋体" w:eastAsia="宋体" w:cs="Times New Roman"/>
          <w:b/>
          <w:bCs/>
          <w:color w:val="auto"/>
          <w:sz w:val="28"/>
          <w:szCs w:val="28"/>
          <w:lang w:val="en-US" w:eastAsia="zh-CN"/>
        </w:rPr>
        <w:t>7</w:t>
      </w:r>
      <w:r>
        <w:rPr>
          <w:rFonts w:hint="eastAsia" w:ascii="宋体" w:eastAsia="宋体" w:cs="Times New Roman"/>
          <w:b/>
          <w:bCs/>
          <w:color w:val="auto"/>
          <w:sz w:val="28"/>
          <w:szCs w:val="28"/>
        </w:rPr>
        <w:t xml:space="preserve"> 项目</w:t>
      </w:r>
      <w:r>
        <w:rPr>
          <w:rFonts w:hint="eastAsia" w:ascii="宋体" w:eastAsia="宋体" w:cs="Times New Roman"/>
          <w:b/>
          <w:bCs/>
          <w:color w:val="auto"/>
          <w:sz w:val="28"/>
          <w:szCs w:val="28"/>
          <w:lang w:val="en-US" w:eastAsia="zh-CN"/>
        </w:rPr>
        <w:t>效益</w:t>
      </w:r>
      <w:r>
        <w:rPr>
          <w:rFonts w:hint="eastAsia" w:ascii="宋体" w:eastAsia="宋体" w:cs="Times New Roman"/>
          <w:b/>
          <w:bCs/>
          <w:color w:val="auto"/>
          <w:sz w:val="28"/>
          <w:szCs w:val="28"/>
        </w:rPr>
        <w:t>类各项指标绩效评价得分表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2336"/>
        <w:gridCol w:w="3438"/>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tcBorders>
              <w:top w:val="double" w:color="000000" w:sz="4" w:space="0"/>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1289" w:type="pct"/>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1897" w:type="pct"/>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655" w:type="pct"/>
            <w:tcBorders>
              <w:top w:val="double" w:color="000000" w:sz="4" w:space="0"/>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restart"/>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效益</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97.14</w:t>
            </w:r>
            <w:r>
              <w:rPr>
                <w:rFonts w:hint="eastAsia" w:ascii="宋体" w:hAnsi="宋体" w:eastAsia="宋体" w:cs="宋体"/>
                <w:bCs/>
                <w:color w:val="auto"/>
                <w:sz w:val="24"/>
                <w:szCs w:val="22"/>
                <w:highlight w:val="none"/>
              </w:rPr>
              <w:t>%</w:t>
            </w: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经济效益</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1897"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bCs/>
                <w:i w:val="0"/>
                <w:iCs w:val="0"/>
                <w:color w:val="auto"/>
                <w:sz w:val="24"/>
                <w:szCs w:val="22"/>
                <w:highlight w:val="none"/>
                <w:lang w:val="en-US" w:eastAsia="zh-CN"/>
              </w:rPr>
            </w:pPr>
            <w:r>
              <w:rPr>
                <w:rFonts w:hint="eastAsia" w:ascii="宋体" w:hAnsi="宋体" w:eastAsia="宋体" w:cs="宋体"/>
                <w:bCs/>
                <w:i w:val="0"/>
                <w:iCs w:val="0"/>
                <w:color w:val="auto"/>
                <w:sz w:val="24"/>
                <w:szCs w:val="22"/>
                <w:highlight w:val="none"/>
                <w:lang w:val="en-US" w:eastAsia="zh-CN"/>
              </w:rPr>
              <w:t>稳定蔬菜价格</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897"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bCs/>
                <w:i w:val="0"/>
                <w:iCs w:val="0"/>
                <w:color w:val="auto"/>
                <w:kern w:val="2"/>
                <w:sz w:val="24"/>
                <w:szCs w:val="22"/>
                <w:highlight w:val="none"/>
                <w:lang w:val="en-US" w:eastAsia="zh-CN" w:bidi="ar-SA"/>
              </w:rPr>
            </w:pPr>
            <w:r>
              <w:rPr>
                <w:rFonts w:hint="eastAsia" w:ascii="宋体" w:hAnsi="宋体" w:eastAsia="宋体" w:cs="宋体"/>
                <w:bCs/>
                <w:i w:val="0"/>
                <w:iCs w:val="0"/>
                <w:color w:val="auto"/>
                <w:kern w:val="2"/>
                <w:sz w:val="24"/>
                <w:szCs w:val="22"/>
                <w:highlight w:val="none"/>
                <w:lang w:val="en-US" w:eastAsia="zh-CN" w:bidi="ar-SA"/>
              </w:rPr>
              <w:t>提高农民经济收入</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kern w:val="2"/>
                <w:sz w:val="24"/>
                <w:szCs w:val="22"/>
                <w:highlight w:val="none"/>
                <w:lang w:val="en-US" w:eastAsia="zh-CN" w:bidi="ar-SA"/>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社会效益</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eastAsia="zh-CN"/>
              </w:rPr>
              <w:t>：</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189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bCs/>
                <w:i w:val="0"/>
                <w:iCs w:val="0"/>
                <w:color w:val="auto"/>
                <w:sz w:val="24"/>
                <w:szCs w:val="22"/>
                <w:highlight w:val="none"/>
                <w:lang w:val="en-US" w:eastAsia="zh-CN"/>
              </w:rPr>
            </w:pPr>
            <w:r>
              <w:rPr>
                <w:rFonts w:hint="eastAsia" w:ascii="宋体" w:hAnsi="宋体" w:eastAsia="宋体" w:cs="宋体"/>
                <w:bCs/>
                <w:i w:val="0"/>
                <w:iCs w:val="0"/>
                <w:color w:val="auto"/>
                <w:sz w:val="24"/>
                <w:szCs w:val="22"/>
                <w:highlight w:val="none"/>
                <w:lang w:val="en-US" w:eastAsia="zh-CN"/>
              </w:rPr>
              <w:t>保障蔬菜供给</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89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促进温室产业发展</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生态效益</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eastAsia="zh-CN"/>
              </w:rPr>
              <w:t>：</w:t>
            </w:r>
            <w:r>
              <w:rPr>
                <w:rFonts w:hint="eastAsia" w:ascii="宋体" w:hAnsi="宋体" w:eastAsia="宋体" w:cs="宋体"/>
                <w:bCs/>
                <w:color w:val="auto"/>
                <w:sz w:val="24"/>
                <w:szCs w:val="22"/>
                <w:highlight w:val="none"/>
                <w:lang w:val="en-US" w:eastAsia="zh-CN"/>
              </w:rPr>
              <w:t>88.89</w:t>
            </w:r>
            <w:r>
              <w:rPr>
                <w:rFonts w:hint="eastAsia" w:ascii="宋体" w:hAnsi="宋体" w:eastAsia="宋体" w:cs="宋体"/>
                <w:bCs/>
                <w:color w:val="auto"/>
                <w:sz w:val="24"/>
                <w:szCs w:val="22"/>
                <w:highlight w:val="none"/>
              </w:rPr>
              <w:t>%</w:t>
            </w:r>
          </w:p>
        </w:tc>
        <w:tc>
          <w:tcPr>
            <w:tcW w:w="189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bCs/>
                <w:i w:val="0"/>
                <w:iCs w:val="0"/>
                <w:color w:val="auto"/>
                <w:sz w:val="24"/>
                <w:szCs w:val="22"/>
                <w:highlight w:val="none"/>
                <w:lang w:val="en-US" w:eastAsia="zh-CN"/>
              </w:rPr>
            </w:pPr>
            <w:r>
              <w:rPr>
                <w:rFonts w:hint="eastAsia" w:ascii="宋体" w:hAnsi="宋体" w:eastAsia="宋体" w:cs="宋体"/>
                <w:bCs/>
                <w:i w:val="0"/>
                <w:iCs w:val="0"/>
                <w:color w:val="auto"/>
                <w:sz w:val="24"/>
                <w:szCs w:val="22"/>
                <w:highlight w:val="none"/>
                <w:lang w:val="en-US" w:eastAsia="zh-CN"/>
              </w:rPr>
              <w:t>提高自然灾害抵御能力</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89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改善农业生产环境</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89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提高土地资源利用率</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可持续影响</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eastAsia="zh-CN"/>
              </w:rPr>
              <w:t>：</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1897"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推动绿色生态农业建设</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897"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促进人民安居乐业</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满意度</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eastAsia="zh-CN"/>
              </w:rPr>
              <w:t>：</w:t>
            </w:r>
            <w:r>
              <w:rPr>
                <w:rFonts w:hint="eastAsia" w:ascii="宋体" w:hAnsi="宋体" w:eastAsia="宋体" w:cs="宋体"/>
                <w:bCs/>
                <w:color w:val="auto"/>
                <w:sz w:val="24"/>
                <w:szCs w:val="22"/>
                <w:highlight w:val="none"/>
                <w:lang w:val="en-US" w:eastAsia="zh-CN"/>
              </w:rPr>
              <w:t>100</w:t>
            </w:r>
            <w:r>
              <w:rPr>
                <w:rFonts w:hint="eastAsia" w:ascii="宋体" w:hAnsi="宋体" w:eastAsia="宋体" w:cs="宋体"/>
                <w:bCs/>
                <w:color w:val="auto"/>
                <w:sz w:val="24"/>
                <w:szCs w:val="22"/>
                <w:highlight w:val="none"/>
              </w:rPr>
              <w:t>%</w:t>
            </w:r>
          </w:p>
        </w:tc>
        <w:tc>
          <w:tcPr>
            <w:tcW w:w="1897"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工作人员满意度</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897"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受益群体满意度</w:t>
            </w:r>
          </w:p>
        </w:tc>
        <w:tc>
          <w:tcPr>
            <w:tcW w:w="655"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44" w:type="pct"/>
            <w:gridSpan w:val="3"/>
            <w:tcBorders>
              <w:left w:val="nil"/>
              <w:bottom w:val="doub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val="en-US" w:eastAsia="zh-CN"/>
              </w:rPr>
              <w:t>效益</w:t>
            </w:r>
            <w:r>
              <w:rPr>
                <w:rFonts w:hint="eastAsia" w:ascii="宋体" w:hAnsi="宋体" w:eastAsia="宋体" w:cs="宋体"/>
                <w:b/>
                <w:color w:val="auto"/>
                <w:sz w:val="24"/>
                <w:szCs w:val="22"/>
                <w:highlight w:val="none"/>
              </w:rPr>
              <w:t>”情况评级</w:t>
            </w:r>
          </w:p>
        </w:tc>
        <w:tc>
          <w:tcPr>
            <w:tcW w:w="655" w:type="pct"/>
            <w:tcBorders>
              <w:bottom w:val="doub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优</w:t>
            </w:r>
          </w:p>
        </w:tc>
      </w:tr>
    </w:tbl>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textAlignment w:val="auto"/>
        <w:outlineLvl w:val="2"/>
        <w:rPr>
          <w:rFonts w:hint="eastAsia" w:ascii="仿宋_GB2312" w:hAnsi="仿宋_GB2312" w:eastAsia="仿宋_GB2312" w:cs="仿宋_GB2312"/>
          <w:b/>
          <w:color w:val="auto"/>
          <w:szCs w:val="32"/>
          <w:highlight w:val="none"/>
          <w:lang w:val="en-US" w:eastAsia="zh-CN"/>
        </w:rPr>
      </w:pPr>
      <w:bookmarkStart w:id="977" w:name="_Toc1830"/>
      <w:bookmarkStart w:id="978" w:name="_Toc29336"/>
      <w:r>
        <w:rPr>
          <w:rFonts w:hint="eastAsia" w:ascii="仿宋_GB2312" w:hAnsi="仿宋_GB2312" w:eastAsia="仿宋_GB2312" w:cs="仿宋_GB2312"/>
          <w:b/>
          <w:color w:val="auto"/>
          <w:szCs w:val="32"/>
          <w:highlight w:val="none"/>
          <w:lang w:val="en-US" w:eastAsia="zh-CN"/>
        </w:rPr>
        <w:t>1.</w:t>
      </w:r>
      <w:r>
        <w:rPr>
          <w:rFonts w:hint="eastAsia" w:cs="仿宋_GB2312"/>
          <w:b/>
          <w:color w:val="auto"/>
          <w:szCs w:val="32"/>
          <w:highlight w:val="none"/>
          <w:lang w:val="en-US" w:eastAsia="zh-CN"/>
        </w:rPr>
        <w:t>经济效益</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6</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6</w:t>
      </w:r>
      <w:r>
        <w:rPr>
          <w:rFonts w:hint="eastAsia" w:ascii="仿宋_GB2312" w:hAnsi="仿宋_GB2312" w:eastAsia="仿宋_GB2312" w:cs="仿宋_GB2312"/>
          <w:b/>
          <w:color w:val="auto"/>
          <w:szCs w:val="32"/>
          <w:highlight w:val="none"/>
          <w:lang w:val="en-US" w:eastAsia="zh-CN"/>
        </w:rPr>
        <w:t>分）</w:t>
      </w:r>
      <w:bookmarkEnd w:id="977"/>
      <w:bookmarkEnd w:id="978"/>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979" w:name="_Toc14728"/>
      <w:bookmarkStart w:id="980" w:name="_Toc4874"/>
      <w:bookmarkStart w:id="981" w:name="_Toc22414"/>
      <w:bookmarkStart w:id="982" w:name="_Toc9967"/>
      <w:bookmarkStart w:id="983" w:name="_Toc10270"/>
      <w:r>
        <w:rPr>
          <w:rFonts w:hint="eastAsia" w:ascii="仿宋_GB2312" w:hAnsi="仿宋_GB2312" w:eastAsia="仿宋_GB2312" w:cs="仿宋_GB2312"/>
          <w:b/>
          <w:color w:val="auto"/>
          <w:szCs w:val="32"/>
          <w:highlight w:val="none"/>
          <w:lang w:val="en-US" w:eastAsia="zh-CN"/>
        </w:rPr>
        <w:t>（1）</w:t>
      </w:r>
      <w:r>
        <w:rPr>
          <w:rFonts w:hint="eastAsia" w:cs="仿宋_GB2312"/>
          <w:b/>
          <w:color w:val="auto"/>
          <w:szCs w:val="32"/>
          <w:highlight w:val="none"/>
          <w:lang w:val="en-US" w:eastAsia="zh-CN"/>
        </w:rPr>
        <w:t>稳定蔬菜价格</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w:t>
      </w:r>
      <w:bookmarkEnd w:id="979"/>
      <w:bookmarkEnd w:id="980"/>
      <w:bookmarkEnd w:id="981"/>
      <w:bookmarkEnd w:id="982"/>
      <w:bookmarkEnd w:id="983"/>
    </w:p>
    <w:p>
      <w:pPr>
        <w:pageBreakBefore w:val="0"/>
        <w:overflowPunct/>
        <w:topLinePunct w:val="0"/>
        <w:bidi w:val="0"/>
        <w:spacing w:line="576" w:lineRule="exact"/>
        <w:ind w:left="0" w:leftChars="0"/>
        <w:outlineLvl w:val="9"/>
        <w:rPr>
          <w:rFonts w:hint="eastAsia" w:cs="Times New Roman"/>
          <w:color w:val="auto"/>
          <w:lang w:val="en-US" w:eastAsia="zh-CN"/>
        </w:rPr>
      </w:pPr>
      <w:r>
        <w:rPr>
          <w:rFonts w:hint="eastAsia" w:cs="仿宋_GB2312"/>
          <w:color w:val="auto"/>
          <w:lang w:val="en-US" w:eastAsia="zh-CN"/>
        </w:rPr>
        <w:t>经实地调研了解，城中区总寨塬智能温室园区道路工程和排水工程</w:t>
      </w:r>
      <w:r>
        <w:rPr>
          <w:rFonts w:hint="eastAsia" w:cs="仿宋_GB2312"/>
          <w:color w:val="auto"/>
        </w:rPr>
        <w:t>项目</w:t>
      </w:r>
      <w:r>
        <w:rPr>
          <w:rFonts w:hint="eastAsia" w:cs="仿宋_GB2312"/>
          <w:color w:val="auto"/>
          <w:lang w:val="en-US" w:eastAsia="zh-CN"/>
        </w:rPr>
        <w:t>建成后，完善了园区温棚排水系统，顺利将积水引入沟渠，改善了园区原有道路雨雪天气过后道路泥泞、出行困难的局面。蔬菜属于居民生活基本消费品，又是不耐储藏的鲜活农产品，蔬菜价格极易受到异常天气、供给端的变化和突发因素影响，导致价格波动，而新建干线支线道路平整宽阔，完全满足大型蔬菜运输车辆通行，提高了园区道路运输能力，保障了园区棚产蔬菜及时足量上市，确保了西宁城乡市场蔬菜供应，有效稳定了蔬菜市场价格。</w:t>
      </w:r>
    </w:p>
    <w:p>
      <w:pPr>
        <w:keepNext w:val="0"/>
        <w:keepLines w:val="0"/>
        <w:pageBreakBefore w:val="0"/>
        <w:widowControl w:val="0"/>
        <w:kinsoku/>
        <w:wordWrap/>
        <w:overflowPunct/>
        <w:topLinePunct w:val="0"/>
        <w:autoSpaceDE/>
        <w:autoSpaceDN/>
        <w:bidi w:val="0"/>
        <w:adjustRightInd/>
        <w:snapToGrid/>
        <w:spacing w:line="576" w:lineRule="exact"/>
        <w:ind w:left="0" w:leftChars="0"/>
        <w:textAlignment w:val="auto"/>
        <w:outlineLvl w:val="9"/>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color w:val="auto"/>
          <w:lang w:val="en-US" w:eastAsia="zh-CN"/>
        </w:rPr>
        <w:t>城中区总寨塬智能温室园区道路工程和排水工程</w:t>
      </w:r>
      <w:r>
        <w:rPr>
          <w:rFonts w:hint="eastAsia" w:cs="仿宋_GB2312"/>
          <w:color w:val="auto"/>
        </w:rPr>
        <w:t>项目</w:t>
      </w:r>
      <w:r>
        <w:rPr>
          <w:rFonts w:hint="eastAsia" w:cs="仿宋_GB2312"/>
          <w:color w:val="auto"/>
          <w:lang w:val="en-US" w:eastAsia="zh-CN"/>
        </w:rPr>
        <w:t>建成后，能够满足大型蔬菜运输车辆通行，提高了园区道路运输能力，保障了园区棚产蔬菜及时足量上市，确保了西宁城乡市场蔬菜供应，有效稳定了蔬菜市场价格，</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Times New Roman" w:hAnsi="Times New Roman" w:eastAsia="仿宋_GB2312" w:cs="Times New Roman"/>
          <w:bCs/>
          <w:color w:val="auto"/>
          <w:sz w:val="32"/>
          <w:szCs w:val="32"/>
          <w:highlight w:val="none"/>
          <w:lang w:val="en-US" w:eastAsia="zh-CN"/>
        </w:rPr>
        <w:t>分3分。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984" w:name="_Toc7987"/>
      <w:bookmarkStart w:id="985" w:name="_Toc12315"/>
      <w:bookmarkStart w:id="986" w:name="_Toc1031"/>
      <w:bookmarkStart w:id="987" w:name="_Toc14183"/>
      <w:bookmarkStart w:id="988" w:name="_Toc30398"/>
      <w:r>
        <w:rPr>
          <w:rFonts w:hint="eastAsia" w:cs="仿宋_GB2312"/>
          <w:b/>
          <w:color w:val="auto"/>
          <w:szCs w:val="32"/>
          <w:highlight w:val="none"/>
          <w:lang w:val="en-US" w:eastAsia="zh-CN"/>
        </w:rPr>
        <w:t>（2）提高农民经济收入</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w:t>
      </w:r>
      <w:bookmarkEnd w:id="984"/>
      <w:bookmarkEnd w:id="985"/>
      <w:bookmarkEnd w:id="986"/>
      <w:bookmarkEnd w:id="987"/>
      <w:bookmarkEnd w:id="988"/>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right="0" w:firstLine="640" w:firstLineChars="200"/>
        <w:textAlignment w:val="auto"/>
        <w:rPr>
          <w:rFonts w:hint="default" w:ascii="Times New Roman" w:hAnsi="Times New Roman" w:eastAsia="仿宋_GB2312" w:cs="Times New Roman"/>
          <w:bCs/>
          <w:color w:val="auto"/>
          <w:sz w:val="32"/>
          <w:szCs w:val="32"/>
          <w:highlight w:val="none"/>
          <w:lang w:val="en-US" w:eastAsia="zh-CN"/>
        </w:rPr>
      </w:pPr>
      <w:r>
        <w:rPr>
          <w:rFonts w:hint="eastAsia" w:cs="仿宋_GB2312"/>
          <w:b w:val="0"/>
          <w:bCs w:val="0"/>
          <w:color w:val="auto"/>
          <w:sz w:val="32"/>
          <w:szCs w:val="32"/>
          <w:highlight w:val="none"/>
          <w:lang w:val="en-US" w:eastAsia="zh-CN"/>
        </w:rPr>
        <w:t>通过对园区大棚承包农户的问卷调查和现场访谈了解到，总寨塬过去以传统农作物种植为主，主要种植作物为小麦、油菜，受高原环境、气候和种植技术影响，传统作物一年一季且产量较低，如小麦亩均产量</w:t>
      </w:r>
      <w:r>
        <w:rPr>
          <w:rFonts w:hint="eastAsia" w:ascii="Times New Roman" w:hAnsi="Times New Roman" w:eastAsia="仿宋_GB2312" w:cs="Times New Roman"/>
          <w:bCs/>
          <w:color w:val="auto"/>
          <w:sz w:val="32"/>
          <w:szCs w:val="32"/>
          <w:highlight w:val="none"/>
          <w:lang w:val="en-US" w:eastAsia="zh-CN"/>
        </w:rPr>
        <w:t>400斤</w:t>
      </w:r>
      <w:r>
        <w:rPr>
          <w:rFonts w:hint="eastAsia" w:cs="仿宋_GB2312"/>
          <w:b w:val="0"/>
          <w:bCs w:val="0"/>
          <w:color w:val="auto"/>
          <w:sz w:val="32"/>
          <w:szCs w:val="32"/>
          <w:highlight w:val="none"/>
          <w:lang w:val="en-US" w:eastAsia="zh-CN"/>
        </w:rPr>
        <w:t>左右，产值不足</w:t>
      </w:r>
      <w:r>
        <w:rPr>
          <w:rFonts w:hint="eastAsia" w:ascii="Times New Roman" w:hAnsi="Times New Roman" w:eastAsia="仿宋_GB2312" w:cs="Times New Roman"/>
          <w:bCs/>
          <w:color w:val="auto"/>
          <w:sz w:val="32"/>
          <w:szCs w:val="32"/>
          <w:highlight w:val="none"/>
          <w:lang w:val="en-US" w:eastAsia="zh-CN"/>
        </w:rPr>
        <w:t>600元。经过土地流转建设设施温室大棚，农民土地流转收益每亩1000元/年，较传统农业种植模式收入明显提高。通过完善设施温室园区道路工程和排水系统配套设施，能够有效保障园区棚产蔬菜及时上市。温室大棚种植蔬菜一年可产2.5茬，按蔬菜产量和价格稳定计算，每棚年净收益可达4万元左右，大棚种植农户经济收入明显提升，经济效益显著。</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right="0" w:firstLine="640" w:firstLineChars="200"/>
        <w:textAlignment w:val="auto"/>
        <w:rPr>
          <w:rFonts w:hint="eastAsia"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根据评分标准，城中区总寨塬智能温室园区道路工程和排水工程项目实施后，完善了园区配套设施，保障了棚产蔬菜上市，农户经济收入提高，经济效益显著，符合评分标准，指标得分3分。</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textAlignment w:val="auto"/>
        <w:outlineLvl w:val="2"/>
        <w:rPr>
          <w:rFonts w:hint="eastAsia" w:ascii="仿宋_GB2312" w:hAnsi="仿宋_GB2312" w:eastAsia="仿宋_GB2312" w:cs="仿宋_GB2312"/>
          <w:b/>
          <w:color w:val="auto"/>
          <w:szCs w:val="32"/>
          <w:highlight w:val="none"/>
          <w:lang w:val="en-US" w:eastAsia="zh-CN"/>
        </w:rPr>
      </w:pPr>
      <w:bookmarkStart w:id="989" w:name="_Toc24053"/>
      <w:bookmarkStart w:id="990" w:name="_Toc15732"/>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社会效益</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6</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6</w:t>
      </w:r>
      <w:r>
        <w:rPr>
          <w:rFonts w:hint="eastAsia" w:ascii="仿宋_GB2312" w:hAnsi="仿宋_GB2312" w:eastAsia="仿宋_GB2312" w:cs="仿宋_GB2312"/>
          <w:b/>
          <w:color w:val="auto"/>
          <w:szCs w:val="32"/>
          <w:highlight w:val="none"/>
          <w:lang w:val="en-US" w:eastAsia="zh-CN"/>
        </w:rPr>
        <w:t>分）</w:t>
      </w:r>
      <w:bookmarkEnd w:id="989"/>
      <w:bookmarkEnd w:id="990"/>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991" w:name="_Toc5746"/>
      <w:bookmarkStart w:id="992" w:name="_Toc20070"/>
      <w:bookmarkStart w:id="993" w:name="_Toc872"/>
      <w:bookmarkStart w:id="994" w:name="_Toc9624"/>
      <w:bookmarkStart w:id="995" w:name="_Toc15355"/>
      <w:r>
        <w:rPr>
          <w:rFonts w:hint="eastAsia" w:ascii="仿宋_GB2312" w:hAnsi="仿宋_GB2312" w:eastAsia="仿宋_GB2312" w:cs="仿宋_GB2312"/>
          <w:b/>
          <w:color w:val="auto"/>
          <w:szCs w:val="32"/>
          <w:highlight w:val="none"/>
          <w:lang w:val="en-US" w:eastAsia="zh-CN"/>
        </w:rPr>
        <w:t>（1）</w:t>
      </w:r>
      <w:r>
        <w:rPr>
          <w:rFonts w:hint="eastAsia" w:cs="仿宋_GB2312"/>
          <w:b/>
          <w:color w:val="auto"/>
          <w:szCs w:val="32"/>
          <w:highlight w:val="none"/>
          <w:lang w:val="en-US" w:eastAsia="zh-CN"/>
        </w:rPr>
        <w:t>保障蔬菜供给</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w:t>
      </w:r>
      <w:bookmarkEnd w:id="991"/>
      <w:bookmarkEnd w:id="992"/>
      <w:bookmarkEnd w:id="993"/>
      <w:bookmarkEnd w:id="994"/>
      <w:bookmarkEnd w:id="995"/>
    </w:p>
    <w:p>
      <w:pPr>
        <w:pageBreakBefore w:val="0"/>
        <w:overflowPunct/>
        <w:topLinePunct w:val="0"/>
        <w:bidi w:val="0"/>
        <w:spacing w:line="576" w:lineRule="exact"/>
        <w:ind w:left="0" w:leftChars="0"/>
        <w:outlineLvl w:val="9"/>
        <w:rPr>
          <w:rFonts w:hint="default" w:cs="Times New Roman"/>
          <w:color w:val="auto"/>
          <w:lang w:val="en-US" w:eastAsia="zh-CN"/>
        </w:rPr>
      </w:pPr>
      <w:r>
        <w:rPr>
          <w:rFonts w:hint="eastAsia" w:cs="Times New Roman"/>
          <w:color w:val="auto"/>
          <w:lang w:val="en-US" w:eastAsia="zh-CN"/>
        </w:rPr>
        <w:t>经实地调研和问卷调查了解，总寨塬智能温室园区温室大棚叶菜每季</w:t>
      </w:r>
      <w:r>
        <w:rPr>
          <w:rFonts w:hint="eastAsia" w:cs="Times New Roman"/>
          <w:color w:val="auto"/>
          <w:highlight w:val="none"/>
          <w:lang w:val="en-US" w:eastAsia="zh-CN"/>
        </w:rPr>
        <w:t>2吨/亩</w:t>
      </w:r>
      <w:r>
        <w:rPr>
          <w:rFonts w:hint="eastAsia" w:cs="Times New Roman"/>
          <w:color w:val="auto"/>
          <w:lang w:val="en-US" w:eastAsia="zh-CN"/>
        </w:rPr>
        <w:t>左右，茄果类蔬菜每季3吨/亩左右，所产蔬菜全部供应西宁市各主要蔬菜批发市场。总寨塬智能温室园区作为城中区最大的温室园区，承担了西宁市城区蔬菜供应的职责，园区种植农户根据种植蔬菜的品种结构和市场季节性行情，合理轮作，加强田间管理，提高蔬菜丰产性。项目实施后，改善了园区农业作业环境，提高了园区道路运输能力，蔬菜及时充足供应上市，能够起到保障西宁市城区蔬菜供给的作用，社会效益发挥显著。</w:t>
      </w:r>
    </w:p>
    <w:p>
      <w:pPr>
        <w:pageBreakBefore w:val="0"/>
        <w:overflowPunct/>
        <w:topLinePunct w:val="0"/>
        <w:bidi w:val="0"/>
        <w:spacing w:line="576" w:lineRule="exact"/>
        <w:ind w:left="0" w:leftChars="0"/>
        <w:outlineLvl w:val="9"/>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b w:val="0"/>
          <w:bCs w:val="0"/>
          <w:color w:val="auto"/>
          <w:sz w:val="32"/>
          <w:szCs w:val="32"/>
          <w:highlight w:val="none"/>
          <w:lang w:val="en-US" w:eastAsia="zh-CN"/>
        </w:rPr>
        <w:t>城中区总寨塬智能温室园区道路工程和排水工程项目实施后，</w:t>
      </w:r>
      <w:r>
        <w:rPr>
          <w:rFonts w:hint="eastAsia" w:cs="Times New Roman"/>
          <w:color w:val="auto"/>
          <w:lang w:val="en-US" w:eastAsia="zh-CN"/>
        </w:rPr>
        <w:t>改善了园区农业作业环境，提高了园区道路运输能力，蔬菜及时充足供应上市，能够起到保障西宁市城区蔬菜供给的作用，社会效益发挥显著，</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仿宋_GB2312" w:hAnsi="仿宋_GB2312" w:eastAsia="仿宋_GB2312" w:cs="仿宋_GB2312"/>
          <w:b w:val="0"/>
          <w:bCs w:val="0"/>
          <w:color w:val="auto"/>
          <w:sz w:val="32"/>
          <w:szCs w:val="32"/>
          <w:highlight w:val="none"/>
          <w:lang w:val="en-US" w:eastAsia="zh-CN"/>
        </w:rPr>
        <w:t>分</w:t>
      </w:r>
      <w:r>
        <w:rPr>
          <w:rFonts w:hint="eastAsia" w:ascii="Times New Roman" w:hAnsi="Times New Roman" w:eastAsia="仿宋_GB2312" w:cs="Times New Roman"/>
          <w:bCs/>
          <w:color w:val="auto"/>
          <w:sz w:val="32"/>
          <w:szCs w:val="32"/>
          <w:highlight w:val="none"/>
          <w:lang w:val="en-US" w:eastAsia="zh-CN"/>
        </w:rPr>
        <w:t>3分。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996" w:name="_Toc13810"/>
      <w:bookmarkStart w:id="997" w:name="_Toc327"/>
      <w:bookmarkStart w:id="998" w:name="_Toc14380"/>
      <w:bookmarkStart w:id="999" w:name="_Toc4926"/>
      <w:bookmarkStart w:id="1000" w:name="_Toc18717"/>
      <w:r>
        <w:rPr>
          <w:rFonts w:hint="eastAsia" w:cs="仿宋_GB2312"/>
          <w:b/>
          <w:color w:val="auto"/>
          <w:szCs w:val="32"/>
          <w:highlight w:val="none"/>
          <w:lang w:val="en-US" w:eastAsia="zh-CN"/>
        </w:rPr>
        <w:t>（2）促进温室产业发展</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w:t>
      </w:r>
      <w:bookmarkEnd w:id="996"/>
      <w:bookmarkEnd w:id="997"/>
      <w:bookmarkEnd w:id="998"/>
      <w:bookmarkEnd w:id="999"/>
      <w:bookmarkEnd w:id="1000"/>
    </w:p>
    <w:p>
      <w:pPr>
        <w:pageBreakBefore w:val="0"/>
        <w:overflowPunct/>
        <w:topLinePunct w:val="0"/>
        <w:bidi w:val="0"/>
        <w:spacing w:line="576" w:lineRule="exact"/>
        <w:ind w:left="0" w:leftChars="0"/>
        <w:rPr>
          <w:rFonts w:hint="eastAsia" w:cs="Times New Roman"/>
          <w:color w:val="auto"/>
          <w:lang w:val="zh-CN"/>
        </w:rPr>
      </w:pPr>
      <w:r>
        <w:rPr>
          <w:rFonts w:hint="eastAsia" w:cs="仿宋_GB2312"/>
          <w:b w:val="0"/>
          <w:bCs w:val="0"/>
          <w:color w:val="auto"/>
          <w:sz w:val="32"/>
          <w:szCs w:val="32"/>
          <w:highlight w:val="none"/>
          <w:lang w:val="en-US" w:eastAsia="zh-CN"/>
        </w:rPr>
        <w:t>城中区总寨塬智能温室园区作为城中区最大的温室园区，承担着保障西宁市主城区蔬菜供应的职责。温室大棚种植不受季节环境制约，种植过程利用自然能源，可以为市民提供反季节、无公害蔬菜，特别是西宁市地处青藏高原东部，海拔高，光照充足，温室蔬菜产量高，品质好。同时，温室大棚又大大提高了种植业抵御自然灾害的能力，不用担心外部环境影响，通过温室种植技术的指导，棚产蔬菜产量逐步上升，菜农收入不断提高，提高了周边农户参与温室种植的积极性。目前，总寨塬智能温室园区智能连栋温室大棚700余座，日光温室大</w:t>
      </w:r>
      <w:r>
        <w:rPr>
          <w:rFonts w:hint="eastAsia" w:ascii="Times New Roman" w:hAnsi="Times New Roman" w:eastAsia="仿宋_GB2312" w:cs="Times New Roman"/>
          <w:bCs/>
          <w:color w:val="auto"/>
          <w:sz w:val="32"/>
          <w:szCs w:val="32"/>
          <w:highlight w:val="none"/>
          <w:lang w:val="en-US" w:eastAsia="zh-CN"/>
        </w:rPr>
        <w:t>棚25</w:t>
      </w:r>
      <w:r>
        <w:rPr>
          <w:rFonts w:hint="eastAsia" w:cs="仿宋_GB2312"/>
          <w:b w:val="0"/>
          <w:bCs w:val="0"/>
          <w:color w:val="auto"/>
          <w:sz w:val="32"/>
          <w:szCs w:val="32"/>
          <w:highlight w:val="none"/>
          <w:lang w:val="en-US" w:eastAsia="zh-CN"/>
        </w:rPr>
        <w:t>座，随着园区配套设施不断完善，种植环境不断优化，农户们表示愿意更多投入到园区温室种植中，一定程度上促进了西宁市温室产业发展。</w:t>
      </w:r>
    </w:p>
    <w:p>
      <w:pPr>
        <w:pageBreakBefore w:val="0"/>
        <w:overflowPunct/>
        <w:topLinePunct w:val="0"/>
        <w:bidi w:val="0"/>
        <w:spacing w:line="576" w:lineRule="exact"/>
        <w:ind w:left="0" w:leftChars="0"/>
        <w:outlineLvl w:val="9"/>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b w:val="0"/>
          <w:bCs w:val="0"/>
          <w:color w:val="auto"/>
          <w:sz w:val="32"/>
          <w:szCs w:val="32"/>
          <w:highlight w:val="none"/>
          <w:lang w:val="en-US" w:eastAsia="zh-CN"/>
        </w:rPr>
        <w:t>总寨塬智能温室园区完善道路工程和排水设施后，园区生产环境得到改善，种植户积极性提高，激发了生产热情，农户有意愿更多的投入到园区温室种植中，一定程度上促进了西宁市温室产业发展，</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仿宋_GB2312" w:hAnsi="仿宋_GB2312" w:eastAsia="仿宋_GB2312" w:cs="仿宋_GB2312"/>
          <w:b w:val="0"/>
          <w:bCs w:val="0"/>
          <w:color w:val="auto"/>
          <w:sz w:val="32"/>
          <w:szCs w:val="32"/>
          <w:highlight w:val="none"/>
          <w:lang w:val="en-US" w:eastAsia="zh-CN"/>
        </w:rPr>
        <w:t>分</w:t>
      </w:r>
      <w:r>
        <w:rPr>
          <w:rFonts w:hint="eastAsia" w:ascii="Times New Roman" w:hAnsi="Times New Roman" w:eastAsia="仿宋_GB2312" w:cs="Times New Roman"/>
          <w:bCs/>
          <w:color w:val="auto"/>
          <w:sz w:val="32"/>
          <w:szCs w:val="32"/>
          <w:highlight w:val="none"/>
          <w:lang w:val="en-US" w:eastAsia="zh-CN"/>
        </w:rPr>
        <w:t>3分。</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textAlignment w:val="auto"/>
        <w:outlineLvl w:val="2"/>
        <w:rPr>
          <w:rFonts w:hint="eastAsia" w:ascii="仿宋_GB2312" w:hAnsi="仿宋_GB2312" w:eastAsia="仿宋_GB2312" w:cs="仿宋_GB2312"/>
          <w:b/>
          <w:color w:val="auto"/>
          <w:szCs w:val="32"/>
          <w:highlight w:val="none"/>
          <w:lang w:val="en-US" w:eastAsia="zh-CN"/>
        </w:rPr>
      </w:pPr>
      <w:bookmarkStart w:id="1001" w:name="_Toc22862"/>
      <w:bookmarkStart w:id="1002" w:name="_Toc17795"/>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生态效益</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9</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8</w:t>
      </w:r>
      <w:r>
        <w:rPr>
          <w:rFonts w:hint="eastAsia" w:ascii="仿宋_GB2312" w:hAnsi="仿宋_GB2312" w:eastAsia="仿宋_GB2312" w:cs="仿宋_GB2312"/>
          <w:b/>
          <w:color w:val="auto"/>
          <w:szCs w:val="32"/>
          <w:highlight w:val="none"/>
          <w:lang w:val="en-US" w:eastAsia="zh-CN"/>
        </w:rPr>
        <w:t>分）</w:t>
      </w:r>
      <w:bookmarkEnd w:id="1001"/>
      <w:bookmarkEnd w:id="1002"/>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1003" w:name="_Toc3909"/>
      <w:bookmarkStart w:id="1004" w:name="_Toc31725"/>
      <w:bookmarkStart w:id="1005" w:name="_Toc13412"/>
      <w:bookmarkStart w:id="1006" w:name="_Toc1033"/>
      <w:bookmarkStart w:id="1007" w:name="_Toc27422"/>
      <w:r>
        <w:rPr>
          <w:rFonts w:hint="eastAsia" w:ascii="仿宋_GB2312" w:hAnsi="仿宋_GB2312" w:eastAsia="仿宋_GB2312" w:cs="仿宋_GB2312"/>
          <w:b/>
          <w:color w:val="auto"/>
          <w:szCs w:val="32"/>
          <w:highlight w:val="none"/>
          <w:lang w:val="en-US" w:eastAsia="zh-CN"/>
        </w:rPr>
        <w:t>（1）</w:t>
      </w:r>
      <w:r>
        <w:rPr>
          <w:rFonts w:hint="eastAsia" w:cs="仿宋_GB2312"/>
          <w:b/>
          <w:color w:val="auto"/>
          <w:szCs w:val="32"/>
          <w:highlight w:val="none"/>
          <w:lang w:val="en-US" w:eastAsia="zh-CN"/>
        </w:rPr>
        <w:t>提高自然灾害抵御能力</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w:t>
      </w:r>
      <w:bookmarkEnd w:id="1003"/>
      <w:bookmarkEnd w:id="1004"/>
      <w:bookmarkEnd w:id="1005"/>
      <w:bookmarkEnd w:id="1006"/>
      <w:bookmarkEnd w:id="1007"/>
    </w:p>
    <w:p>
      <w:pPr>
        <w:pageBreakBefore w:val="0"/>
        <w:overflowPunct/>
        <w:topLinePunct w:val="0"/>
        <w:bidi w:val="0"/>
        <w:spacing w:line="576" w:lineRule="exact"/>
        <w:ind w:left="0" w:leftChars="0"/>
        <w:outlineLvl w:val="9"/>
        <w:rPr>
          <w:rFonts w:hint="default" w:cs="Times New Roman"/>
          <w:color w:val="auto"/>
          <w:lang w:val="en-US"/>
        </w:rPr>
      </w:pPr>
      <w:r>
        <w:rPr>
          <w:rFonts w:hint="eastAsia" w:cs="仿宋_GB2312"/>
          <w:b w:val="0"/>
          <w:bCs w:val="0"/>
          <w:color w:val="auto"/>
          <w:sz w:val="32"/>
          <w:szCs w:val="32"/>
          <w:highlight w:val="none"/>
          <w:lang w:val="en-US" w:eastAsia="zh-CN"/>
        </w:rPr>
        <w:t>受地理环境和气候因素影响，西宁市近年来极端天气频繁，短时强降雨和大雪给总寨塬温室园区的道路工程和排水系统造成极大的压力。由于排水系统不完善，极端天气过后，园区过去的土路路面积水无法排出，道路泥泞不堪，严重影响农业作业和蔬菜运输。城中区总寨塬智能温室园区道路工程和排水工程项目实施后，</w:t>
      </w:r>
      <w:r>
        <w:rPr>
          <w:rFonts w:hint="eastAsia" w:cs="Times New Roman"/>
          <w:color w:val="auto"/>
          <w:lang w:val="en-US" w:eastAsia="zh-CN"/>
        </w:rPr>
        <w:t>修建园区简易砂石道路</w:t>
      </w:r>
      <w:r>
        <w:rPr>
          <w:rFonts w:hint="eastAsia" w:ascii="Times New Roman" w:hAnsi="Times New Roman" w:eastAsia="仿宋_GB2312" w:cs="Times New Roman"/>
          <w:bCs/>
          <w:color w:val="auto"/>
          <w:sz w:val="32"/>
          <w:szCs w:val="32"/>
          <w:highlight w:val="none"/>
          <w:lang w:val="en-US" w:eastAsia="zh-CN"/>
        </w:rPr>
        <w:t>1.932km，新建支沟3822m、干沟549m，干沟陡坡2座、支沟陡坡6</w:t>
      </w:r>
      <w:r>
        <w:rPr>
          <w:rFonts w:hint="eastAsia" w:cs="Times New Roman"/>
          <w:color w:val="auto"/>
          <w:lang w:val="en-US" w:eastAsia="zh-CN"/>
        </w:rPr>
        <w:t>座，砂石道路路面平整，排水性好，过多的积水能够通过排水沟渠引入园区外侧水沟，彻底解决园区交通和排水问题，减少因强降雨和大雪等极端天气造成的自然灾害对蔬菜生产和上市带来的影响，提高了园区抵御自然灾害的能力。</w:t>
      </w:r>
    </w:p>
    <w:p>
      <w:pPr>
        <w:pageBreakBefore w:val="0"/>
        <w:overflowPunct/>
        <w:topLinePunct w:val="0"/>
        <w:bidi w:val="0"/>
        <w:spacing w:line="576" w:lineRule="exact"/>
        <w:ind w:left="0" w:leftChars="0"/>
        <w:outlineLvl w:val="9"/>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b w:val="0"/>
          <w:bCs w:val="0"/>
          <w:color w:val="auto"/>
          <w:sz w:val="32"/>
          <w:szCs w:val="32"/>
          <w:highlight w:val="none"/>
          <w:lang w:val="en-US" w:eastAsia="zh-CN"/>
        </w:rPr>
        <w:t>城中区总寨塬智能温室园区道路工程和排水工程项目实施后，</w:t>
      </w:r>
      <w:r>
        <w:rPr>
          <w:rFonts w:hint="eastAsia" w:cs="Times New Roman"/>
          <w:color w:val="auto"/>
          <w:lang w:val="en-US" w:eastAsia="zh-CN"/>
        </w:rPr>
        <w:t>彻底解决园区交通问题和排水问题，减少园区因强降雨和大雪等极端天气造成的自然灾害对蔬菜生产的影响，提高了园区抵御自然灾害的能力，</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仿宋_GB2312" w:hAnsi="仿宋_GB2312" w:eastAsia="仿宋_GB2312" w:cs="仿宋_GB2312"/>
          <w:b w:val="0"/>
          <w:bCs w:val="0"/>
          <w:color w:val="auto"/>
          <w:sz w:val="32"/>
          <w:szCs w:val="32"/>
          <w:highlight w:val="none"/>
          <w:lang w:val="en-US" w:eastAsia="zh-CN"/>
        </w:rPr>
        <w:t>分</w:t>
      </w:r>
      <w:r>
        <w:rPr>
          <w:rFonts w:hint="eastAsia" w:ascii="Times New Roman" w:hAnsi="Times New Roman" w:eastAsia="仿宋_GB2312" w:cs="Times New Roman"/>
          <w:bCs/>
          <w:color w:val="auto"/>
          <w:sz w:val="32"/>
          <w:szCs w:val="32"/>
          <w:highlight w:val="none"/>
          <w:lang w:val="en-US" w:eastAsia="zh-CN"/>
        </w:rPr>
        <w:t>3分。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1008" w:name="_Toc26518"/>
      <w:bookmarkStart w:id="1009" w:name="_Toc75"/>
      <w:bookmarkStart w:id="1010" w:name="_Toc20563"/>
      <w:bookmarkStart w:id="1011" w:name="_Toc20294"/>
      <w:bookmarkStart w:id="1012" w:name="_Toc22358"/>
      <w:r>
        <w:rPr>
          <w:rFonts w:hint="eastAsia" w:cs="仿宋_GB2312"/>
          <w:b/>
          <w:color w:val="auto"/>
          <w:szCs w:val="32"/>
          <w:highlight w:val="none"/>
          <w:lang w:val="en-US" w:eastAsia="zh-CN"/>
        </w:rPr>
        <w:t>（2）改善农业生产环境</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w:t>
      </w:r>
      <w:bookmarkEnd w:id="1008"/>
      <w:bookmarkEnd w:id="1009"/>
      <w:bookmarkEnd w:id="1010"/>
      <w:bookmarkEnd w:id="1011"/>
      <w:bookmarkEnd w:id="1012"/>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outlineLvl w:val="1"/>
        <w:rPr>
          <w:rFonts w:hint="default" w:ascii="仿宋_GB2312" w:hAnsi="仿宋_GB2312" w:eastAsia="仿宋_GB2312" w:cs="Times New Roman"/>
          <w:color w:val="auto"/>
          <w:kern w:val="2"/>
          <w:sz w:val="32"/>
          <w:szCs w:val="24"/>
          <w:lang w:val="en-US" w:eastAsia="zh-CN" w:bidi="ar-SA"/>
        </w:rPr>
      </w:pPr>
      <w:bookmarkStart w:id="1013" w:name="_Toc27230"/>
      <w:bookmarkStart w:id="1014" w:name="_Toc25855"/>
      <w:bookmarkStart w:id="1015" w:name="_Toc13620"/>
      <w:bookmarkStart w:id="1016" w:name="_Toc1200"/>
      <w:bookmarkStart w:id="1017" w:name="_Toc13121"/>
      <w:r>
        <w:rPr>
          <w:rFonts w:hint="eastAsia" w:ascii="仿宋_GB2312" w:hAnsi="仿宋_GB2312" w:eastAsia="仿宋_GB2312" w:cs="Times New Roman"/>
          <w:color w:val="auto"/>
          <w:kern w:val="2"/>
          <w:sz w:val="32"/>
          <w:szCs w:val="24"/>
          <w:lang w:val="zh-CN" w:eastAsia="zh-CN" w:bidi="ar-SA"/>
        </w:rPr>
        <w:t>经问卷调查和访谈了解，总寨塬温室园区过去为泥土路面，晴天运输车辆驶后尘土飞扬，雨天积水无法排出，路面泥泞不堪，无法出行。通过</w:t>
      </w:r>
      <w:r>
        <w:rPr>
          <w:rFonts w:hint="eastAsia" w:ascii="仿宋_GB2312" w:hAnsi="仿宋_GB2312" w:eastAsia="仿宋_GB2312" w:cs="仿宋_GB2312"/>
          <w:b w:val="0"/>
          <w:bCs w:val="0"/>
          <w:color w:val="auto"/>
          <w:kern w:val="2"/>
          <w:sz w:val="32"/>
          <w:szCs w:val="32"/>
          <w:highlight w:val="none"/>
          <w:lang w:val="en-US" w:eastAsia="zh-CN" w:bidi="ar-SA"/>
        </w:rPr>
        <w:t>城中区总寨塬智能温室园区道路工程和排水工程项目的实施修建简易砂石道路工程和排水沟渠，路面宽阔平整，园区积水可以通过干沟和支沟直接汇入园区外侧沟渠，有效改善了园区雨雪天过后积水排不出、出行难的困境。根据问卷调查结果，园区种植户认为项目实施后改善农业生产环境效果明显。但由于管护不到位，“</w:t>
      </w:r>
      <w:r>
        <w:rPr>
          <w:rFonts w:hint="eastAsia" w:ascii="仿宋_GB2312" w:hAnsi="仿宋_GB2312" w:eastAsia="仿宋_GB2312" w:cs="仿宋_GB2312"/>
          <w:color w:val="auto"/>
          <w:kern w:val="2"/>
          <w:sz w:val="32"/>
          <w:szCs w:val="24"/>
          <w:lang w:val="en-US" w:eastAsia="zh-CN" w:bidi="ar-SA"/>
        </w:rPr>
        <w:t>主线</w:t>
      </w:r>
      <w:r>
        <w:rPr>
          <w:rFonts w:hint="eastAsia" w:ascii="Times New Roman" w:hAnsi="Times New Roman" w:eastAsia="仿宋_GB2312" w:cs="Times New Roman"/>
          <w:bCs/>
          <w:color w:val="auto"/>
          <w:sz w:val="32"/>
          <w:szCs w:val="32"/>
          <w:highlight w:val="none"/>
          <w:lang w:val="en-US" w:eastAsia="zh-CN"/>
        </w:rPr>
        <w:t>1”和“主线2”</w:t>
      </w:r>
      <w:r>
        <w:rPr>
          <w:rFonts w:hint="eastAsia" w:ascii="仿宋_GB2312" w:hAnsi="仿宋_GB2312" w:eastAsia="仿宋_GB2312" w:cs="仿宋_GB2312"/>
          <w:color w:val="auto"/>
          <w:kern w:val="2"/>
          <w:sz w:val="32"/>
          <w:szCs w:val="24"/>
          <w:lang w:val="en-US" w:eastAsia="zh-CN" w:bidi="ar-SA"/>
        </w:rPr>
        <w:t>部分路段受损未得到及时维护，园区部分支线道路边及阳光带堆积大量农业生产业废弃物，无人清理，影响园区种植环境，同时存在安全隐患，影响效益发挥。</w:t>
      </w:r>
      <w:bookmarkEnd w:id="1013"/>
      <w:bookmarkEnd w:id="1014"/>
      <w:bookmarkEnd w:id="1015"/>
      <w:bookmarkEnd w:id="1016"/>
      <w:bookmarkEnd w:id="1017"/>
    </w:p>
    <w:p>
      <w:pPr>
        <w:pageBreakBefore w:val="0"/>
        <w:overflowPunct/>
        <w:topLinePunct w:val="0"/>
        <w:bidi w:val="0"/>
        <w:spacing w:line="576" w:lineRule="exact"/>
        <w:ind w:left="0" w:leftChars="0"/>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b w:val="0"/>
          <w:bCs w:val="0"/>
          <w:color w:val="auto"/>
          <w:sz w:val="32"/>
          <w:szCs w:val="32"/>
          <w:highlight w:val="none"/>
          <w:lang w:val="en-US" w:eastAsia="zh-CN"/>
        </w:rPr>
        <w:t>城中区总寨塬智能温室园区道路工程和排水工程项目的实施后有效改善了园区雨雪天过后积水排不出、道路无法走的困境，改善了农业生活环境效果明显，但由于管护不到位导致部分新建路面受损未维修，新建道路边和阳光带</w:t>
      </w:r>
      <w:r>
        <w:rPr>
          <w:rFonts w:hint="eastAsia" w:cs="仿宋_GB2312"/>
          <w:color w:val="auto"/>
          <w:lang w:val="en-US" w:eastAsia="zh-CN"/>
        </w:rPr>
        <w:t>堆积大量农业生产废弃物，无人清理，影响园区种植环境，同时存在安全隐患，影响效益发挥，不</w:t>
      </w:r>
      <w:r>
        <w:rPr>
          <w:rFonts w:hint="eastAsia" w:ascii="仿宋_GB2312" w:hAnsi="仿宋_GB2312" w:eastAsia="仿宋_GB2312" w:cs="仿宋_GB2312"/>
          <w:b w:val="0"/>
          <w:bCs w:val="0"/>
          <w:color w:val="auto"/>
          <w:sz w:val="32"/>
          <w:szCs w:val="32"/>
          <w:highlight w:val="none"/>
          <w:lang w:val="en-US" w:eastAsia="zh-CN"/>
        </w:rPr>
        <w:t>符合评分</w:t>
      </w:r>
      <w:r>
        <w:rPr>
          <w:rFonts w:hint="eastAsia" w:ascii="Times New Roman" w:hAnsi="Times New Roman" w:eastAsia="仿宋_GB2312" w:cs="Times New Roman"/>
          <w:bCs/>
          <w:color w:val="auto"/>
          <w:sz w:val="32"/>
          <w:szCs w:val="32"/>
          <w:highlight w:val="none"/>
          <w:lang w:val="en-US" w:eastAsia="zh-CN"/>
        </w:rPr>
        <w:t>标准，扣1分，指标得分2分。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9"/>
        <w:rPr>
          <w:rFonts w:hint="eastAsia" w:cs="Times New Roman"/>
          <w:b/>
          <w:bCs/>
          <w:color w:val="auto"/>
          <w:lang w:val="zh-CN"/>
        </w:rPr>
      </w:pPr>
      <w:r>
        <w:rPr>
          <w:rFonts w:hint="eastAsia" w:cs="Times New Roman"/>
          <w:b/>
          <w:bCs/>
          <w:color w:val="auto"/>
          <w:lang w:val="en-US" w:eastAsia="zh-CN"/>
        </w:rPr>
        <w:t>（3）提高土地资源利用率</w:t>
      </w:r>
      <w:r>
        <w:rPr>
          <w:rFonts w:hint="eastAsia" w:cs="Times New Roman"/>
          <w:b/>
          <w:bCs/>
          <w:color w:val="auto"/>
          <w:lang w:val="zh-CN"/>
        </w:rPr>
        <w:t>（指标分值3分）（得分</w:t>
      </w:r>
      <w:r>
        <w:rPr>
          <w:rFonts w:hint="eastAsia" w:cs="Times New Roman"/>
          <w:b/>
          <w:bCs/>
          <w:color w:val="auto"/>
          <w:lang w:val="en-US" w:eastAsia="zh-CN"/>
        </w:rPr>
        <w:t>3</w:t>
      </w:r>
      <w:r>
        <w:rPr>
          <w:rFonts w:hint="eastAsia" w:cs="Times New Roman"/>
          <w:b/>
          <w:bCs/>
          <w:color w:val="auto"/>
          <w:lang w:val="zh-CN"/>
        </w:rPr>
        <w:t>分）</w:t>
      </w:r>
    </w:p>
    <w:p>
      <w:pPr>
        <w:pageBreakBefore w:val="0"/>
        <w:overflowPunct/>
        <w:topLinePunct w:val="0"/>
        <w:bidi w:val="0"/>
        <w:spacing w:line="576" w:lineRule="exact"/>
        <w:ind w:left="0" w:leftChars="0"/>
        <w:rPr>
          <w:rFonts w:hint="default" w:eastAsia="仿宋_GB2312" w:cs="Times New Roman"/>
          <w:color w:val="auto"/>
          <w:lang w:val="en-US" w:eastAsia="zh-CN"/>
        </w:rPr>
      </w:pPr>
      <w:bookmarkStart w:id="1018" w:name="_Toc21879"/>
      <w:bookmarkStart w:id="1019" w:name="_Toc24219"/>
      <w:bookmarkStart w:id="1020" w:name="_Toc24300"/>
      <w:bookmarkStart w:id="1021" w:name="_Toc31385"/>
      <w:bookmarkStart w:id="1022" w:name="_Toc6364"/>
      <w:r>
        <w:rPr>
          <w:rFonts w:hint="eastAsia" w:cs="Times New Roman"/>
          <w:color w:val="auto"/>
          <w:lang w:val="zh-CN"/>
        </w:rPr>
        <w:t>西宁市地处青藏高原东部，属大陆性高原半干旱气候，年平均气温</w:t>
      </w:r>
      <w:r>
        <w:rPr>
          <w:rFonts w:hint="eastAsia" w:ascii="Times New Roman" w:hAnsi="Times New Roman" w:eastAsia="仿宋_GB2312" w:cs="Times New Roman"/>
          <w:bCs/>
          <w:color w:val="auto"/>
          <w:sz w:val="32"/>
          <w:szCs w:val="32"/>
          <w:highlight w:val="none"/>
          <w:lang w:val="en-US" w:eastAsia="zh-CN"/>
        </w:rPr>
        <w:t>7.6℃，可利用耕地面积较少，传统农业种植一年一季，农作物生长周期长，产量少，经济效益低。总寨塬温室园区建造前，该区域土地主要种植小麦、油菜等作物，以小麦为例，亩产小麦400斤左右。秋冬季受气候因素制约无法继续种植作物。通过土地流转改建温室大棚，并且配套完善道路工程和排水设施，原本粗放型的用地模式得以改变，农作物种植原来一年1茬，在先进的科学技术指导下，不同成熟时间的蔬菜品种混合种植，实现一年2.5茬</w:t>
      </w:r>
      <w:r>
        <w:rPr>
          <w:rFonts w:hint="eastAsia" w:cs="Times New Roman"/>
          <w:color w:val="auto"/>
          <w:lang w:val="en-US" w:eastAsia="zh-CN"/>
        </w:rPr>
        <w:t>，提高了蔬菜产量，土地资源得到充分利用。</w:t>
      </w:r>
    </w:p>
    <w:p>
      <w:pPr>
        <w:pageBreakBefore w:val="0"/>
        <w:overflowPunct/>
        <w:topLinePunct w:val="0"/>
        <w:bidi w:val="0"/>
        <w:spacing w:line="576" w:lineRule="exact"/>
        <w:ind w:left="0" w:leftChars="0"/>
        <w:outlineLvl w:val="9"/>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Times New Roman"/>
          <w:color w:val="auto"/>
          <w:lang w:val="en-US" w:eastAsia="zh-CN"/>
        </w:rPr>
        <w:t>通过土地流转改建温室大棚、配套完善道路工程和排水设施，农作物种植原来的一年</w:t>
      </w:r>
      <w:r>
        <w:rPr>
          <w:rFonts w:hint="eastAsia" w:ascii="Times New Roman" w:hAnsi="Times New Roman" w:eastAsia="仿宋_GB2312" w:cs="Times New Roman"/>
          <w:bCs/>
          <w:color w:val="auto"/>
          <w:sz w:val="32"/>
          <w:szCs w:val="32"/>
          <w:highlight w:val="none"/>
          <w:lang w:val="en-US" w:eastAsia="zh-CN"/>
        </w:rPr>
        <w:t>1茬，在先进的科学技术指导下实现蔬菜种植一年2.5茬，提</w:t>
      </w:r>
      <w:r>
        <w:rPr>
          <w:rFonts w:hint="eastAsia" w:cs="Times New Roman"/>
          <w:color w:val="auto"/>
          <w:lang w:val="en-US" w:eastAsia="zh-CN"/>
        </w:rPr>
        <w:t>高了蔬菜产量，土地资源得到充分利用，</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Times New Roman" w:hAnsi="Times New Roman" w:eastAsia="仿宋_GB2312" w:cs="Times New Roman"/>
          <w:bCs/>
          <w:color w:val="auto"/>
          <w:sz w:val="32"/>
          <w:szCs w:val="32"/>
          <w:highlight w:val="none"/>
          <w:lang w:val="en-US" w:eastAsia="zh-CN"/>
        </w:rPr>
        <w:t>分3分。</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textAlignment w:val="auto"/>
        <w:outlineLvl w:val="2"/>
        <w:rPr>
          <w:rFonts w:hint="eastAsia" w:ascii="仿宋_GB2312" w:hAnsi="仿宋_GB2312" w:eastAsia="仿宋_GB2312" w:cs="仿宋_GB2312"/>
          <w:b/>
          <w:color w:val="auto"/>
          <w:szCs w:val="32"/>
          <w:highlight w:val="none"/>
          <w:lang w:val="en-US" w:eastAsia="zh-CN"/>
        </w:rPr>
      </w:pPr>
      <w:bookmarkStart w:id="1023" w:name="_Toc29375"/>
      <w:bookmarkStart w:id="1024" w:name="_Toc22204"/>
      <w:r>
        <w:rPr>
          <w:rFonts w:hint="eastAsia" w:cs="仿宋_GB2312"/>
          <w:b/>
          <w:color w:val="auto"/>
          <w:szCs w:val="32"/>
          <w:highlight w:val="none"/>
          <w:lang w:val="en-US" w:eastAsia="zh-CN"/>
        </w:rPr>
        <w:t>4</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可持续影响</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6</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6</w:t>
      </w:r>
      <w:r>
        <w:rPr>
          <w:rFonts w:hint="eastAsia" w:ascii="仿宋_GB2312" w:hAnsi="仿宋_GB2312" w:eastAsia="仿宋_GB2312" w:cs="仿宋_GB2312"/>
          <w:b/>
          <w:color w:val="auto"/>
          <w:szCs w:val="32"/>
          <w:highlight w:val="none"/>
          <w:lang w:val="en-US" w:eastAsia="zh-CN"/>
        </w:rPr>
        <w:t>分）</w:t>
      </w:r>
      <w:bookmarkEnd w:id="1023"/>
      <w:bookmarkEnd w:id="1024"/>
    </w:p>
    <w:p>
      <w:pPr>
        <w:pageBreakBefore w:val="0"/>
        <w:overflowPunct/>
        <w:topLinePunct w:val="0"/>
        <w:bidi w:val="0"/>
        <w:spacing w:line="576" w:lineRule="exact"/>
        <w:ind w:left="0" w:leftChars="0" w:firstLine="643"/>
        <w:outlineLvl w:val="1"/>
        <w:rPr>
          <w:rFonts w:hint="eastAsia" w:ascii="仿宋_GB2312" w:hAnsi="仿宋_GB2312" w:eastAsia="仿宋_GB2312" w:cs="仿宋_GB2312"/>
          <w:b/>
          <w:color w:val="auto"/>
          <w:szCs w:val="32"/>
          <w:highlight w:val="none"/>
          <w:lang w:val="en-US" w:eastAsia="zh-CN"/>
        </w:rPr>
      </w:pPr>
      <w:bookmarkStart w:id="1025" w:name="_Toc32615"/>
      <w:bookmarkStart w:id="1026" w:name="_Toc27042"/>
      <w:bookmarkStart w:id="1027" w:name="_Toc32341"/>
      <w:bookmarkStart w:id="1028" w:name="_Toc17053"/>
      <w:bookmarkStart w:id="1029" w:name="_Toc15303"/>
      <w:r>
        <w:rPr>
          <w:rFonts w:hint="eastAsia" w:ascii="仿宋_GB2312" w:hAnsi="仿宋_GB2312" w:eastAsia="仿宋_GB2312" w:cs="仿宋_GB2312"/>
          <w:b/>
          <w:color w:val="auto"/>
          <w:szCs w:val="32"/>
          <w:highlight w:val="none"/>
          <w:lang w:val="en-US" w:eastAsia="zh-CN"/>
        </w:rPr>
        <w:t>（1）</w:t>
      </w:r>
      <w:r>
        <w:rPr>
          <w:rFonts w:hint="eastAsia" w:cs="仿宋_GB2312"/>
          <w:b/>
          <w:color w:val="auto"/>
          <w:szCs w:val="32"/>
          <w:highlight w:val="none"/>
          <w:lang w:val="en-US" w:eastAsia="zh-CN"/>
        </w:rPr>
        <w:t>推动绿色生态农业建设</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w:t>
      </w:r>
      <w:bookmarkEnd w:id="1025"/>
      <w:bookmarkEnd w:id="1026"/>
      <w:bookmarkEnd w:id="1027"/>
      <w:bookmarkEnd w:id="1028"/>
      <w:bookmarkEnd w:id="1029"/>
    </w:p>
    <w:p>
      <w:pPr>
        <w:keepNext w:val="0"/>
        <w:keepLines w:val="0"/>
        <w:pageBreakBefore w:val="0"/>
        <w:widowControl w:val="0"/>
        <w:kinsoku/>
        <w:wordWrap/>
        <w:overflowPunct/>
        <w:topLinePunct w:val="0"/>
        <w:autoSpaceDE/>
        <w:autoSpaceDN/>
        <w:bidi w:val="0"/>
        <w:adjustRightInd/>
        <w:snapToGrid/>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城中区立足于自然资源、地理位置、蔬菜种植的产业基础等优势条件，坚持把推动设施农业发展作为推进现代化绿色生态农业发展的重要途径，加大资金投入，改善基础设施条件，强化技术推广，提升生产能力。评价组在实地调研中了解到，种植户通过科学的种植技术指导，选择合理的茬次时间安排，种植适宜的、经济效益高的蔬菜品种，不仅提高经济效益，还可以使土壤中不同层次的养分以不同种类的蔬菜种植来得到充分利用。同时，在现代化农业绿色种植技术的指导下，种植户更注重蔬菜品质，保障了优质、安全的蔬菜供给。设施农业已成为城中区推动农业结构调整，发展绿色生态化农业的重要举措。</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b w:val="0"/>
          <w:bCs w:val="0"/>
          <w:color w:val="auto"/>
          <w:sz w:val="32"/>
          <w:szCs w:val="32"/>
          <w:highlight w:val="none"/>
          <w:lang w:val="en-US" w:eastAsia="zh-CN"/>
        </w:rPr>
        <w:t>总寨塬智能温室园区道路工程和排水配套设施的完善，改善了园区农业生产环境，提升了生产能力，推动了设施农业发展，推进了现代化绿色生态农业建设，</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Times New Roman" w:hAnsi="Times New Roman" w:eastAsia="仿宋_GB2312" w:cs="Times New Roman"/>
          <w:bCs/>
          <w:color w:val="auto"/>
          <w:sz w:val="32"/>
          <w:szCs w:val="32"/>
          <w:highlight w:val="none"/>
          <w:lang w:val="en-US" w:eastAsia="zh-CN"/>
        </w:rPr>
        <w:t>分3分。</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1"/>
        <w:rPr>
          <w:rFonts w:hint="eastAsia" w:ascii="仿宋_GB2312" w:hAnsi="仿宋_GB2312" w:eastAsia="仿宋_GB2312" w:cs="仿宋_GB2312"/>
          <w:b/>
          <w:color w:val="auto"/>
          <w:szCs w:val="32"/>
          <w:highlight w:val="none"/>
          <w:lang w:val="en-US" w:eastAsia="zh-CN"/>
        </w:rPr>
      </w:pPr>
      <w:bookmarkStart w:id="1030" w:name="_Toc11249"/>
      <w:bookmarkStart w:id="1031" w:name="_Toc32472"/>
      <w:bookmarkStart w:id="1032" w:name="_Toc15571"/>
      <w:bookmarkStart w:id="1033" w:name="_Toc30229"/>
      <w:bookmarkStart w:id="1034" w:name="_Toc32415"/>
      <w:r>
        <w:rPr>
          <w:rFonts w:hint="eastAsia" w:cs="仿宋_GB2312"/>
          <w:b/>
          <w:color w:val="auto"/>
          <w:szCs w:val="32"/>
          <w:highlight w:val="none"/>
          <w:lang w:val="en-US" w:eastAsia="zh-CN"/>
        </w:rPr>
        <w:t>（2）促进人民安居乐业</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分）</w:t>
      </w:r>
      <w:bookmarkEnd w:id="1030"/>
      <w:bookmarkEnd w:id="1031"/>
      <w:bookmarkEnd w:id="1032"/>
      <w:bookmarkEnd w:id="1033"/>
      <w:bookmarkEnd w:id="1034"/>
    </w:p>
    <w:p>
      <w:pPr>
        <w:pageBreakBefore w:val="0"/>
        <w:overflowPunct/>
        <w:topLinePunct w:val="0"/>
        <w:bidi w:val="0"/>
        <w:spacing w:line="576" w:lineRule="exact"/>
        <w:ind w:left="0" w:leftChars="0"/>
        <w:rPr>
          <w:rFonts w:hint="eastAsia" w:eastAsia="仿宋_GB2312" w:cs="Times New Roman"/>
          <w:color w:val="auto"/>
          <w:lang w:val="en-US" w:eastAsia="zh-CN"/>
        </w:rPr>
      </w:pPr>
      <w:r>
        <w:rPr>
          <w:rFonts w:hint="eastAsia" w:cs="Times New Roman"/>
          <w:color w:val="auto"/>
          <w:lang w:val="zh-CN"/>
        </w:rPr>
        <w:t>城中区把农业结构调整和农民收入增加与西宁城市建设紧密结合，大力发展设施温室产业。总寨塬通过土地流转建设温室大棚，完善</w:t>
      </w:r>
      <w:r>
        <w:rPr>
          <w:rFonts w:hint="eastAsia" w:cs="Times New Roman"/>
          <w:color w:val="auto"/>
          <w:lang w:val="en-US" w:eastAsia="zh-CN"/>
        </w:rPr>
        <w:t>道路及排水基础设施</w:t>
      </w:r>
      <w:r>
        <w:rPr>
          <w:rFonts w:hint="eastAsia" w:cs="Times New Roman"/>
          <w:color w:val="auto"/>
          <w:lang w:val="zh-CN"/>
        </w:rPr>
        <w:t>，改善了总寨塬温室园区生产环境，温室园区种植户通过承包温室种植蔬菜，提高了农产品产量，增加种植户经济收入</w:t>
      </w:r>
      <w:r>
        <w:rPr>
          <w:rFonts w:hint="eastAsia" w:cs="Times New Roman"/>
          <w:color w:val="auto"/>
          <w:lang w:val="en-US" w:eastAsia="zh-CN"/>
        </w:rPr>
        <w:t>，促进了农业发展。同时，城区居民可以吃到廉价的新鲜蔬菜，提高了城乡人民生活水平，促进了人民安居乐业，</w:t>
      </w:r>
      <w:r>
        <w:rPr>
          <w:rFonts w:hint="eastAsia" w:cs="Times New Roman"/>
          <w:color w:val="auto"/>
          <w:lang w:val="zh-CN"/>
        </w:rPr>
        <w:t>实现区域性社会、经济持续高速发展。</w:t>
      </w:r>
    </w:p>
    <w:p>
      <w:pPr>
        <w:pageBreakBefore w:val="0"/>
        <w:overflowPunct/>
        <w:topLinePunct w:val="0"/>
        <w:bidi w:val="0"/>
        <w:spacing w:line="576" w:lineRule="exact"/>
        <w:ind w:left="0" w:leftChars="0"/>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Times New Roman"/>
          <w:color w:val="auto"/>
          <w:lang w:val="zh-CN"/>
        </w:rPr>
        <w:t>总寨塬通过土地流转建设温室大棚，完善道路及排水配套设施，改善了总寨塬温室园区生产环境，提高了农产品产量，增加种植户经济收入</w:t>
      </w:r>
      <w:r>
        <w:rPr>
          <w:rFonts w:hint="eastAsia" w:cs="Times New Roman"/>
          <w:color w:val="auto"/>
          <w:lang w:val="en-US" w:eastAsia="zh-CN"/>
        </w:rPr>
        <w:t>，为城区提供廉价的新鲜蔬菜，提高了城乡人民生活水平，促进了人民安居乐业，</w:t>
      </w:r>
      <w:r>
        <w:rPr>
          <w:rFonts w:hint="eastAsia" w:cs="Times New Roman"/>
          <w:color w:val="auto"/>
          <w:lang w:val="zh-CN"/>
        </w:rPr>
        <w:t>实现区域性社会、经济持续高速发展，</w:t>
      </w:r>
      <w:r>
        <w:rPr>
          <w:rFonts w:hint="eastAsia" w:ascii="仿宋_GB2312" w:hAnsi="仿宋_GB2312" w:eastAsia="仿宋_GB2312" w:cs="仿宋_GB2312"/>
          <w:b w:val="0"/>
          <w:bCs w:val="0"/>
          <w:color w:val="auto"/>
          <w:sz w:val="32"/>
          <w:szCs w:val="32"/>
          <w:highlight w:val="none"/>
          <w:lang w:val="en-US" w:eastAsia="zh-CN"/>
        </w:rPr>
        <w:t>符合评分标准，</w:t>
      </w:r>
      <w:r>
        <w:rPr>
          <w:rFonts w:hint="eastAsia" w:ascii="仿宋_GB2312" w:hAnsi="仿宋_GB2312" w:eastAsia="仿宋_GB2312" w:cs="仿宋_GB2312"/>
          <w:b w:val="0"/>
          <w:bCs/>
          <w:color w:val="auto"/>
          <w:szCs w:val="32"/>
          <w:highlight w:val="none"/>
          <w:lang w:val="en-US" w:eastAsia="zh-CN"/>
        </w:rPr>
        <w:t>指标得</w:t>
      </w:r>
      <w:r>
        <w:rPr>
          <w:rFonts w:hint="eastAsia" w:ascii="仿宋_GB2312" w:hAnsi="仿宋_GB2312" w:eastAsia="仿宋_GB2312" w:cs="仿宋_GB2312"/>
          <w:b w:val="0"/>
          <w:bCs w:val="0"/>
          <w:color w:val="auto"/>
          <w:sz w:val="32"/>
          <w:szCs w:val="32"/>
          <w:highlight w:val="none"/>
          <w:lang w:val="en-US" w:eastAsia="zh-CN"/>
        </w:rPr>
        <w:t>分</w:t>
      </w:r>
      <w:r>
        <w:rPr>
          <w:rFonts w:hint="eastAsia" w:ascii="Times New Roman" w:hAnsi="Times New Roman" w:eastAsia="仿宋_GB2312" w:cs="Times New Roman"/>
          <w:bCs/>
          <w:color w:val="auto"/>
          <w:sz w:val="32"/>
          <w:szCs w:val="32"/>
          <w:highlight w:val="none"/>
          <w:lang w:val="en-US" w:eastAsia="zh-CN"/>
        </w:rPr>
        <w:t>3分。</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textAlignment w:val="auto"/>
        <w:outlineLvl w:val="2"/>
        <w:rPr>
          <w:rFonts w:hint="eastAsia" w:cs="Times New Roman"/>
          <w:color w:val="auto"/>
          <w:lang w:val="en-US" w:eastAsia="zh-CN"/>
        </w:rPr>
      </w:pPr>
      <w:bookmarkStart w:id="1035" w:name="_Toc24299"/>
      <w:bookmarkStart w:id="1036" w:name="_Toc32478"/>
      <w:r>
        <w:rPr>
          <w:rFonts w:hint="eastAsia" w:cs="仿宋_GB2312"/>
          <w:b/>
          <w:color w:val="auto"/>
          <w:szCs w:val="32"/>
          <w:highlight w:val="none"/>
          <w:lang w:val="en-US" w:eastAsia="zh-CN"/>
        </w:rPr>
        <w:t>5</w:t>
      </w:r>
      <w:r>
        <w:rPr>
          <w:rFonts w:hint="eastAsia" w:ascii="仿宋_GB2312" w:hAnsi="仿宋_GB2312" w:eastAsia="仿宋_GB2312" w:cs="仿宋_GB2312"/>
          <w:b/>
          <w:color w:val="auto"/>
          <w:szCs w:val="32"/>
          <w:highlight w:val="none"/>
          <w:lang w:val="en-US" w:eastAsia="zh-CN"/>
        </w:rPr>
        <w:t>.</w:t>
      </w:r>
      <w:r>
        <w:rPr>
          <w:rFonts w:hint="eastAsia" w:cs="仿宋_GB2312"/>
          <w:b/>
          <w:color w:val="auto"/>
          <w:szCs w:val="32"/>
          <w:highlight w:val="none"/>
          <w:lang w:val="en-US" w:eastAsia="zh-CN"/>
        </w:rPr>
        <w:t>满意度</w:t>
      </w:r>
      <w:r>
        <w:rPr>
          <w:rFonts w:hint="eastAsia" w:ascii="仿宋_GB2312" w:hAnsi="仿宋_GB2312" w:eastAsia="仿宋_GB2312" w:cs="仿宋_GB2312"/>
          <w:b/>
          <w:color w:val="auto"/>
          <w:szCs w:val="32"/>
          <w:highlight w:val="none"/>
          <w:lang w:val="en-US" w:eastAsia="zh-CN"/>
        </w:rPr>
        <w:t>（指标分值</w:t>
      </w:r>
      <w:r>
        <w:rPr>
          <w:rFonts w:hint="eastAsia" w:cs="仿宋_GB2312"/>
          <w:b/>
          <w:color w:val="auto"/>
          <w:szCs w:val="32"/>
          <w:highlight w:val="none"/>
          <w:lang w:val="en-US" w:eastAsia="zh-CN"/>
        </w:rPr>
        <w:t>8</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8</w:t>
      </w:r>
      <w:r>
        <w:rPr>
          <w:rFonts w:hint="eastAsia" w:ascii="仿宋_GB2312" w:hAnsi="仿宋_GB2312" w:eastAsia="仿宋_GB2312" w:cs="仿宋_GB2312"/>
          <w:b/>
          <w:color w:val="auto"/>
          <w:szCs w:val="32"/>
          <w:highlight w:val="none"/>
          <w:lang w:val="en-US" w:eastAsia="zh-CN"/>
        </w:rPr>
        <w:t>分）</w:t>
      </w:r>
      <w:bookmarkEnd w:id="1035"/>
      <w:bookmarkEnd w:id="1036"/>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9"/>
        <w:rPr>
          <w:rFonts w:hint="eastAsia" w:cs="Times New Roman"/>
          <w:b/>
          <w:bCs/>
          <w:color w:val="auto"/>
          <w:lang w:val="zh-CN"/>
        </w:rPr>
      </w:pPr>
      <w:r>
        <w:rPr>
          <w:rFonts w:hint="eastAsia" w:cs="Times New Roman"/>
          <w:b/>
          <w:bCs/>
          <w:color w:val="auto"/>
          <w:lang w:val="en-US" w:eastAsia="zh-CN"/>
        </w:rPr>
        <w:t>（1）工作人员满意度</w:t>
      </w:r>
      <w:r>
        <w:rPr>
          <w:rFonts w:hint="eastAsia" w:cs="Times New Roman"/>
          <w:b/>
          <w:bCs/>
          <w:color w:val="auto"/>
          <w:lang w:val="zh-CN"/>
        </w:rPr>
        <w:t>（指标分值</w:t>
      </w:r>
      <w:r>
        <w:rPr>
          <w:rFonts w:hint="eastAsia" w:cs="Times New Roman"/>
          <w:b/>
          <w:bCs/>
          <w:color w:val="auto"/>
          <w:lang w:val="en-US" w:eastAsia="zh-CN"/>
        </w:rPr>
        <w:t>4</w:t>
      </w:r>
      <w:r>
        <w:rPr>
          <w:rFonts w:hint="eastAsia" w:cs="Times New Roman"/>
          <w:b/>
          <w:bCs/>
          <w:color w:val="auto"/>
          <w:lang w:val="zh-CN"/>
        </w:rPr>
        <w:t>分）（得分</w:t>
      </w:r>
      <w:r>
        <w:rPr>
          <w:rFonts w:hint="eastAsia" w:cs="Times New Roman"/>
          <w:b/>
          <w:bCs/>
          <w:color w:val="auto"/>
          <w:lang w:val="en-US" w:eastAsia="zh-CN"/>
        </w:rPr>
        <w:t>4</w:t>
      </w:r>
      <w:r>
        <w:rPr>
          <w:rFonts w:hint="eastAsia" w:cs="Times New Roman"/>
          <w:b/>
          <w:bCs/>
          <w:color w:val="auto"/>
          <w:lang w:val="zh-CN"/>
        </w:rPr>
        <w:t>分）</w:t>
      </w:r>
    </w:p>
    <w:p>
      <w:pPr>
        <w:pageBreakBefore w:val="0"/>
        <w:overflowPunct/>
        <w:topLinePunct w:val="0"/>
        <w:bidi w:val="0"/>
        <w:spacing w:line="576" w:lineRule="exact"/>
        <w:ind w:left="0" w:leftChars="0"/>
        <w:rPr>
          <w:rFonts w:hint="default" w:ascii="Times New Roman" w:hAnsi="Times New Roman" w:eastAsia="仿宋_GB2312" w:cs="Times New Roman"/>
          <w:bCs/>
          <w:color w:val="auto"/>
          <w:sz w:val="32"/>
          <w:szCs w:val="32"/>
          <w:highlight w:val="none"/>
          <w:lang w:val="en-US"/>
        </w:rPr>
      </w:pPr>
      <w:r>
        <w:rPr>
          <w:rFonts w:hint="eastAsia" w:ascii="仿宋_GB2312" w:hAnsi="华文仿宋" w:eastAsia="仿宋_GB2312" w:cs="仿宋"/>
          <w:b w:val="0"/>
          <w:bCs w:val="0"/>
          <w:color w:val="auto"/>
          <w:sz w:val="32"/>
          <w:szCs w:val="32"/>
          <w:highlight w:val="none"/>
          <w:lang w:val="en-US" w:eastAsia="zh-CN"/>
        </w:rPr>
        <w:t>通过开展实地调研和问卷调查，评价组以问卷的形式</w:t>
      </w:r>
      <w:r>
        <w:rPr>
          <w:rFonts w:hint="eastAsia" w:hAnsi="华文仿宋" w:cs="仿宋"/>
          <w:b w:val="0"/>
          <w:bCs w:val="0"/>
          <w:color w:val="auto"/>
          <w:sz w:val="32"/>
          <w:szCs w:val="32"/>
          <w:highlight w:val="none"/>
          <w:lang w:val="en-US" w:eastAsia="zh-CN"/>
        </w:rPr>
        <w:t>邀请总寨塬智能温室园区工作人员</w:t>
      </w:r>
      <w:r>
        <w:rPr>
          <w:rFonts w:hint="eastAsia" w:ascii="仿宋_GB2312" w:hAnsi="华文仿宋" w:eastAsia="仿宋_GB2312" w:cs="仿宋"/>
          <w:b w:val="0"/>
          <w:bCs w:val="0"/>
          <w:color w:val="auto"/>
          <w:sz w:val="32"/>
          <w:szCs w:val="32"/>
          <w:highlight w:val="none"/>
          <w:lang w:val="en-US" w:eastAsia="zh-CN"/>
        </w:rPr>
        <w:t>对</w:t>
      </w:r>
      <w:r>
        <w:rPr>
          <w:rFonts w:hint="eastAsia" w:hAnsi="华文仿宋" w:cs="仿宋"/>
          <w:b w:val="0"/>
          <w:bCs w:val="0"/>
          <w:color w:val="auto"/>
          <w:sz w:val="32"/>
          <w:szCs w:val="32"/>
          <w:highlight w:val="none"/>
          <w:lang w:val="en-US" w:eastAsia="zh-CN"/>
        </w:rPr>
        <w:t>总寨塬智能温室园区道路工程和排水工程项目</w:t>
      </w:r>
      <w:r>
        <w:rPr>
          <w:rFonts w:hint="eastAsia" w:ascii="仿宋_GB2312" w:hAnsi="华文仿宋" w:eastAsia="仿宋_GB2312" w:cs="仿宋"/>
          <w:b w:val="0"/>
          <w:bCs w:val="0"/>
          <w:color w:val="auto"/>
          <w:sz w:val="32"/>
          <w:szCs w:val="32"/>
          <w:highlight w:val="none"/>
          <w:lang w:val="en-US" w:eastAsia="zh-CN"/>
        </w:rPr>
        <w:t>实施满意度开展调查</w:t>
      </w:r>
      <w:r>
        <w:rPr>
          <w:rFonts w:hint="eastAsia" w:hAnsi="华文仿宋" w:cs="仿宋"/>
          <w:b w:val="0"/>
          <w:bCs w:val="0"/>
          <w:color w:val="auto"/>
          <w:sz w:val="32"/>
          <w:szCs w:val="32"/>
          <w:highlight w:val="none"/>
          <w:lang w:val="en-US" w:eastAsia="zh-CN"/>
        </w:rPr>
        <w:t>，</w:t>
      </w:r>
      <w:r>
        <w:rPr>
          <w:rFonts w:hint="eastAsia" w:ascii="仿宋_GB2312" w:hAnsi="华文仿宋" w:eastAsia="仿宋_GB2312" w:cs="仿宋"/>
          <w:b w:val="0"/>
          <w:bCs w:val="0"/>
          <w:color w:val="auto"/>
          <w:sz w:val="32"/>
          <w:szCs w:val="32"/>
          <w:highlight w:val="none"/>
          <w:lang w:val="en-US" w:eastAsia="zh-CN"/>
        </w:rPr>
        <w:t>以了</w:t>
      </w:r>
      <w:r>
        <w:rPr>
          <w:rFonts w:hint="eastAsia" w:hAnsi="华文仿宋" w:cs="仿宋"/>
          <w:b w:val="0"/>
          <w:bCs w:val="0"/>
          <w:color w:val="auto"/>
          <w:sz w:val="32"/>
          <w:szCs w:val="32"/>
          <w:highlight w:val="none"/>
          <w:lang w:val="en-US" w:eastAsia="zh-CN"/>
        </w:rPr>
        <w:t>工作人员对</w:t>
      </w:r>
      <w:r>
        <w:rPr>
          <w:rFonts w:hint="eastAsia" w:ascii="仿宋_GB2312" w:hAnsi="华文仿宋" w:eastAsia="仿宋_GB2312" w:cs="仿宋"/>
          <w:b w:val="0"/>
          <w:bCs w:val="0"/>
          <w:color w:val="auto"/>
          <w:sz w:val="32"/>
          <w:szCs w:val="32"/>
          <w:highlight w:val="none"/>
          <w:lang w:val="en-US" w:eastAsia="zh-CN"/>
        </w:rPr>
        <w:t>项目实施的满意程度。</w:t>
      </w:r>
      <w:r>
        <w:rPr>
          <w:rFonts w:hint="eastAsia" w:hAnsi="华文仿宋" w:cs="仿宋"/>
          <w:b w:val="0"/>
          <w:bCs w:val="0"/>
          <w:color w:val="auto"/>
          <w:sz w:val="32"/>
          <w:szCs w:val="32"/>
          <w:highlight w:val="none"/>
          <w:lang w:val="en-US" w:eastAsia="zh-CN"/>
        </w:rPr>
        <w:t>根据问卷统计结果，工作人员对总寨塬智能温室园区道路工程和排水工程项目</w:t>
      </w:r>
      <w:r>
        <w:rPr>
          <w:rFonts w:hint="eastAsia" w:ascii="仿宋_GB2312" w:hAnsi="华文仿宋" w:eastAsia="仿宋_GB2312" w:cs="仿宋"/>
          <w:b w:val="0"/>
          <w:bCs w:val="0"/>
          <w:color w:val="auto"/>
          <w:sz w:val="32"/>
          <w:szCs w:val="32"/>
          <w:highlight w:val="none"/>
          <w:lang w:val="en-US" w:eastAsia="zh-CN"/>
        </w:rPr>
        <w:t>实施满意度</w:t>
      </w:r>
      <w:r>
        <w:rPr>
          <w:rFonts w:hint="eastAsia" w:hAnsi="华文仿宋" w:cs="仿宋"/>
          <w:b w:val="0"/>
          <w:bCs w:val="0"/>
          <w:color w:val="auto"/>
          <w:sz w:val="32"/>
          <w:szCs w:val="32"/>
          <w:highlight w:val="none"/>
          <w:lang w:val="en-US" w:eastAsia="zh-CN"/>
        </w:rPr>
        <w:t>为</w:t>
      </w:r>
      <w:r>
        <w:rPr>
          <w:rFonts w:hint="eastAsia" w:ascii="Times New Roman" w:hAnsi="Times New Roman" w:eastAsia="仿宋_GB2312" w:cs="Times New Roman"/>
          <w:bCs/>
          <w:color w:val="auto"/>
          <w:sz w:val="32"/>
          <w:szCs w:val="32"/>
          <w:highlight w:val="none"/>
          <w:lang w:val="en-US" w:eastAsia="zh-CN"/>
        </w:rPr>
        <w:t>100%。</w:t>
      </w:r>
    </w:p>
    <w:p>
      <w:pPr>
        <w:pageBreakBefore w:val="0"/>
        <w:overflowPunct/>
        <w:topLinePunct w:val="0"/>
        <w:bidi w:val="0"/>
        <w:spacing w:line="576" w:lineRule="exact"/>
        <w:ind w:left="0" w:leftChars="0"/>
        <w:outlineLvl w:val="9"/>
        <w:rPr>
          <w:rFonts w:hint="eastAsia" w:cs="Times New Roman"/>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根据评分标准，</w:t>
      </w:r>
      <w:r>
        <w:rPr>
          <w:rFonts w:hint="eastAsia" w:cs="仿宋_GB2312"/>
          <w:b w:val="0"/>
          <w:bCs w:val="0"/>
          <w:color w:val="auto"/>
          <w:sz w:val="32"/>
          <w:szCs w:val="32"/>
          <w:highlight w:val="none"/>
          <w:lang w:val="en-US" w:eastAsia="zh-CN"/>
        </w:rPr>
        <w:t>园区工作人员对项目实施的满意度为</w:t>
      </w:r>
      <w:r>
        <w:rPr>
          <w:rFonts w:hint="eastAsia" w:ascii="Times New Roman" w:hAnsi="Times New Roman" w:eastAsia="仿宋_GB2312" w:cs="Times New Roman"/>
          <w:bCs/>
          <w:color w:val="auto"/>
          <w:sz w:val="32"/>
          <w:szCs w:val="32"/>
          <w:highlight w:val="none"/>
          <w:lang w:val="en-US" w:eastAsia="zh-CN"/>
        </w:rPr>
        <w:t>100</w:t>
      </w:r>
      <w:r>
        <w:rPr>
          <w:rFonts w:hint="eastAsia" w:cs="仿宋_GB2312"/>
          <w:b w:val="0"/>
          <w:bCs w:val="0"/>
          <w:color w:val="auto"/>
          <w:sz w:val="32"/>
          <w:szCs w:val="32"/>
          <w:highlight w:val="none"/>
          <w:lang w:val="en-US" w:eastAsia="zh-CN"/>
        </w:rPr>
        <w:t>%</w:t>
      </w:r>
      <w:r>
        <w:rPr>
          <w:rFonts w:hint="eastAsia" w:ascii="Times New Roman" w:hAnsi="Times New Roman" w:eastAsia="仿宋_GB2312" w:cs="Times New Roman"/>
          <w:bCs/>
          <w:color w:val="auto"/>
          <w:sz w:val="32"/>
          <w:szCs w:val="32"/>
          <w:highlight w:val="none"/>
          <w:lang w:val="en-US" w:eastAsia="zh-CN"/>
        </w:rPr>
        <w:t>，</w:t>
      </w:r>
      <w:r>
        <w:rPr>
          <w:rFonts w:hint="eastAsia" w:cs="仿宋_GB2312"/>
          <w:b w:val="0"/>
          <w:bCs w:val="0"/>
          <w:color w:val="auto"/>
          <w:sz w:val="32"/>
          <w:szCs w:val="32"/>
          <w:highlight w:val="none"/>
          <w:lang w:val="en-US" w:eastAsia="zh-CN"/>
        </w:rPr>
        <w:t>符合</w:t>
      </w:r>
      <w:r>
        <w:rPr>
          <w:rFonts w:hint="eastAsia" w:ascii="仿宋_GB2312" w:hAnsi="仿宋_GB2312" w:eastAsia="仿宋_GB2312" w:cs="仿宋_GB2312"/>
          <w:b w:val="0"/>
          <w:bCs w:val="0"/>
          <w:color w:val="auto"/>
          <w:sz w:val="32"/>
          <w:szCs w:val="32"/>
          <w:highlight w:val="none"/>
          <w:lang w:val="en-US" w:eastAsia="zh-CN"/>
        </w:rPr>
        <w:t>评分标准，</w:t>
      </w:r>
      <w:r>
        <w:rPr>
          <w:rFonts w:hint="eastAsia" w:ascii="仿宋_GB2312" w:hAnsi="仿宋_GB2312" w:eastAsia="仿宋_GB2312" w:cs="仿宋_GB2312"/>
          <w:b w:val="0"/>
          <w:bCs/>
          <w:color w:val="auto"/>
          <w:szCs w:val="32"/>
          <w:highlight w:val="none"/>
          <w:lang w:val="en-US" w:eastAsia="zh-CN"/>
        </w:rPr>
        <w:t>指标得</w:t>
      </w:r>
      <w:r>
        <w:rPr>
          <w:rFonts w:hint="eastAsia" w:ascii="仿宋_GB2312" w:hAnsi="仿宋_GB2312" w:eastAsia="仿宋_GB2312" w:cs="仿宋_GB2312"/>
          <w:b w:val="0"/>
          <w:bCs w:val="0"/>
          <w:color w:val="auto"/>
          <w:sz w:val="32"/>
          <w:szCs w:val="32"/>
          <w:highlight w:val="none"/>
          <w:lang w:val="en-US" w:eastAsia="zh-CN"/>
        </w:rPr>
        <w:t>分</w:t>
      </w:r>
      <w:r>
        <w:rPr>
          <w:rFonts w:hint="eastAsia" w:ascii="Times New Roman" w:hAnsi="Times New Roman" w:eastAsia="仿宋_GB2312" w:cs="Times New Roman"/>
          <w:bCs/>
          <w:color w:val="auto"/>
          <w:sz w:val="32"/>
          <w:szCs w:val="32"/>
          <w:highlight w:val="none"/>
          <w:lang w:val="en-US" w:eastAsia="zh-CN"/>
        </w:rPr>
        <w:t>4分</w:t>
      </w:r>
      <w:r>
        <w:rPr>
          <w:rFonts w:hint="eastAsia" w:ascii="仿宋_GB2312" w:hAnsi="仿宋_GB2312" w:eastAsia="仿宋_GB2312" w:cs="仿宋_GB2312"/>
          <w:b w:val="0"/>
          <w:bCs w:val="0"/>
          <w:color w:val="auto"/>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firstLine="643" w:firstLineChars="200"/>
        <w:textAlignment w:val="auto"/>
        <w:outlineLvl w:val="9"/>
        <w:rPr>
          <w:rFonts w:hint="eastAsia" w:cs="Times New Roman"/>
          <w:b/>
          <w:bCs/>
          <w:color w:val="auto"/>
          <w:lang w:val="zh-CN"/>
        </w:rPr>
      </w:pPr>
      <w:r>
        <w:rPr>
          <w:rFonts w:hint="eastAsia" w:cs="Times New Roman"/>
          <w:b/>
          <w:bCs/>
          <w:color w:val="auto"/>
          <w:lang w:val="en-US" w:eastAsia="zh-CN"/>
        </w:rPr>
        <w:t>（2）受益群体满意度</w:t>
      </w:r>
      <w:r>
        <w:rPr>
          <w:rFonts w:hint="eastAsia" w:cs="Times New Roman"/>
          <w:b/>
          <w:bCs/>
          <w:color w:val="auto"/>
          <w:lang w:val="zh-CN"/>
        </w:rPr>
        <w:t>（指标分值</w:t>
      </w:r>
      <w:r>
        <w:rPr>
          <w:rFonts w:hint="eastAsia" w:cs="Times New Roman"/>
          <w:b/>
          <w:bCs/>
          <w:color w:val="auto"/>
          <w:lang w:val="en-US" w:eastAsia="zh-CN"/>
        </w:rPr>
        <w:t>4</w:t>
      </w:r>
      <w:r>
        <w:rPr>
          <w:rFonts w:hint="eastAsia" w:cs="Times New Roman"/>
          <w:b/>
          <w:bCs/>
          <w:color w:val="auto"/>
          <w:lang w:val="zh-CN"/>
        </w:rPr>
        <w:t>分）（得分</w:t>
      </w:r>
      <w:r>
        <w:rPr>
          <w:rFonts w:hint="eastAsia" w:cs="Times New Roman"/>
          <w:b/>
          <w:bCs/>
          <w:color w:val="auto"/>
          <w:lang w:val="en-US" w:eastAsia="zh-CN"/>
        </w:rPr>
        <w:t>4</w:t>
      </w:r>
      <w:r>
        <w:rPr>
          <w:rFonts w:hint="eastAsia" w:cs="Times New Roman"/>
          <w:b/>
          <w:bCs/>
          <w:color w:val="auto"/>
          <w:lang w:val="zh-CN"/>
        </w:rPr>
        <w:t>分）</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right="0" w:firstLine="640" w:firstLineChars="200"/>
        <w:textAlignment w:val="auto"/>
        <w:rPr>
          <w:rFonts w:hint="default" w:ascii="Times New Roman" w:hAnsi="Times New Roman" w:eastAsia="仿宋_GB2312" w:cs="Times New Roman"/>
          <w:bCs/>
          <w:color w:val="auto"/>
          <w:sz w:val="32"/>
          <w:szCs w:val="32"/>
          <w:highlight w:val="none"/>
          <w:lang w:val="en-US"/>
        </w:rPr>
      </w:pPr>
      <w:r>
        <w:rPr>
          <w:rFonts w:hint="eastAsia" w:ascii="仿宋_GB2312" w:hAnsi="华文仿宋" w:eastAsia="仿宋_GB2312" w:cs="仿宋"/>
          <w:b w:val="0"/>
          <w:bCs w:val="0"/>
          <w:color w:val="auto"/>
          <w:sz w:val="32"/>
          <w:szCs w:val="32"/>
          <w:highlight w:val="none"/>
          <w:lang w:val="en-US" w:eastAsia="zh-CN"/>
        </w:rPr>
        <w:t>通过开展实地调研和问卷调查，评价组以问卷的形式对</w:t>
      </w:r>
      <w:r>
        <w:rPr>
          <w:rFonts w:hint="eastAsia" w:hAnsi="华文仿宋" w:cs="仿宋"/>
          <w:b w:val="0"/>
          <w:bCs w:val="0"/>
          <w:color w:val="auto"/>
          <w:sz w:val="32"/>
          <w:szCs w:val="32"/>
          <w:highlight w:val="none"/>
          <w:lang w:val="en-US" w:eastAsia="zh-CN"/>
        </w:rPr>
        <w:t>总寨塬智能温室园区道路工程和排水工程项目</w:t>
      </w:r>
      <w:r>
        <w:rPr>
          <w:rFonts w:hint="eastAsia" w:ascii="仿宋_GB2312" w:hAnsi="华文仿宋" w:eastAsia="仿宋_GB2312" w:cs="仿宋"/>
          <w:b w:val="0"/>
          <w:bCs w:val="0"/>
          <w:color w:val="auto"/>
          <w:sz w:val="32"/>
          <w:szCs w:val="32"/>
          <w:highlight w:val="none"/>
          <w:lang w:val="en-US" w:eastAsia="zh-CN"/>
        </w:rPr>
        <w:t>实施满意度开展调查，</w:t>
      </w:r>
      <w:r>
        <w:rPr>
          <w:rFonts w:hint="eastAsia" w:hAnsi="华文仿宋" w:cs="仿宋"/>
          <w:b w:val="0"/>
          <w:bCs w:val="0"/>
          <w:color w:val="auto"/>
          <w:sz w:val="32"/>
          <w:szCs w:val="32"/>
          <w:highlight w:val="none"/>
          <w:lang w:val="en-US" w:eastAsia="zh-CN"/>
        </w:rPr>
        <w:t>在总寨塬智能温室园区</w:t>
      </w:r>
      <w:r>
        <w:rPr>
          <w:rFonts w:hint="eastAsia" w:ascii="仿宋_GB2312" w:hAnsi="华文仿宋" w:eastAsia="仿宋_GB2312" w:cs="仿宋"/>
          <w:b w:val="0"/>
          <w:bCs w:val="0"/>
          <w:color w:val="auto"/>
          <w:sz w:val="32"/>
          <w:szCs w:val="32"/>
          <w:highlight w:val="none"/>
          <w:lang w:val="en-US" w:eastAsia="zh-CN"/>
        </w:rPr>
        <w:t>邀请</w:t>
      </w:r>
      <w:r>
        <w:rPr>
          <w:rFonts w:hint="eastAsia" w:hAnsi="华文仿宋" w:cs="仿宋"/>
          <w:b w:val="0"/>
          <w:bCs w:val="0"/>
          <w:color w:val="auto"/>
          <w:sz w:val="32"/>
          <w:szCs w:val="32"/>
          <w:highlight w:val="none"/>
          <w:lang w:val="en-US" w:eastAsia="zh-CN"/>
        </w:rPr>
        <w:t>此次项目涉及的承包总寨塬高台</w:t>
      </w:r>
      <w:r>
        <w:rPr>
          <w:rFonts w:hint="eastAsia" w:ascii="Times New Roman" w:hAnsi="Times New Roman" w:eastAsia="仿宋_GB2312" w:cs="Times New Roman"/>
          <w:bCs/>
          <w:color w:val="auto"/>
          <w:sz w:val="32"/>
          <w:szCs w:val="32"/>
          <w:highlight w:val="none"/>
          <w:lang w:val="en-US" w:eastAsia="zh-CN"/>
        </w:rPr>
        <w:t>25座日光温室的5户种植户参与问卷调查，以了解受益群体对项目实施的满意程度。根据问卷统计结果，受益种植户对总寨塬智能温室园区道路工程和排水工程项目实施满意度为100%，受益种植户认为项目的实施切实解决了道路积水、出行困难、蔬菜无法及时运出的实际问题。</w:t>
      </w:r>
    </w:p>
    <w:p>
      <w:pPr>
        <w:keepNext w:val="0"/>
        <w:keepLines w:val="0"/>
        <w:pageBreakBefore w:val="0"/>
        <w:widowControl w:val="0"/>
        <w:kinsoku/>
        <w:wordWrap/>
        <w:overflowPunct/>
        <w:topLinePunct w:val="0"/>
        <w:autoSpaceDE/>
        <w:autoSpaceDN/>
        <w:bidi w:val="0"/>
        <w:adjustRightInd/>
        <w:snapToGrid/>
        <w:spacing w:beforeAutospacing="0" w:afterAutospacing="0" w:line="576" w:lineRule="exact"/>
        <w:ind w:left="0" w:leftChars="0" w:right="0" w:firstLine="640" w:firstLineChars="200"/>
        <w:textAlignment w:val="auto"/>
        <w:rPr>
          <w:rFonts w:hint="eastAsia" w:ascii="Times New Roman" w:hAnsi="Times New Roman"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highlight w:val="none"/>
          <w:lang w:val="en-US" w:eastAsia="zh-CN"/>
        </w:rPr>
        <w:t>根据评分标准，受益群众对项目实施效果的满意度为100%，符合评分标准，指标得分4分。</w:t>
      </w:r>
    </w:p>
    <w:p>
      <w:pPr>
        <w:pageBreakBefore w:val="0"/>
        <w:overflowPunct/>
        <w:topLinePunct w:val="0"/>
        <w:autoSpaceDE w:val="0"/>
        <w:autoSpaceDN w:val="0"/>
        <w:bidi w:val="0"/>
        <w:spacing w:line="576" w:lineRule="exact"/>
        <w:ind w:left="0" w:leftChars="0"/>
        <w:jc w:val="left"/>
        <w:outlineLvl w:val="0"/>
        <w:rPr>
          <w:rFonts w:hint="eastAsia" w:ascii="黑体" w:hAnsi="黑体" w:eastAsia="黑体" w:cs="黑体"/>
          <w:b/>
          <w:bCs/>
          <w:color w:val="auto"/>
          <w:szCs w:val="32"/>
          <w:lang w:val="zh-CN"/>
        </w:rPr>
      </w:pPr>
      <w:bookmarkStart w:id="1037" w:name="_Toc27474"/>
      <w:bookmarkStart w:id="1038" w:name="_Toc27666"/>
      <w:bookmarkStart w:id="1039" w:name="_Toc21668"/>
      <w:bookmarkStart w:id="1040" w:name="_Toc5466"/>
      <w:bookmarkStart w:id="1041" w:name="_Toc1979"/>
      <w:r>
        <w:rPr>
          <w:rFonts w:hint="eastAsia" w:ascii="黑体" w:hAnsi="黑体" w:eastAsia="黑体" w:cs="黑体"/>
          <w:b/>
          <w:bCs/>
          <w:color w:val="auto"/>
          <w:szCs w:val="32"/>
          <w:lang w:val="zh-CN"/>
        </w:rPr>
        <w:t>六、项目主要经验及做法</w:t>
      </w:r>
      <w:bookmarkEnd w:id="1018"/>
      <w:bookmarkEnd w:id="1019"/>
      <w:bookmarkEnd w:id="1037"/>
      <w:bookmarkEnd w:id="1038"/>
      <w:bookmarkEnd w:id="1039"/>
      <w:bookmarkEnd w:id="1040"/>
      <w:bookmarkEnd w:id="1041"/>
    </w:p>
    <w:p>
      <w:pPr>
        <w:pageBreakBefore w:val="0"/>
        <w:overflowPunct/>
        <w:topLinePunct w:val="0"/>
        <w:autoSpaceDE w:val="0"/>
        <w:autoSpaceDN w:val="0"/>
        <w:bidi w:val="0"/>
        <w:spacing w:line="576" w:lineRule="exact"/>
        <w:ind w:left="0" w:leftChars="0"/>
        <w:jc w:val="left"/>
        <w:outlineLvl w:val="0"/>
        <w:rPr>
          <w:rFonts w:hint="eastAsia" w:ascii="楷体_GB2312" w:hAnsi="楷体_GB2312" w:eastAsia="楷体_GB2312" w:cs="楷体_GB2312"/>
          <w:b/>
          <w:bCs/>
          <w:color w:val="auto"/>
          <w:szCs w:val="32"/>
          <w:lang w:val="en-US" w:eastAsia="zh-CN"/>
        </w:rPr>
      </w:pPr>
      <w:bookmarkStart w:id="1042" w:name="_Toc27399"/>
      <w:bookmarkStart w:id="1043" w:name="_Toc26535"/>
      <w:bookmarkStart w:id="1044" w:name="_Toc16255"/>
      <w:bookmarkStart w:id="1045" w:name="_Toc28452"/>
      <w:bookmarkStart w:id="1046" w:name="_Toc25741"/>
      <w:bookmarkStart w:id="1047" w:name="_Toc25563"/>
      <w:bookmarkStart w:id="1048" w:name="_Toc14329"/>
      <w:r>
        <w:rPr>
          <w:rFonts w:hint="eastAsia" w:ascii="楷体_GB2312" w:hAnsi="楷体_GB2312" w:eastAsia="楷体_GB2312" w:cs="楷体_GB2312"/>
          <w:b/>
          <w:bCs/>
          <w:color w:val="auto"/>
          <w:szCs w:val="32"/>
          <w:lang w:val="en-US" w:eastAsia="zh-CN"/>
        </w:rPr>
        <w:t>（一）聘请第三方提供全过程质量检验服务</w:t>
      </w:r>
      <w:bookmarkEnd w:id="1042"/>
      <w:bookmarkEnd w:id="1043"/>
      <w:bookmarkEnd w:id="1044"/>
      <w:bookmarkEnd w:id="1045"/>
      <w:bookmarkEnd w:id="1046"/>
    </w:p>
    <w:p>
      <w:pPr>
        <w:keepNext w:val="0"/>
        <w:keepLines w:val="0"/>
        <w:pageBreakBefore w:val="0"/>
        <w:widowControl w:val="0"/>
        <w:kinsoku/>
        <w:wordWrap/>
        <w:overflowPunct/>
        <w:topLinePunct w:val="0"/>
        <w:autoSpaceDE/>
        <w:autoSpaceDN/>
        <w:bidi w:val="0"/>
        <w:adjustRightInd/>
        <w:snapToGrid w:val="0"/>
        <w:spacing w:line="576" w:lineRule="exact"/>
        <w:ind w:left="0" w:leftChars="0"/>
        <w:textAlignment w:val="auto"/>
        <w:outlineLvl w:val="9"/>
        <w:rPr>
          <w:rFonts w:hint="default"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城中区总寨塬智能温室园区排水工程项目聘请第三方质检</w:t>
      </w:r>
      <w:r>
        <w:rPr>
          <w:rFonts w:hint="eastAsia" w:cs="仿宋_GB2312"/>
          <w:b w:val="0"/>
          <w:bCs w:val="0"/>
          <w:color w:val="auto"/>
          <w:kern w:val="2"/>
          <w:sz w:val="32"/>
          <w:szCs w:val="32"/>
          <w:highlight w:val="none"/>
          <w:lang w:val="en-US" w:eastAsia="zh-CN" w:bidi="ar-SA"/>
        </w:rPr>
        <w:t>单位</w:t>
      </w:r>
      <w:r>
        <w:rPr>
          <w:rFonts w:hint="eastAsia" w:ascii="仿宋_GB2312" w:hAnsi="仿宋_GB2312" w:eastAsia="仿宋_GB2312" w:cs="仿宋_GB2312"/>
          <w:b w:val="0"/>
          <w:bCs w:val="0"/>
          <w:color w:val="auto"/>
          <w:kern w:val="2"/>
          <w:sz w:val="32"/>
          <w:szCs w:val="32"/>
          <w:highlight w:val="none"/>
          <w:lang w:val="en-US" w:eastAsia="zh-CN" w:bidi="ar-SA"/>
        </w:rPr>
        <w:t>为排水工程建设提供项目建设全过程质量检验服务。第三方质检单位依据质检技术服务合同要求、《水工混凝土施工规范》</w:t>
      </w:r>
      <w:r>
        <w:rPr>
          <w:rFonts w:hint="eastAsia" w:ascii="Times New Roman" w:hAnsi="Times New Roman" w:eastAsia="仿宋_GB2312" w:cs="Times New Roman"/>
          <w:bCs/>
          <w:color w:val="auto"/>
          <w:sz w:val="32"/>
          <w:szCs w:val="32"/>
          <w:highlight w:val="none"/>
          <w:lang w:val="en-US" w:eastAsia="zh-CN"/>
        </w:rPr>
        <w:t>SL677-2014、《水工混凝土试验规范》SL352-2006、《水利水电施工质量检验与评定规程》SL176-2007等行</w:t>
      </w:r>
      <w:r>
        <w:rPr>
          <w:rFonts w:hint="eastAsia" w:ascii="仿宋_GB2312" w:hAnsi="仿宋_GB2312" w:eastAsia="仿宋_GB2312" w:cs="仿宋_GB2312"/>
          <w:b w:val="0"/>
          <w:bCs w:val="0"/>
          <w:color w:val="auto"/>
          <w:kern w:val="2"/>
          <w:sz w:val="32"/>
          <w:szCs w:val="32"/>
          <w:highlight w:val="none"/>
          <w:lang w:val="en-US" w:eastAsia="zh-CN" w:bidi="ar-SA"/>
        </w:rPr>
        <w:t>业质量检测规范、规程，对原材料、水泥、钢筋进场后进行抽样检测，对混凝土拌和物、砂石骨料等在施工单位自检的基础上抽取样品检测，对混凝土抗压试件在出机口随机取样成型</w:t>
      </w:r>
      <w:r>
        <w:rPr>
          <w:rFonts w:hint="eastAsia" w:cs="仿宋_GB2312"/>
          <w:b w:val="0"/>
          <w:bCs w:val="0"/>
          <w:color w:val="auto"/>
          <w:kern w:val="2"/>
          <w:sz w:val="32"/>
          <w:szCs w:val="32"/>
          <w:highlight w:val="none"/>
          <w:lang w:val="en-US" w:eastAsia="zh-CN" w:bidi="ar-SA"/>
        </w:rPr>
        <w:t>检测，并参与工程竣工验收检验</w:t>
      </w:r>
      <w:r>
        <w:rPr>
          <w:rFonts w:hint="eastAsia" w:ascii="仿宋_GB2312" w:hAnsi="仿宋_GB2312" w:eastAsia="仿宋_GB2312" w:cs="仿宋_GB2312"/>
          <w:b w:val="0"/>
          <w:bCs w:val="0"/>
          <w:color w:val="auto"/>
          <w:kern w:val="2"/>
          <w:sz w:val="32"/>
          <w:szCs w:val="32"/>
          <w:highlight w:val="none"/>
          <w:lang w:val="en-US" w:eastAsia="zh-CN" w:bidi="ar-SA"/>
        </w:rPr>
        <w:t>。</w:t>
      </w:r>
      <w:r>
        <w:rPr>
          <w:rFonts w:hint="eastAsia" w:cs="仿宋_GB2312"/>
          <w:b w:val="0"/>
          <w:bCs w:val="0"/>
          <w:color w:val="auto"/>
          <w:kern w:val="2"/>
          <w:sz w:val="32"/>
          <w:szCs w:val="32"/>
          <w:highlight w:val="none"/>
          <w:lang w:val="en-US" w:eastAsia="zh-CN" w:bidi="ar-SA"/>
        </w:rPr>
        <w:t>第三方质检单位专业性更强，检测设备齐全，能够严格、公正、客观地反映工程质量，有效保障了工程质量安全，杜绝了质量弄虚作假。</w:t>
      </w:r>
    </w:p>
    <w:p>
      <w:pPr>
        <w:pageBreakBefore w:val="0"/>
        <w:overflowPunct/>
        <w:topLinePunct w:val="0"/>
        <w:autoSpaceDE w:val="0"/>
        <w:autoSpaceDN w:val="0"/>
        <w:bidi w:val="0"/>
        <w:spacing w:line="576" w:lineRule="exact"/>
        <w:ind w:left="0" w:leftChars="0"/>
        <w:jc w:val="left"/>
        <w:outlineLvl w:val="0"/>
        <w:rPr>
          <w:rFonts w:hint="eastAsia" w:ascii="黑体" w:hAnsi="黑体" w:eastAsia="黑体" w:cs="黑体"/>
          <w:b/>
          <w:bCs/>
          <w:color w:val="auto"/>
          <w:szCs w:val="32"/>
          <w:lang w:val="zh-CN"/>
        </w:rPr>
      </w:pPr>
      <w:bookmarkStart w:id="1049" w:name="_Toc6828"/>
      <w:bookmarkStart w:id="1050" w:name="_Toc12050"/>
      <w:bookmarkStart w:id="1051" w:name="_Toc13142"/>
      <w:bookmarkStart w:id="1052" w:name="_Toc15028"/>
      <w:bookmarkStart w:id="1053" w:name="_Toc27464"/>
      <w:r>
        <w:rPr>
          <w:rFonts w:hint="eastAsia" w:ascii="黑体" w:hAnsi="黑体" w:eastAsia="黑体" w:cs="黑体"/>
          <w:b/>
          <w:bCs/>
          <w:color w:val="auto"/>
          <w:szCs w:val="32"/>
          <w:lang w:val="zh-CN"/>
        </w:rPr>
        <w:t>七、存在的问题及原因分析</w:t>
      </w:r>
      <w:bookmarkEnd w:id="1047"/>
      <w:bookmarkEnd w:id="1048"/>
      <w:bookmarkEnd w:id="1049"/>
      <w:bookmarkEnd w:id="1050"/>
      <w:bookmarkEnd w:id="1051"/>
      <w:bookmarkEnd w:id="1052"/>
      <w:bookmarkEnd w:id="1053"/>
    </w:p>
    <w:p>
      <w:pPr>
        <w:pageBreakBefore w:val="0"/>
        <w:widowControl w:val="0"/>
        <w:overflowPunct/>
        <w:topLinePunct w:val="0"/>
        <w:bidi w:val="0"/>
        <w:spacing w:line="576" w:lineRule="exact"/>
        <w:ind w:left="0" w:leftChars="0" w:firstLine="643" w:firstLineChars="200"/>
        <w:jc w:val="left"/>
        <w:outlineLvl w:val="1"/>
        <w:rPr>
          <w:rFonts w:hint="default" w:ascii="楷体_GB2312" w:hAnsi="楷体_GB2312" w:eastAsia="楷体_GB2312" w:cs="楷体_GB2312"/>
          <w:b/>
          <w:bCs/>
          <w:color w:val="auto"/>
          <w:kern w:val="2"/>
          <w:sz w:val="32"/>
          <w:szCs w:val="32"/>
          <w:highlight w:val="none"/>
          <w:lang w:val="en-US" w:eastAsia="zh-CN" w:bidi="ar-SA"/>
        </w:rPr>
      </w:pPr>
      <w:bookmarkStart w:id="1054" w:name="_Toc25443"/>
      <w:bookmarkStart w:id="1055" w:name="_Toc24058"/>
      <w:bookmarkStart w:id="1056" w:name="_Toc15440"/>
      <w:bookmarkStart w:id="1057" w:name="_Toc9216"/>
      <w:bookmarkStart w:id="1058" w:name="_Toc7341"/>
      <w:bookmarkStart w:id="1059" w:name="_Toc13619"/>
      <w:bookmarkStart w:id="1060" w:name="_Toc6485"/>
      <w:bookmarkStart w:id="1061" w:name="_Toc23672"/>
      <w:r>
        <w:rPr>
          <w:rFonts w:hint="eastAsia" w:ascii="楷体_GB2312" w:hAnsi="楷体_GB2312" w:eastAsia="楷体_GB2312" w:cs="楷体_GB2312"/>
          <w:b/>
          <w:bCs/>
          <w:color w:val="auto"/>
          <w:kern w:val="2"/>
          <w:sz w:val="32"/>
          <w:szCs w:val="32"/>
          <w:highlight w:val="none"/>
          <w:lang w:val="en-US" w:eastAsia="zh-CN" w:bidi="ar-SA"/>
        </w:rPr>
        <w:t>（一）</w:t>
      </w:r>
      <w:bookmarkEnd w:id="1054"/>
      <w:bookmarkEnd w:id="1055"/>
      <w:bookmarkEnd w:id="1056"/>
      <w:bookmarkEnd w:id="1057"/>
      <w:r>
        <w:rPr>
          <w:rFonts w:hint="eastAsia" w:ascii="楷体_GB2312" w:hAnsi="楷体_GB2312" w:eastAsia="楷体_GB2312" w:cs="楷体_GB2312"/>
          <w:b/>
          <w:bCs/>
          <w:color w:val="auto"/>
          <w:kern w:val="2"/>
          <w:sz w:val="32"/>
          <w:szCs w:val="32"/>
          <w:highlight w:val="none"/>
          <w:lang w:val="en-US" w:eastAsia="zh-CN" w:bidi="ar-SA"/>
        </w:rPr>
        <w:t>项目工程款未按合同约定比例和进度支出，排水工程工程款资金支付方式不明确</w:t>
      </w:r>
      <w:bookmarkEnd w:id="1058"/>
      <w:bookmarkEnd w:id="1059"/>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楷体_GB2312" w:hAnsi="楷体_GB2312" w:eastAsia="楷体_GB2312" w:cs="楷体_GB2312"/>
          <w:b/>
          <w:bCs/>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项目工程款未按合同约定比例和进度支出，</w:t>
      </w:r>
      <w:r>
        <w:rPr>
          <w:rFonts w:hint="eastAsia" w:ascii="Times New Roman" w:hAnsi="Times New Roman" w:eastAsia="仿宋_GB2312" w:cs="Times New Roman"/>
          <w:bCs/>
          <w:color w:val="auto"/>
          <w:sz w:val="32"/>
          <w:szCs w:val="32"/>
          <w:highlight w:val="none"/>
          <w:lang w:val="en-US" w:eastAsia="zh-CN"/>
        </w:rPr>
        <w:t>具体为：1.道路工程项目于2020年9月11日支付第一笔工程款57.84万元，2020年10月12日支付第二笔工程款77.12万元，2020年11月11日支付第三笔工程款28.92万元，2020年12月17日支付第四笔工程款25.83万元，依据道路工程签订的《建设工程施工合同》中关于付款周期“分3次支付，支付30%预付款，工程完工后支付60%，验收完结清。”的约定，工程施工款项未按合同约定的工程进度支出，且付款比例与合同不符；2.排水工程项目于2020年9月11日支付第一笔工程款31.28万元，2020年10月12日支付第二笔工程款41.71万元，2020年11月11日支付第三笔工程款15.64万元，2020年12月15日支付第四笔工程款17.39万元，由</w:t>
      </w:r>
      <w:r>
        <w:rPr>
          <w:rFonts w:hint="eastAsia" w:ascii="仿宋_GB2312" w:hAnsi="仿宋_GB2312" w:eastAsia="仿宋_GB2312" w:cs="Times New Roman"/>
          <w:color w:val="auto"/>
          <w:kern w:val="2"/>
          <w:sz w:val="32"/>
          <w:szCs w:val="24"/>
          <w:lang w:val="en-US" w:eastAsia="zh-CN" w:bidi="ar-SA"/>
        </w:rPr>
        <w:t>于排水工程施工合同中未对付款周期及付款比例进行约定，且未查阅到监理工程量签证，因此无法核实排水工程资金支付是否按工程进度支付。</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bCs/>
          <w:color w:val="auto"/>
          <w:kern w:val="2"/>
          <w:sz w:val="32"/>
          <w:szCs w:val="32"/>
          <w:highlight w:val="none"/>
          <w:lang w:val="en-US" w:eastAsia="zh-CN" w:bidi="ar-SA"/>
        </w:rPr>
      </w:pPr>
      <w:bookmarkStart w:id="1062" w:name="_Toc10054"/>
      <w:bookmarkStart w:id="1063" w:name="_Toc22016"/>
      <w:bookmarkStart w:id="1064" w:name="_Toc11970"/>
      <w:bookmarkStart w:id="1065" w:name="_Toc31352"/>
      <w:bookmarkStart w:id="1066" w:name="_Toc23567"/>
      <w:r>
        <w:rPr>
          <w:rFonts w:hint="eastAsia" w:ascii="楷体_GB2312" w:hAnsi="楷体_GB2312" w:eastAsia="楷体_GB2312" w:cs="楷体_GB2312"/>
          <w:b/>
          <w:bCs/>
          <w:color w:val="auto"/>
          <w:kern w:val="2"/>
          <w:sz w:val="32"/>
          <w:szCs w:val="32"/>
          <w:highlight w:val="none"/>
          <w:lang w:val="en-US" w:eastAsia="zh-CN" w:bidi="ar-SA"/>
        </w:rPr>
        <w:t>（二）项目移交管护不及时</w:t>
      </w:r>
      <w:bookmarkEnd w:id="1062"/>
      <w:bookmarkEnd w:id="1063"/>
      <w:bookmarkEnd w:id="1064"/>
      <w:bookmarkEnd w:id="1065"/>
      <w:bookmarkEnd w:id="1066"/>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仿宋_GB2312"/>
          <w:color w:val="auto"/>
          <w:kern w:val="2"/>
          <w:sz w:val="32"/>
          <w:szCs w:val="24"/>
          <w:lang w:val="en-US" w:eastAsia="zh-CN" w:bidi="ar-SA"/>
        </w:rPr>
      </w:pPr>
      <w:r>
        <w:rPr>
          <w:rFonts w:hint="eastAsia" w:ascii="仿宋_GB2312" w:hAnsi="仿宋_GB2312" w:eastAsia="仿宋_GB2312" w:cs="Times New Roman"/>
          <w:color w:val="auto"/>
          <w:kern w:val="2"/>
          <w:sz w:val="32"/>
          <w:szCs w:val="24"/>
          <w:lang w:val="en-US" w:eastAsia="zh-CN" w:bidi="ar-SA"/>
        </w:rPr>
        <w:t>城中区总寨塬智能温室园区道路工程和排水工程项目于</w:t>
      </w:r>
      <w:r>
        <w:rPr>
          <w:rFonts w:hint="eastAsia" w:ascii="Times New Roman" w:hAnsi="Times New Roman" w:eastAsia="仿宋_GB2312" w:cs="Times New Roman"/>
          <w:bCs/>
          <w:color w:val="auto"/>
          <w:sz w:val="32"/>
          <w:szCs w:val="32"/>
          <w:highlight w:val="none"/>
          <w:lang w:val="en-US" w:eastAsia="zh-CN"/>
        </w:rPr>
        <w:t>2020年10月30日全部完工，截至2021年11月24日评价组调研期间，城中区农业农村和乡村振兴局尚未将城中区总寨塬智能温室园区道路工程和排水工程项目移交总寨塬智能温室园区管护。由于缺乏管护保障，项目存在以下问题：1.项目新建的“主线1”和“主线2”两条道路因大型车辆通行，造成部分路段受损，路面起伏不平，未得到及时、有效管护；2.园区部分</w:t>
      </w:r>
      <w:r>
        <w:rPr>
          <w:rFonts w:hint="eastAsia" w:ascii="仿宋_GB2312" w:hAnsi="仿宋_GB2312" w:eastAsia="仿宋_GB2312" w:cs="仿宋_GB2312"/>
          <w:color w:val="auto"/>
          <w:kern w:val="2"/>
          <w:sz w:val="32"/>
          <w:szCs w:val="24"/>
          <w:lang w:val="en-US" w:eastAsia="zh-CN" w:bidi="ar-SA"/>
        </w:rPr>
        <w:t>支线道路边及阳光带堆积大量农业生产产生的农业废弃物，无人清理，清理责任不明，影响园区种植环境，同时存在安全隐患。</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bCs/>
          <w:color w:val="auto"/>
          <w:kern w:val="2"/>
          <w:sz w:val="32"/>
          <w:szCs w:val="32"/>
          <w:highlight w:val="none"/>
          <w:lang w:val="en-US" w:eastAsia="zh-CN" w:bidi="ar-SA"/>
        </w:rPr>
      </w:pPr>
      <w:bookmarkStart w:id="1067" w:name="_Toc9934"/>
      <w:bookmarkStart w:id="1068" w:name="_Toc31485"/>
      <w:bookmarkStart w:id="1069" w:name="_Toc21128"/>
      <w:bookmarkStart w:id="1070" w:name="_Toc8422"/>
      <w:bookmarkStart w:id="1071" w:name="_Toc15566"/>
      <w:r>
        <w:rPr>
          <w:rFonts w:hint="eastAsia" w:ascii="楷体_GB2312" w:hAnsi="楷体_GB2312" w:eastAsia="楷体_GB2312" w:cs="楷体_GB2312"/>
          <w:b/>
          <w:bCs/>
          <w:color w:val="auto"/>
          <w:kern w:val="2"/>
          <w:sz w:val="32"/>
          <w:szCs w:val="32"/>
          <w:highlight w:val="none"/>
          <w:lang w:val="en-US" w:eastAsia="zh-CN" w:bidi="ar-SA"/>
        </w:rPr>
        <w:t>（三）财务管理和档案管理工作有待加强</w:t>
      </w:r>
      <w:bookmarkEnd w:id="1067"/>
      <w:bookmarkEnd w:id="1068"/>
      <w:bookmarkEnd w:id="1069"/>
      <w:bookmarkEnd w:id="1070"/>
      <w:bookmarkEnd w:id="1071"/>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right="0" w:rightChars="0" w:firstLine="640" w:firstLineChars="200"/>
        <w:jc w:val="both"/>
        <w:textAlignment w:val="auto"/>
        <w:outlineLvl w:val="9"/>
        <w:rPr>
          <w:rFonts w:hint="default" w:ascii="仿宋_GB2312" w:hAnsi="仿宋_GB2312" w:eastAsia="仿宋_GB2312" w:cs="仿宋_GB2312"/>
          <w:b w:val="0"/>
          <w:bCs w:val="0"/>
          <w:color w:val="auto"/>
          <w:sz w:val="32"/>
          <w:szCs w:val="32"/>
          <w:highlight w:val="none"/>
          <w:lang w:val="en-US" w:eastAsia="zh-CN"/>
        </w:rPr>
      </w:pPr>
      <w:bookmarkStart w:id="1072" w:name="_Toc24502"/>
      <w:bookmarkStart w:id="1073" w:name="_Toc2180"/>
      <w:bookmarkStart w:id="1074" w:name="_Toc19890"/>
      <w:r>
        <w:rPr>
          <w:rFonts w:hint="eastAsia" w:ascii="仿宋_GB2312" w:hAnsi="仿宋_GB2312" w:eastAsia="仿宋_GB2312" w:cs="仿宋_GB2312"/>
          <w:color w:val="auto"/>
          <w:kern w:val="2"/>
          <w:sz w:val="32"/>
          <w:szCs w:val="32"/>
          <w:lang w:val="en-US" w:eastAsia="zh-CN" w:bidi="ar-SA"/>
        </w:rPr>
        <w:t>在评价过程中发现，项目</w:t>
      </w:r>
      <w:r>
        <w:rPr>
          <w:rFonts w:hint="eastAsia" w:cs="仿宋_GB2312"/>
          <w:color w:val="auto"/>
          <w:kern w:val="2"/>
          <w:sz w:val="32"/>
          <w:szCs w:val="32"/>
          <w:lang w:val="en-US" w:eastAsia="zh-CN" w:bidi="ar-SA"/>
        </w:rPr>
        <w:t>资</w:t>
      </w:r>
      <w:r>
        <w:rPr>
          <w:rFonts w:hint="eastAsia" w:cs="仿宋_GB2312"/>
          <w:b w:val="0"/>
          <w:bCs w:val="0"/>
          <w:color w:val="auto"/>
          <w:sz w:val="32"/>
          <w:szCs w:val="32"/>
          <w:highlight w:val="none"/>
          <w:lang w:val="en-US" w:eastAsia="zh-CN"/>
        </w:rPr>
        <w:t>金支出明细账中存在记账凭证摘要错误，导致费用归类有误的情况，如：道路工程款记入排水工程明细账中，排水工程监理费、管理费、质检费记入道路工程明细账中，财务管理规范性不足；财务资料中缺少资金下达文件和绩效目标申报表，财务档案管理水平有待提升；由于评价组调研前夕，城中区农业农村和乡村振兴局办公区域整体装修，项目档案资料装箱另存，截至评价组调研期间办公区域仍未装修完毕，导致排水工程监理工程量签证、道路工程竣工验收资料、工程量变更批复项目部分资料未找到，无法核对工程变更量、道路工程完成情况和道路工程验收质量，项目档案管理仍需加强。</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bCs/>
          <w:color w:val="auto"/>
          <w:kern w:val="2"/>
          <w:sz w:val="32"/>
          <w:szCs w:val="32"/>
          <w:highlight w:val="none"/>
          <w:lang w:val="en-US" w:eastAsia="zh-CN" w:bidi="ar-SA"/>
        </w:rPr>
      </w:pPr>
      <w:bookmarkStart w:id="1075" w:name="_Toc19809"/>
      <w:bookmarkStart w:id="1076" w:name="_Toc12554"/>
      <w:r>
        <w:rPr>
          <w:rFonts w:hint="eastAsia" w:ascii="楷体_GB2312" w:hAnsi="楷体_GB2312" w:eastAsia="楷体_GB2312" w:cs="楷体_GB2312"/>
          <w:b/>
          <w:bCs/>
          <w:color w:val="auto"/>
          <w:kern w:val="2"/>
          <w:sz w:val="32"/>
          <w:szCs w:val="32"/>
          <w:highlight w:val="none"/>
          <w:lang w:val="en-US" w:eastAsia="zh-CN" w:bidi="ar-SA"/>
        </w:rPr>
        <w:t>（四）绩效指标设置不够细化明确</w:t>
      </w:r>
      <w:bookmarkEnd w:id="1072"/>
      <w:bookmarkEnd w:id="1073"/>
      <w:bookmarkEnd w:id="1074"/>
      <w:bookmarkEnd w:id="1075"/>
      <w:bookmarkEnd w:id="1076"/>
    </w:p>
    <w:p>
      <w:pPr>
        <w:pageBreakBefore w:val="0"/>
        <w:overflowPunct/>
        <w:topLinePunct w:val="0"/>
        <w:bidi w:val="0"/>
        <w:spacing w:line="576" w:lineRule="exact"/>
        <w:ind w:left="0" w:leftChars="0"/>
        <w:rPr>
          <w:rFonts w:hint="eastAsia" w:ascii="仿宋_GB2312" w:hAnsi="仿宋_GB2312" w:eastAsia="仿宋_GB2312" w:cs="仿宋_GB2312"/>
          <w:b w:val="0"/>
          <w:bCs w:val="0"/>
          <w:color w:val="auto"/>
          <w:sz w:val="32"/>
          <w:szCs w:val="32"/>
          <w:highlight w:val="none"/>
          <w:lang w:val="en-US" w:eastAsia="zh-CN"/>
        </w:rPr>
      </w:pPr>
      <w:bookmarkStart w:id="1077" w:name="_Toc12918"/>
      <w:bookmarkStart w:id="1078" w:name="_Toc329"/>
      <w:bookmarkStart w:id="1079" w:name="_Toc28732"/>
      <w:r>
        <w:rPr>
          <w:rFonts w:hint="eastAsia" w:cs="Times New Roman"/>
          <w:color w:val="auto"/>
          <w:lang w:val="en-US" w:eastAsia="zh-CN"/>
        </w:rPr>
        <w:t>根据</w:t>
      </w:r>
      <w:r>
        <w:rPr>
          <w:rFonts w:hint="eastAsia" w:cs="Times New Roman"/>
          <w:color w:val="auto"/>
          <w:lang w:eastAsia="zh-CN"/>
        </w:rPr>
        <w:t>《</w:t>
      </w:r>
      <w:r>
        <w:rPr>
          <w:rFonts w:hint="eastAsia" w:cs="仿宋_GB2312"/>
          <w:b w:val="0"/>
          <w:bCs/>
          <w:color w:val="auto"/>
          <w:szCs w:val="32"/>
          <w:lang w:val="en-US" w:eastAsia="zh-CN"/>
        </w:rPr>
        <w:t>城中区总寨塬智能连栋温室园区道路工程项目</w:t>
      </w:r>
      <w:r>
        <w:rPr>
          <w:rFonts w:hint="eastAsia" w:cs="Times New Roman"/>
          <w:color w:val="auto"/>
          <w:lang w:val="en-US" w:eastAsia="zh-CN"/>
        </w:rPr>
        <w:t>绩效目标申报表</w:t>
      </w:r>
      <w:r>
        <w:rPr>
          <w:rFonts w:hint="eastAsia" w:cs="Times New Roman"/>
          <w:color w:val="auto"/>
          <w:lang w:eastAsia="zh-CN"/>
        </w:rPr>
        <w:t>》</w:t>
      </w:r>
      <w:r>
        <w:rPr>
          <w:rFonts w:hint="eastAsia" w:cs="Times New Roman"/>
          <w:color w:val="auto"/>
          <w:lang w:val="en-US" w:eastAsia="zh-CN"/>
        </w:rPr>
        <w:t>和</w:t>
      </w:r>
      <w:r>
        <w:rPr>
          <w:rFonts w:hint="eastAsia" w:cs="Times New Roman"/>
          <w:color w:val="auto"/>
          <w:lang w:eastAsia="zh-CN"/>
        </w:rPr>
        <w:t>《</w:t>
      </w:r>
      <w:r>
        <w:rPr>
          <w:rFonts w:hint="eastAsia" w:cs="仿宋_GB2312"/>
          <w:b w:val="0"/>
          <w:bCs/>
          <w:color w:val="auto"/>
          <w:szCs w:val="32"/>
          <w:lang w:val="en-US" w:eastAsia="zh-CN"/>
        </w:rPr>
        <w:t>城中区总寨塬智能连栋温室园区排水工程项目</w:t>
      </w:r>
      <w:r>
        <w:rPr>
          <w:rFonts w:hint="eastAsia" w:cs="Times New Roman"/>
          <w:color w:val="auto"/>
          <w:lang w:val="en-US" w:eastAsia="zh-CN"/>
        </w:rPr>
        <w:t>绩效目标申报表</w:t>
      </w:r>
      <w:r>
        <w:rPr>
          <w:rFonts w:hint="eastAsia" w:cs="Times New Roman"/>
          <w:color w:val="auto"/>
          <w:lang w:eastAsia="zh-CN"/>
        </w:rPr>
        <w:t>》，</w:t>
      </w:r>
      <w:r>
        <w:rPr>
          <w:rFonts w:hint="eastAsia" w:cs="Times New Roman"/>
          <w:color w:val="auto"/>
          <w:lang w:val="en-US" w:eastAsia="zh-CN"/>
        </w:rPr>
        <w:t>城中区总寨塬道路工程和排水工程项目绩效目标设定基本合理，未能将项目绩效目标全部标细化分解为具体的绩效指标，例如：产出指标未分解为成本指标和时效指标两个二级指标，不能通过可衡量的指标值体现项目成</w:t>
      </w:r>
      <w:r>
        <w:rPr>
          <w:rFonts w:hint="eastAsia" w:cs="Times New Roman"/>
          <w:color w:val="auto"/>
          <w:highlight w:val="none"/>
          <w:lang w:val="en-US" w:eastAsia="zh-CN"/>
        </w:rPr>
        <w:t>本控制情况和完成时效情况，数量指标的三级指标未细化成具体的指标，绩效指标不够明确，不符合</w:t>
      </w:r>
      <w:r>
        <w:rPr>
          <w:rFonts w:hint="eastAsia" w:ascii="仿宋_GB2312" w:eastAsia="仿宋_GB2312" w:cs="Times New Roman"/>
          <w:bCs/>
          <w:color w:val="auto"/>
          <w:sz w:val="32"/>
          <w:szCs w:val="32"/>
          <w:highlight w:val="none"/>
          <w:lang w:val="en-US" w:eastAsia="zh-CN"/>
        </w:rPr>
        <w:t>《中共青海省委</w:t>
      </w:r>
      <w:r>
        <w:rPr>
          <w:rFonts w:hint="eastAsia" w:cs="Times New Roman"/>
          <w:bCs/>
          <w:color w:val="auto"/>
          <w:sz w:val="32"/>
          <w:szCs w:val="32"/>
          <w:highlight w:val="none"/>
          <w:lang w:val="en-US" w:eastAsia="zh-CN"/>
        </w:rPr>
        <w:t xml:space="preserve"> </w:t>
      </w:r>
      <w:r>
        <w:rPr>
          <w:rFonts w:hint="eastAsia" w:ascii="仿宋_GB2312" w:eastAsia="仿宋_GB2312" w:cs="Times New Roman"/>
          <w:bCs/>
          <w:color w:val="auto"/>
          <w:sz w:val="32"/>
          <w:szCs w:val="32"/>
          <w:highlight w:val="none"/>
          <w:lang w:val="en-US" w:eastAsia="zh-CN"/>
        </w:rPr>
        <w:t>青海省人民政府关于全面实施预算绩效管理的实施意见》（青发</w:t>
      </w:r>
      <w:r>
        <w:rPr>
          <w:rFonts w:hint="eastAsia" w:ascii="Times New Roman" w:hAnsi="Times New Roman" w:eastAsia="仿宋_GB2312" w:cs="Times New Roman"/>
          <w:bCs/>
          <w:color w:val="auto"/>
          <w:sz w:val="32"/>
          <w:szCs w:val="32"/>
          <w:highlight w:val="none"/>
          <w:lang w:val="en-US" w:eastAsia="zh-CN"/>
        </w:rPr>
        <w:t>〔2019〕11</w:t>
      </w:r>
      <w:r>
        <w:rPr>
          <w:rFonts w:hint="eastAsia" w:ascii="仿宋_GB2312" w:eastAsia="仿宋_GB2312" w:cs="Times New Roman"/>
          <w:bCs/>
          <w:color w:val="auto"/>
          <w:sz w:val="32"/>
          <w:szCs w:val="32"/>
          <w:highlight w:val="none"/>
          <w:lang w:val="en-US" w:eastAsia="zh-CN"/>
        </w:rPr>
        <w:t>号）</w:t>
      </w:r>
      <w:r>
        <w:rPr>
          <w:rFonts w:hint="eastAsia" w:cs="Times New Roman"/>
          <w:bCs/>
          <w:color w:val="auto"/>
          <w:sz w:val="32"/>
          <w:szCs w:val="32"/>
          <w:highlight w:val="none"/>
          <w:lang w:val="en-US" w:eastAsia="zh-CN"/>
        </w:rPr>
        <w:t>“第七条 优化绩效目标管理 各地区各部门在建立项目储备和预算编制时，要科学设定部门和单位整体绩效目标、政策和项目绩效目标。绩效目标要包括产出、成本、经济效益、社会效益、生态效益、可持续影响和服务对象满意度等绩效指标，要与政策目的、财政投入规模、部门职能职责、项目实施计划、社会公众需求等相匹配”的要求</w:t>
      </w:r>
      <w:r>
        <w:rPr>
          <w:rFonts w:hint="eastAsia" w:cs="Times New Roman"/>
          <w:color w:val="auto"/>
          <w:highlight w:val="none"/>
          <w:lang w:val="en-US" w:eastAsia="zh-CN"/>
        </w:rPr>
        <w:t>。</w:t>
      </w:r>
    </w:p>
    <w:p>
      <w:pPr>
        <w:pageBreakBefore w:val="0"/>
        <w:overflowPunct/>
        <w:topLinePunct w:val="0"/>
        <w:autoSpaceDE w:val="0"/>
        <w:autoSpaceDN w:val="0"/>
        <w:bidi w:val="0"/>
        <w:spacing w:line="576" w:lineRule="exact"/>
        <w:ind w:left="0" w:leftChars="0"/>
        <w:jc w:val="left"/>
        <w:outlineLvl w:val="0"/>
        <w:rPr>
          <w:rFonts w:hint="eastAsia" w:ascii="黑体" w:hAnsi="黑体" w:eastAsia="黑体" w:cs="黑体"/>
          <w:b/>
          <w:bCs/>
          <w:color w:val="auto"/>
          <w:szCs w:val="32"/>
          <w:lang w:val="zh-CN"/>
        </w:rPr>
      </w:pPr>
      <w:bookmarkStart w:id="1080" w:name="_Toc24926"/>
      <w:bookmarkStart w:id="1081" w:name="_Toc3488"/>
      <w:r>
        <w:rPr>
          <w:rFonts w:hint="eastAsia" w:ascii="黑体" w:hAnsi="黑体" w:eastAsia="黑体" w:cs="黑体"/>
          <w:b/>
          <w:bCs/>
          <w:color w:val="auto"/>
          <w:szCs w:val="32"/>
          <w:lang w:val="zh-CN"/>
        </w:rPr>
        <w:t>八、有关建议</w:t>
      </w:r>
      <w:bookmarkEnd w:id="1060"/>
      <w:bookmarkEnd w:id="1061"/>
      <w:bookmarkEnd w:id="1077"/>
      <w:bookmarkEnd w:id="1078"/>
      <w:bookmarkEnd w:id="1079"/>
      <w:bookmarkEnd w:id="1080"/>
      <w:bookmarkEnd w:id="1081"/>
    </w:p>
    <w:p>
      <w:pPr>
        <w:pageBreakBefore w:val="0"/>
        <w:widowControl w:val="0"/>
        <w:overflowPunct/>
        <w:topLinePunct w:val="0"/>
        <w:bidi w:val="0"/>
        <w:spacing w:line="576" w:lineRule="exact"/>
        <w:ind w:left="0" w:leftChars="0" w:firstLine="643" w:firstLineChars="200"/>
        <w:jc w:val="left"/>
        <w:rPr>
          <w:rFonts w:hint="eastAsia" w:ascii="楷体_GB2312" w:hAnsi="楷体_GB2312" w:eastAsia="楷体_GB2312" w:cs="楷体_GB2312"/>
          <w:b/>
          <w:bCs/>
          <w:color w:val="auto"/>
          <w:kern w:val="2"/>
          <w:sz w:val="32"/>
          <w:szCs w:val="32"/>
          <w:highlight w:val="none"/>
          <w:lang w:val="en-US" w:eastAsia="zh-CN" w:bidi="ar-SA"/>
        </w:rPr>
      </w:pPr>
      <w:bookmarkStart w:id="1082" w:name="_Toc381"/>
      <w:bookmarkStart w:id="1083" w:name="_Toc20781"/>
      <w:bookmarkStart w:id="1084" w:name="_Toc10147"/>
      <w:bookmarkStart w:id="1085" w:name="_Toc6631"/>
      <w:bookmarkStart w:id="1086" w:name="_Toc7844"/>
      <w:r>
        <w:rPr>
          <w:rFonts w:hint="eastAsia" w:ascii="楷体_GB2312" w:hAnsi="楷体_GB2312" w:eastAsia="楷体_GB2312" w:cs="楷体_GB2312"/>
          <w:b/>
          <w:bCs/>
          <w:color w:val="auto"/>
          <w:kern w:val="2"/>
          <w:sz w:val="32"/>
          <w:szCs w:val="32"/>
          <w:highlight w:val="none"/>
          <w:lang w:val="en-US" w:eastAsia="zh-CN" w:bidi="ar-SA"/>
        </w:rPr>
        <w:t>（一）</w:t>
      </w:r>
      <w:bookmarkEnd w:id="1082"/>
      <w:bookmarkEnd w:id="1083"/>
      <w:bookmarkEnd w:id="1084"/>
      <w:r>
        <w:rPr>
          <w:rFonts w:hint="eastAsia" w:ascii="楷体_GB2312" w:hAnsi="楷体_GB2312" w:eastAsia="楷体_GB2312" w:cs="楷体_GB2312"/>
          <w:b/>
          <w:bCs/>
          <w:color w:val="auto"/>
          <w:kern w:val="2"/>
          <w:sz w:val="32"/>
          <w:szCs w:val="32"/>
          <w:highlight w:val="none"/>
          <w:lang w:val="en-US" w:eastAsia="zh-CN" w:bidi="ar-SA"/>
        </w:rPr>
        <w:t>明确工程款支付方式，严格执行合同约定的资金支付进度</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Times New Roman"/>
          <w:color w:val="auto"/>
          <w:kern w:val="2"/>
          <w:sz w:val="32"/>
          <w:szCs w:val="24"/>
          <w:lang w:val="en-US" w:eastAsia="zh-CN" w:bidi="ar-SA"/>
        </w:rPr>
      </w:pPr>
      <w:r>
        <w:rPr>
          <w:rFonts w:hint="eastAsia" w:ascii="仿宋_GB2312" w:hAnsi="仿宋_GB2312" w:eastAsia="仿宋_GB2312" w:cs="Times New Roman"/>
          <w:color w:val="auto"/>
          <w:kern w:val="2"/>
          <w:sz w:val="32"/>
          <w:szCs w:val="24"/>
          <w:lang w:val="en-US" w:eastAsia="zh-CN" w:bidi="ar-SA"/>
        </w:rPr>
        <w:t>建议城中区农业农村和乡村振兴局在以后项目的实施中，落实合同制和监理制，对合同条款明确约定，规范填写，并严格执行合同约定和监理工程签证。项目负责人根据合同要求、监理方出具的工程量清单和工程签证提交资金支付申请，严把资金支出进度关，防范资金支出风险。</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jc w:val="both"/>
        <w:textAlignment w:val="auto"/>
        <w:outlineLvl w:val="1"/>
        <w:rPr>
          <w:rFonts w:hint="eastAsia" w:ascii="楷体_GB2312" w:hAnsi="楷体_GB2312" w:eastAsia="楷体_GB2312" w:cs="楷体_GB2312"/>
          <w:b/>
          <w:bCs/>
          <w:color w:val="auto"/>
          <w:kern w:val="2"/>
          <w:sz w:val="32"/>
          <w:szCs w:val="32"/>
          <w:highlight w:val="none"/>
          <w:lang w:val="en-US" w:eastAsia="zh-CN" w:bidi="ar-SA"/>
        </w:rPr>
      </w:pPr>
      <w:bookmarkStart w:id="1087" w:name="_Toc8321"/>
      <w:bookmarkStart w:id="1088" w:name="_Toc14133"/>
      <w:bookmarkStart w:id="1089" w:name="_Toc21237"/>
      <w:bookmarkStart w:id="1090" w:name="_Toc26205"/>
      <w:bookmarkStart w:id="1091" w:name="_Toc5617"/>
      <w:r>
        <w:rPr>
          <w:rFonts w:hint="eastAsia" w:ascii="楷体_GB2312" w:hAnsi="楷体_GB2312" w:eastAsia="楷体_GB2312" w:cs="楷体_GB2312"/>
          <w:b/>
          <w:bCs/>
          <w:color w:val="auto"/>
          <w:kern w:val="2"/>
          <w:sz w:val="32"/>
          <w:szCs w:val="32"/>
          <w:highlight w:val="none"/>
          <w:lang w:val="en-US" w:eastAsia="zh-CN" w:bidi="ar-SA"/>
        </w:rPr>
        <w:t>（二）及时交接，明确管护主体责任</w:t>
      </w:r>
      <w:bookmarkEnd w:id="1087"/>
      <w:bookmarkEnd w:id="1088"/>
      <w:bookmarkEnd w:id="1089"/>
      <w:bookmarkEnd w:id="1090"/>
      <w:bookmarkEnd w:id="1091"/>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jc w:val="both"/>
        <w:textAlignment w:val="auto"/>
        <w:outlineLvl w:val="9"/>
        <w:rPr>
          <w:rFonts w:hint="eastAsia" w:ascii="仿宋_GB2312" w:hAnsi="仿宋_GB2312" w:eastAsia="仿宋_GB2312" w:cs="Times New Roman"/>
          <w:color w:val="auto"/>
          <w:kern w:val="2"/>
          <w:sz w:val="32"/>
          <w:szCs w:val="24"/>
          <w:lang w:val="en-US" w:eastAsia="zh-CN" w:bidi="ar-SA"/>
        </w:rPr>
      </w:pPr>
      <w:r>
        <w:rPr>
          <w:rFonts w:hint="eastAsia" w:ascii="仿宋_GB2312" w:hAnsi="仿宋_GB2312" w:eastAsia="仿宋_GB2312" w:cs="Times New Roman"/>
          <w:color w:val="auto"/>
          <w:kern w:val="2"/>
          <w:sz w:val="32"/>
          <w:szCs w:val="24"/>
          <w:lang w:val="en-US" w:eastAsia="zh-CN" w:bidi="ar-SA"/>
        </w:rPr>
        <w:t>建议城中区农业农村和乡村振兴局尽快跟进项目管理权限移交，与总寨塬智能温室园区完成道路和排水设施管护权交接，避免出现管护主体责任不明造成的管护不到位的情况，以确保项目实施的效益得到充分发挥。</w:t>
      </w:r>
    </w:p>
    <w:p>
      <w:pPr>
        <w:pageBreakBefore w:val="0"/>
        <w:overflowPunct/>
        <w:topLinePunct w:val="0"/>
        <w:bidi w:val="0"/>
        <w:spacing w:line="576" w:lineRule="exact"/>
        <w:ind w:left="0" w:leftChars="0" w:firstLine="643" w:firstLineChars="200"/>
        <w:outlineLvl w:val="1"/>
        <w:rPr>
          <w:rFonts w:hint="eastAsia" w:ascii="楷体_GB2312" w:hAnsi="楷体_GB2312" w:eastAsia="楷体_GB2312" w:cs="楷体_GB2312"/>
          <w:b/>
          <w:bCs/>
          <w:color w:val="auto"/>
          <w:lang w:val="en-US" w:eastAsia="zh-CN"/>
        </w:rPr>
      </w:pPr>
      <w:bookmarkStart w:id="1092" w:name="_Toc30491"/>
      <w:bookmarkStart w:id="1093" w:name="_Toc1819"/>
      <w:bookmarkStart w:id="1094" w:name="_Toc26982"/>
      <w:bookmarkStart w:id="1095" w:name="_Toc23994"/>
      <w:bookmarkStart w:id="1096" w:name="_Toc1269"/>
      <w:r>
        <w:rPr>
          <w:rFonts w:hint="eastAsia" w:ascii="楷体_GB2312" w:hAnsi="楷体_GB2312" w:eastAsia="楷体_GB2312" w:cs="楷体_GB2312"/>
          <w:b/>
          <w:bCs/>
          <w:color w:val="auto"/>
          <w:sz w:val="32"/>
          <w:szCs w:val="32"/>
          <w:highlight w:val="none"/>
          <w:lang w:val="en-US" w:eastAsia="zh-CN"/>
        </w:rPr>
        <w:t>（三）</w:t>
      </w:r>
      <w:r>
        <w:rPr>
          <w:rFonts w:hint="eastAsia" w:ascii="楷体_GB2312" w:hAnsi="楷体_GB2312" w:eastAsia="楷体_GB2312" w:cs="楷体_GB2312"/>
          <w:b/>
          <w:bCs/>
          <w:color w:val="auto"/>
          <w:lang w:val="en-US" w:eastAsia="zh-CN"/>
        </w:rPr>
        <w:t>提升财务管理水平，加强档案管理规范性</w:t>
      </w:r>
      <w:bookmarkEnd w:id="1092"/>
      <w:bookmarkEnd w:id="1093"/>
      <w:bookmarkEnd w:id="1094"/>
      <w:bookmarkEnd w:id="1095"/>
      <w:bookmarkEnd w:id="1096"/>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outlineLvl w:val="9"/>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lang w:val="en-US" w:eastAsia="zh-CN"/>
        </w:rPr>
        <w:t>建议</w:t>
      </w:r>
      <w:r>
        <w:rPr>
          <w:rFonts w:hint="eastAsia" w:cs="Times New Roman"/>
          <w:color w:val="auto"/>
          <w:lang w:val="en-US" w:eastAsia="zh-CN"/>
        </w:rPr>
        <w:t>城中区农业农村和乡村振兴局</w:t>
      </w:r>
      <w:r>
        <w:rPr>
          <w:rFonts w:hint="eastAsia" w:ascii="仿宋_GB2312" w:hAnsi="仿宋_GB2312" w:eastAsia="仿宋_GB2312" w:cs="仿宋_GB2312"/>
          <w:b w:val="0"/>
          <w:bCs w:val="0"/>
          <w:color w:val="auto"/>
          <w:lang w:val="en-US" w:eastAsia="zh-CN"/>
        </w:rPr>
        <w:t>财务部门严格审核</w:t>
      </w:r>
      <w:r>
        <w:rPr>
          <w:rFonts w:hint="eastAsia" w:cs="仿宋_GB2312"/>
          <w:b w:val="0"/>
          <w:bCs w:val="0"/>
          <w:color w:val="auto"/>
          <w:lang w:val="en-US" w:eastAsia="zh-CN"/>
        </w:rPr>
        <w:t>记账凭证的规范性</w:t>
      </w:r>
      <w:r>
        <w:rPr>
          <w:rFonts w:hint="eastAsia" w:ascii="仿宋_GB2312" w:hAnsi="仿宋_GB2312" w:eastAsia="仿宋_GB2312" w:cs="仿宋_GB2312"/>
          <w:b w:val="0"/>
          <w:bCs w:val="0"/>
          <w:color w:val="auto"/>
          <w:lang w:val="en-US" w:eastAsia="zh-CN"/>
        </w:rPr>
        <w:t>、完整性、真实性，依据</w:t>
      </w:r>
      <w:r>
        <w:rPr>
          <w:rFonts w:hint="eastAsia" w:cs="仿宋_GB2312"/>
          <w:b w:val="0"/>
          <w:bCs w:val="0"/>
          <w:color w:val="auto"/>
          <w:lang w:val="en-US" w:eastAsia="zh-CN"/>
        </w:rPr>
        <w:t>支付</w:t>
      </w:r>
      <w:r>
        <w:rPr>
          <w:rFonts w:hint="eastAsia" w:ascii="仿宋_GB2312" w:hAnsi="仿宋_GB2312" w:eastAsia="仿宋_GB2312" w:cs="仿宋_GB2312"/>
          <w:b w:val="0"/>
          <w:bCs w:val="0"/>
          <w:color w:val="auto"/>
          <w:lang w:val="en-US" w:eastAsia="zh-CN"/>
        </w:rPr>
        <w:t>资金</w:t>
      </w:r>
      <w:r>
        <w:rPr>
          <w:rFonts w:hint="eastAsia" w:cs="仿宋_GB2312"/>
          <w:b w:val="0"/>
          <w:bCs w:val="0"/>
          <w:color w:val="auto"/>
          <w:lang w:val="en-US" w:eastAsia="zh-CN"/>
        </w:rPr>
        <w:t>实际用途规范记账；对财政部门下达的资金文件与会计凭证及时</w:t>
      </w:r>
      <w:r>
        <w:rPr>
          <w:rFonts w:hint="eastAsia" w:ascii="仿宋_GB2312" w:hAnsi="仿宋_GB2312" w:eastAsia="仿宋_GB2312" w:cs="仿宋_GB2312"/>
          <w:b w:val="0"/>
          <w:bCs w:val="0"/>
          <w:color w:val="auto"/>
          <w:lang w:val="en-US" w:eastAsia="zh-CN"/>
        </w:rPr>
        <w:t>装订并归档管理</w:t>
      </w:r>
      <w:r>
        <w:rPr>
          <w:rFonts w:hint="eastAsia" w:cs="仿宋_GB2312"/>
          <w:b w:val="0"/>
          <w:bCs w:val="0"/>
          <w:color w:val="auto"/>
          <w:lang w:val="en-US" w:eastAsia="zh-CN"/>
        </w:rPr>
        <w:t>，提高财务会计信息质量。业务部门加强项目前期手续、招投标资料、施工资料、监理资料、竣工验收资料等项目资料的档案管理工作，将资料分门别类整理归档，提高档案管理规范性。</w:t>
      </w:r>
    </w:p>
    <w:p>
      <w:pPr>
        <w:pageBreakBefore w:val="0"/>
        <w:overflowPunct/>
        <w:topLinePunct w:val="0"/>
        <w:bidi w:val="0"/>
        <w:spacing w:line="576" w:lineRule="exact"/>
        <w:ind w:left="0" w:leftChars="0" w:firstLine="643" w:firstLineChars="200"/>
        <w:outlineLvl w:val="1"/>
        <w:rPr>
          <w:rFonts w:hint="eastAsia" w:ascii="楷体_GB2312" w:hAnsi="楷体_GB2312" w:eastAsia="楷体_GB2312" w:cs="楷体_GB2312"/>
          <w:b/>
          <w:bCs/>
          <w:color w:val="auto"/>
          <w:lang w:val="en-US" w:eastAsia="zh-CN"/>
        </w:rPr>
      </w:pPr>
      <w:bookmarkStart w:id="1097" w:name="_Toc20348"/>
      <w:bookmarkStart w:id="1098" w:name="_Toc4238"/>
      <w:bookmarkStart w:id="1099" w:name="_Toc2121"/>
      <w:bookmarkStart w:id="1100" w:name="_Toc18948"/>
      <w:bookmarkStart w:id="1101" w:name="_Toc14705"/>
      <w:r>
        <w:rPr>
          <w:rFonts w:hint="eastAsia" w:ascii="楷体_GB2312" w:hAnsi="楷体_GB2312" w:eastAsia="楷体_GB2312" w:cs="楷体_GB2312"/>
          <w:b/>
          <w:bCs/>
          <w:color w:val="auto"/>
          <w:sz w:val="32"/>
          <w:szCs w:val="32"/>
          <w:highlight w:val="none"/>
          <w:lang w:val="en-US" w:eastAsia="zh-CN"/>
        </w:rPr>
        <w:t>（四）加强预算绩效管理</w:t>
      </w:r>
      <w:bookmarkEnd w:id="1097"/>
      <w:bookmarkEnd w:id="1098"/>
      <w:bookmarkEnd w:id="1099"/>
      <w:bookmarkEnd w:id="1100"/>
      <w:bookmarkEnd w:id="1101"/>
    </w:p>
    <w:p>
      <w:pPr>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outlineLvl w:val="9"/>
        <w:rPr>
          <w:rFonts w:hint="eastAsia" w:ascii="仿宋_GB2312" w:hAnsi="仿宋_GB2312" w:eastAsia="仿宋_GB2312" w:cs="仿宋_GB2312"/>
          <w:b w:val="0"/>
          <w:bCs w:val="0"/>
          <w:color w:val="auto"/>
          <w:szCs w:val="32"/>
          <w:highlight w:val="none"/>
          <w:lang w:eastAsia="zh-CN"/>
        </w:rPr>
      </w:pPr>
      <w:r>
        <w:rPr>
          <w:rFonts w:hint="eastAsia" w:ascii="仿宋_GB2312" w:hAnsi="仿宋_GB2312" w:eastAsia="仿宋_GB2312" w:cs="仿宋_GB2312"/>
          <w:b w:val="0"/>
          <w:bCs w:val="0"/>
          <w:color w:val="auto"/>
          <w:kern w:val="2"/>
          <w:sz w:val="32"/>
          <w:szCs w:val="24"/>
          <w:highlight w:val="none"/>
          <w:lang w:val="en-US" w:eastAsia="zh-CN" w:bidi="ar-SA"/>
        </w:rPr>
        <w:t>建议</w:t>
      </w:r>
      <w:r>
        <w:rPr>
          <w:rFonts w:hint="eastAsia" w:cs="Times New Roman"/>
          <w:color w:val="auto"/>
          <w:lang w:val="en-US" w:eastAsia="zh-CN"/>
        </w:rPr>
        <w:t>城中区农业农村和乡村振兴局在</w:t>
      </w:r>
      <w:r>
        <w:rPr>
          <w:rFonts w:hint="eastAsia" w:ascii="仿宋_GB2312" w:hAnsi="仿宋_GB2312" w:eastAsia="仿宋_GB2312" w:cs="仿宋_GB2312"/>
          <w:b w:val="0"/>
          <w:bCs w:val="0"/>
          <w:color w:val="auto"/>
          <w:kern w:val="2"/>
          <w:sz w:val="32"/>
          <w:szCs w:val="24"/>
          <w:highlight w:val="none"/>
          <w:lang w:val="en-US" w:eastAsia="zh-CN" w:bidi="ar-SA"/>
        </w:rPr>
        <w:t>以后年度按照《中共中央 国务院关于全面实施预算绩效管理的意见》（中发</w:t>
      </w:r>
      <w:r>
        <w:rPr>
          <w:rFonts w:hint="eastAsia" w:ascii="Times New Roman" w:hAnsi="Times New Roman" w:eastAsia="仿宋_GB2312" w:cs="Times New Roman"/>
          <w:bCs/>
          <w:color w:val="auto"/>
          <w:sz w:val="32"/>
          <w:szCs w:val="32"/>
          <w:highlight w:val="none"/>
          <w:lang w:val="en-US" w:eastAsia="zh-CN"/>
        </w:rPr>
        <w:t>〔2018〕34号）、财政部《关于印发〈项目支出绩效评价管理办法〉的通知》（财预〔2020〕10号）和《中共青海省委青海省人民政府关于全面实施预算绩效管理的实施意见》（青发〔2019〕11号</w:t>
      </w:r>
      <w:r>
        <w:rPr>
          <w:rFonts w:hint="eastAsia" w:ascii="仿宋_GB2312" w:hAnsi="仿宋_GB2312" w:eastAsia="仿宋_GB2312" w:cs="仿宋_GB2312"/>
          <w:bCs/>
          <w:color w:val="auto"/>
          <w:sz w:val="32"/>
          <w:szCs w:val="32"/>
          <w:highlight w:val="none"/>
          <w:lang w:val="en-US" w:eastAsia="zh-CN"/>
        </w:rPr>
        <w:t>）</w:t>
      </w:r>
      <w:r>
        <w:rPr>
          <w:rFonts w:hint="eastAsia" w:ascii="仿宋_GB2312" w:hAnsi="仿宋_GB2312" w:eastAsia="仿宋_GB2312" w:cs="仿宋_GB2312"/>
          <w:b w:val="0"/>
          <w:bCs w:val="0"/>
          <w:color w:val="auto"/>
          <w:kern w:val="2"/>
          <w:sz w:val="32"/>
          <w:szCs w:val="24"/>
          <w:highlight w:val="none"/>
          <w:lang w:val="en-US" w:eastAsia="zh-CN" w:bidi="ar-SA"/>
        </w:rPr>
        <w:t>等文件要求，从预算绩效管理入手，加强绩效目标管理，明确绩效目标管理内容，抓好绩效目标管理重点，提高绩效目标设定能力。编制绩效目标要能够清晰反映项目实施所达到的预期效果，并按照定量和定性相结合的要求设置绩效指标，着重突出产出、成本、效益、可持续影响力和服务对象满意度等核心绩效指标，尽可能做到量化细化、可衡量、可对比。</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643" w:firstLineChars="200"/>
        <w:jc w:val="both"/>
        <w:textAlignment w:val="auto"/>
        <w:outlineLvl w:val="0"/>
        <w:rPr>
          <w:rFonts w:hint="eastAsia" w:ascii="黑体" w:hAnsi="黑体" w:eastAsia="黑体" w:cs="黑体"/>
          <w:b/>
          <w:bCs/>
          <w:color w:val="auto"/>
          <w:kern w:val="2"/>
          <w:sz w:val="32"/>
          <w:szCs w:val="32"/>
          <w:lang w:val="zh-CN" w:eastAsia="zh-CN" w:bidi="ar-SA"/>
        </w:rPr>
      </w:pPr>
      <w:bookmarkStart w:id="1102" w:name="_Toc11674"/>
      <w:bookmarkStart w:id="1103" w:name="_Toc19475"/>
      <w:bookmarkStart w:id="1104" w:name="_Toc25565"/>
      <w:bookmarkStart w:id="1105" w:name="_Toc7607"/>
      <w:bookmarkStart w:id="1106" w:name="_Toc2835"/>
      <w:r>
        <w:rPr>
          <w:rFonts w:hint="eastAsia" w:ascii="黑体" w:hAnsi="黑体" w:eastAsia="黑体" w:cs="黑体"/>
          <w:b/>
          <w:bCs/>
          <w:color w:val="auto"/>
          <w:kern w:val="2"/>
          <w:sz w:val="32"/>
          <w:szCs w:val="32"/>
          <w:lang w:val="zh-CN" w:eastAsia="zh-CN" w:bidi="ar-SA"/>
        </w:rPr>
        <w:t>九、需要说明的问题</w:t>
      </w:r>
      <w:bookmarkEnd w:id="1085"/>
      <w:bookmarkEnd w:id="1086"/>
      <w:bookmarkEnd w:id="1102"/>
      <w:bookmarkEnd w:id="1103"/>
      <w:bookmarkEnd w:id="1104"/>
      <w:bookmarkEnd w:id="1105"/>
      <w:bookmarkEnd w:id="1106"/>
    </w:p>
    <w:p>
      <w:pPr>
        <w:pageBreakBefore w:val="0"/>
        <w:overflowPunct/>
        <w:topLinePunct w:val="0"/>
        <w:autoSpaceDE w:val="0"/>
        <w:autoSpaceDN w:val="0"/>
        <w:bidi w:val="0"/>
        <w:spacing w:line="576" w:lineRule="exact"/>
        <w:ind w:left="0" w:leftChars="0"/>
        <w:jc w:val="left"/>
        <w:outlineLvl w:val="0"/>
        <w:rPr>
          <w:rFonts w:hint="default" w:eastAsia="仿宋_GB2312" w:cs="Times New Roman"/>
          <w:color w:val="auto"/>
          <w:lang w:val="en-US" w:eastAsia="zh-CN"/>
        </w:rPr>
      </w:pPr>
      <w:bookmarkStart w:id="1107" w:name="_Toc25772"/>
      <w:bookmarkStart w:id="1108" w:name="_Toc2597"/>
      <w:bookmarkStart w:id="1109" w:name="_Toc3085"/>
      <w:bookmarkStart w:id="1110" w:name="_Toc27103"/>
      <w:bookmarkStart w:id="1111" w:name="_Toc11743"/>
      <w:bookmarkStart w:id="1112" w:name="_Toc13135"/>
      <w:bookmarkStart w:id="1113" w:name="_Toc25721"/>
      <w:bookmarkStart w:id="1114" w:name="_Toc3666"/>
      <w:bookmarkStart w:id="1115" w:name="_Toc14740"/>
      <w:bookmarkStart w:id="1116" w:name="_Toc27702"/>
      <w:r>
        <w:rPr>
          <w:rFonts w:hint="eastAsia" w:ascii="Times New Roman" w:hAnsi="Times New Roman" w:eastAsia="仿宋_GB2312" w:cs="Times New Roman"/>
          <w:bCs/>
          <w:color w:val="auto"/>
          <w:sz w:val="32"/>
          <w:szCs w:val="32"/>
          <w:highlight w:val="none"/>
          <w:lang w:val="en-US" w:eastAsia="zh-CN"/>
        </w:rPr>
        <w:t>2020年城中区总寨塬智能温室园区道路工程和排水工程项目的实施单位为西宁市城中区农业农村和扶贫开发局，由于机构改革，2021</w:t>
      </w:r>
      <w:r>
        <w:rPr>
          <w:rFonts w:hint="eastAsia" w:cs="Times New Roman"/>
          <w:color w:val="auto"/>
          <w:lang w:val="en-US" w:eastAsia="zh-CN"/>
        </w:rPr>
        <w:t>年西宁市城中区农业农村和扶贫开发局正式更名为西宁市城中区农业农村和乡村振兴局，文中涉及该单位的名称全部以“西宁市城中区农业农村和乡村振兴局”表示。</w:t>
      </w:r>
      <w:bookmarkEnd w:id="1107"/>
      <w:bookmarkEnd w:id="1108"/>
      <w:bookmarkEnd w:id="1109"/>
      <w:bookmarkEnd w:id="1110"/>
      <w:bookmarkEnd w:id="1111"/>
    </w:p>
    <w:p>
      <w:pPr>
        <w:pageBreakBefore w:val="0"/>
        <w:widowControl w:val="0"/>
        <w:overflowPunct/>
        <w:topLinePunct w:val="0"/>
        <w:bidi w:val="0"/>
        <w:spacing w:line="576" w:lineRule="exact"/>
        <w:ind w:left="0" w:leftChars="0" w:firstLine="643" w:firstLineChars="200"/>
        <w:jc w:val="left"/>
        <w:outlineLvl w:val="0"/>
        <w:rPr>
          <w:rFonts w:ascii="黑体" w:hAnsi="黑体" w:eastAsia="黑体" w:cs="黑体"/>
          <w:b/>
          <w:bCs/>
          <w:color w:val="auto"/>
          <w:kern w:val="2"/>
          <w:sz w:val="32"/>
          <w:szCs w:val="32"/>
          <w:lang w:val="en-US" w:eastAsia="zh-CN" w:bidi="ar-SA"/>
        </w:rPr>
      </w:pPr>
      <w:bookmarkStart w:id="1117" w:name="_Toc9550"/>
      <w:bookmarkStart w:id="1118" w:name="_Toc21756"/>
      <w:bookmarkStart w:id="1119" w:name="_Toc18563"/>
      <w:bookmarkStart w:id="1120" w:name="_Toc15568"/>
      <w:bookmarkStart w:id="1121" w:name="_Toc3988"/>
      <w:r>
        <w:rPr>
          <w:rFonts w:hint="eastAsia" w:ascii="黑体" w:hAnsi="黑体" w:eastAsia="黑体" w:cs="黑体"/>
          <w:b/>
          <w:bCs/>
          <w:color w:val="auto"/>
          <w:kern w:val="2"/>
          <w:sz w:val="32"/>
          <w:szCs w:val="32"/>
          <w:lang w:val="en-US" w:eastAsia="zh-CN" w:bidi="ar-SA"/>
        </w:rPr>
        <w:t>十、附件</w:t>
      </w:r>
      <w:bookmarkEnd w:id="1112"/>
      <w:bookmarkEnd w:id="1113"/>
      <w:bookmarkEnd w:id="1114"/>
      <w:bookmarkEnd w:id="1115"/>
      <w:bookmarkEnd w:id="1116"/>
      <w:bookmarkEnd w:id="1117"/>
      <w:bookmarkEnd w:id="1118"/>
      <w:bookmarkEnd w:id="1119"/>
      <w:bookmarkEnd w:id="1120"/>
      <w:bookmarkEnd w:id="1121"/>
    </w:p>
    <w:p>
      <w:pPr>
        <w:pageBreakBefore w:val="0"/>
        <w:overflowPunct/>
        <w:topLinePunct w:val="0"/>
        <w:bidi w:val="0"/>
        <w:adjustRightInd w:val="0"/>
        <w:snapToGrid w:val="0"/>
        <w:spacing w:line="576" w:lineRule="exact"/>
        <w:ind w:left="0" w:leftChars="0"/>
        <w:outlineLvl w:val="0"/>
        <w:rPr>
          <w:rFonts w:cs="Times New Roman"/>
          <w:color w:val="auto"/>
        </w:rPr>
      </w:pPr>
      <w:bookmarkStart w:id="1122" w:name="_Toc16186"/>
      <w:bookmarkStart w:id="1123" w:name="_Toc12598"/>
      <w:bookmarkStart w:id="1124" w:name="_Toc1313"/>
      <w:bookmarkStart w:id="1125" w:name="_Toc16039"/>
      <w:bookmarkStart w:id="1126" w:name="_Toc17159"/>
      <w:bookmarkStart w:id="1127" w:name="_Toc13867"/>
      <w:bookmarkStart w:id="1128" w:name="_Toc6298"/>
      <w:r>
        <w:rPr>
          <w:rFonts w:hint="eastAsia" w:cs="Times New Roman"/>
          <w:color w:val="auto"/>
        </w:rPr>
        <w:t>附件1：</w:t>
      </w:r>
      <w:bookmarkEnd w:id="1122"/>
      <w:bookmarkEnd w:id="1123"/>
      <w:r>
        <w:rPr>
          <w:rFonts w:hint="eastAsia" w:cs="Times New Roman"/>
          <w:color w:val="auto"/>
        </w:rPr>
        <w:t>绩效评价指标体系</w:t>
      </w:r>
      <w:bookmarkEnd w:id="1124"/>
      <w:bookmarkEnd w:id="1125"/>
      <w:bookmarkEnd w:id="1126"/>
      <w:bookmarkEnd w:id="1127"/>
      <w:bookmarkEnd w:id="1128"/>
    </w:p>
    <w:p>
      <w:pPr>
        <w:pageBreakBefore w:val="0"/>
        <w:overflowPunct/>
        <w:topLinePunct w:val="0"/>
        <w:bidi w:val="0"/>
        <w:adjustRightInd w:val="0"/>
        <w:snapToGrid w:val="0"/>
        <w:spacing w:line="576" w:lineRule="exact"/>
        <w:ind w:left="0" w:leftChars="0"/>
        <w:outlineLvl w:val="0"/>
        <w:rPr>
          <w:rFonts w:hint="eastAsia" w:cs="Times New Roman"/>
          <w:color w:val="auto"/>
        </w:rPr>
      </w:pPr>
      <w:bookmarkStart w:id="1129" w:name="_Toc13924"/>
      <w:bookmarkStart w:id="1130" w:name="_Toc19699"/>
      <w:bookmarkStart w:id="1131" w:name="_Toc12619"/>
      <w:bookmarkStart w:id="1132" w:name="_Toc27201"/>
      <w:bookmarkStart w:id="1133" w:name="_Toc3524"/>
      <w:bookmarkStart w:id="1134" w:name="_Toc13202"/>
      <w:bookmarkStart w:id="1135" w:name="_Toc27395"/>
      <w:r>
        <w:rPr>
          <w:rFonts w:hint="eastAsia" w:cs="Times New Roman"/>
          <w:color w:val="auto"/>
        </w:rPr>
        <w:t>附件</w:t>
      </w:r>
      <w:r>
        <w:rPr>
          <w:rFonts w:cs="Times New Roman"/>
          <w:color w:val="auto"/>
        </w:rPr>
        <w:t>2</w:t>
      </w:r>
      <w:r>
        <w:rPr>
          <w:rFonts w:hint="eastAsia" w:cs="Times New Roman"/>
          <w:color w:val="auto"/>
        </w:rPr>
        <w:t>：</w:t>
      </w:r>
      <w:r>
        <w:rPr>
          <w:rFonts w:cs="Times New Roman"/>
          <w:color w:val="auto"/>
        </w:rPr>
        <w:t>项目</w:t>
      </w:r>
      <w:r>
        <w:rPr>
          <w:rFonts w:hint="eastAsia" w:cs="Times New Roman"/>
          <w:color w:val="auto"/>
        </w:rPr>
        <w:t>资金分配及使用情况表</w:t>
      </w:r>
      <w:bookmarkEnd w:id="1129"/>
      <w:bookmarkEnd w:id="1130"/>
      <w:bookmarkEnd w:id="1131"/>
      <w:bookmarkEnd w:id="1132"/>
      <w:bookmarkEnd w:id="1133"/>
    </w:p>
    <w:p>
      <w:pPr>
        <w:pageBreakBefore w:val="0"/>
        <w:overflowPunct/>
        <w:topLinePunct w:val="0"/>
        <w:bidi w:val="0"/>
        <w:adjustRightInd w:val="0"/>
        <w:snapToGrid w:val="0"/>
        <w:spacing w:line="576" w:lineRule="exact"/>
        <w:ind w:left="0" w:leftChars="0"/>
        <w:outlineLvl w:val="9"/>
        <w:rPr>
          <w:rFonts w:cs="Times New Roman"/>
        </w:rPr>
      </w:pPr>
      <w:r>
        <w:rPr>
          <w:rFonts w:hint="eastAsia" w:cs="Times New Roman"/>
          <w:color w:val="auto"/>
        </w:rPr>
        <w:t>附件</w:t>
      </w:r>
      <w:r>
        <w:rPr>
          <w:rFonts w:hint="eastAsia" w:cs="Times New Roman"/>
          <w:color w:val="auto"/>
          <w:lang w:val="en-US" w:eastAsia="zh-CN"/>
        </w:rPr>
        <w:t>3</w:t>
      </w:r>
      <w:r>
        <w:rPr>
          <w:rFonts w:hint="eastAsia" w:cs="Times New Roman"/>
          <w:color w:val="auto"/>
        </w:rPr>
        <w:t>：调查问卷统计表</w:t>
      </w:r>
    </w:p>
    <w:p>
      <w:pPr>
        <w:pageBreakBefore w:val="0"/>
        <w:overflowPunct/>
        <w:topLinePunct w:val="0"/>
        <w:bidi w:val="0"/>
        <w:adjustRightInd w:val="0"/>
        <w:snapToGrid w:val="0"/>
        <w:spacing w:line="576" w:lineRule="exact"/>
        <w:ind w:left="0" w:leftChars="0"/>
        <w:outlineLvl w:val="0"/>
        <w:rPr>
          <w:rFonts w:hint="default" w:eastAsia="仿宋_GB2312"/>
          <w:color w:val="auto"/>
          <w:lang w:val="en-US" w:eastAsia="zh-CN"/>
        </w:rPr>
        <w:sectPr>
          <w:headerReference r:id="rId48" w:type="default"/>
          <w:footerReference r:id="rId50" w:type="default"/>
          <w:headerReference r:id="rId49" w:type="even"/>
          <w:footerReference r:id="rId51" w:type="even"/>
          <w:pgSz w:w="11905" w:h="16838"/>
          <w:pgMar w:top="2098" w:right="1474" w:bottom="1984" w:left="1587" w:header="851" w:footer="720" w:gutter="0"/>
          <w:pgNumType w:fmt="numberInDash"/>
          <w:cols w:space="720" w:num="1"/>
          <w:docGrid w:type="lines" w:linePitch="436" w:charSpace="0"/>
        </w:sectPr>
      </w:pPr>
      <w:bookmarkStart w:id="1136" w:name="_Toc24518"/>
      <w:bookmarkStart w:id="1137" w:name="_Toc29831"/>
      <w:bookmarkStart w:id="1138" w:name="_Toc16744"/>
      <w:bookmarkStart w:id="1139" w:name="_Toc18814"/>
      <w:bookmarkStart w:id="1140" w:name="_Toc28038"/>
      <w:r>
        <w:rPr>
          <w:rFonts w:hint="eastAsia" w:cs="Times New Roman"/>
          <w:color w:val="auto"/>
        </w:rPr>
        <w:t>附件</w:t>
      </w:r>
      <w:r>
        <w:rPr>
          <w:rFonts w:hint="eastAsia" w:cs="Times New Roman"/>
          <w:color w:val="auto"/>
          <w:lang w:val="en-US" w:eastAsia="zh-CN"/>
        </w:rPr>
        <w:t>4</w:t>
      </w:r>
      <w:r>
        <w:rPr>
          <w:rFonts w:hint="eastAsia" w:cs="Times New Roman"/>
          <w:color w:val="auto"/>
        </w:rPr>
        <w:t>：</w:t>
      </w:r>
      <w:bookmarkEnd w:id="1134"/>
      <w:bookmarkEnd w:id="1135"/>
      <w:bookmarkEnd w:id="1136"/>
      <w:bookmarkEnd w:id="1137"/>
      <w:bookmarkEnd w:id="1138"/>
      <w:r>
        <w:rPr>
          <w:rFonts w:hint="eastAsia" w:cs="Times New Roman"/>
          <w:color w:val="auto"/>
          <w:lang w:val="en-US" w:eastAsia="zh-CN"/>
        </w:rPr>
        <w:t>主评人资质</w:t>
      </w:r>
      <w:bookmarkEnd w:id="1139"/>
      <w:bookmarkEnd w:id="1140"/>
    </w:p>
    <w:p>
      <w:pPr>
        <w:pageBreakBefore w:val="0"/>
        <w:overflowPunct/>
        <w:topLinePunct w:val="0"/>
        <w:bidi w:val="0"/>
        <w:spacing w:line="576" w:lineRule="exact"/>
        <w:ind w:left="0" w:leftChars="0" w:firstLine="0" w:firstLineChars="0"/>
        <w:outlineLvl w:val="0"/>
        <w:rPr>
          <w:rFonts w:ascii="宋体" w:hAnsi="宋体" w:eastAsia="宋体" w:cs="宋体"/>
          <w:b/>
          <w:color w:val="auto"/>
          <w:sz w:val="24"/>
          <w:szCs w:val="28"/>
        </w:rPr>
      </w:pPr>
      <w:bookmarkStart w:id="1141" w:name="_Toc180"/>
      <w:bookmarkStart w:id="1142" w:name="_Toc25982"/>
      <w:bookmarkStart w:id="1143" w:name="_Toc32277"/>
      <w:bookmarkStart w:id="1144" w:name="_Toc14801"/>
      <w:bookmarkStart w:id="1145" w:name="_Toc14337"/>
      <w:bookmarkStart w:id="1146" w:name="_Toc16220"/>
      <w:r>
        <w:rPr>
          <w:rFonts w:hint="eastAsia" w:ascii="楷体" w:hAnsi="楷体" w:eastAsia="楷体" w:cs="楷体"/>
          <w:b/>
          <w:bCs/>
          <w:color w:val="auto"/>
        </w:rPr>
        <w:t>附件</w:t>
      </w:r>
      <w:r>
        <w:rPr>
          <w:rFonts w:ascii="楷体" w:hAnsi="楷体" w:eastAsia="楷体" w:cs="楷体"/>
          <w:b/>
          <w:bCs/>
          <w:color w:val="auto"/>
        </w:rPr>
        <w:t>1</w:t>
      </w:r>
      <w:r>
        <w:rPr>
          <w:rFonts w:hint="eastAsia" w:ascii="楷体" w:hAnsi="楷体" w:eastAsia="楷体" w:cs="楷体"/>
          <w:b/>
          <w:bCs/>
          <w:color w:val="auto"/>
        </w:rPr>
        <w:t>：指标体系</w:t>
      </w:r>
      <w:bookmarkEnd w:id="1020"/>
      <w:bookmarkEnd w:id="1021"/>
      <w:bookmarkEnd w:id="1022"/>
      <w:bookmarkEnd w:id="1141"/>
      <w:bookmarkEnd w:id="1142"/>
      <w:bookmarkEnd w:id="1143"/>
      <w:bookmarkEnd w:id="1144"/>
      <w:bookmarkEnd w:id="1145"/>
      <w:bookmarkEnd w:id="1146"/>
    </w:p>
    <w:p>
      <w:pPr>
        <w:pageBreakBefore w:val="0"/>
        <w:overflowPunct/>
        <w:topLinePunct w:val="0"/>
        <w:bidi w:val="0"/>
        <w:spacing w:line="576" w:lineRule="exact"/>
        <w:ind w:left="0" w:leftChars="0" w:firstLine="0" w:firstLineChars="0"/>
        <w:jc w:val="center"/>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lang w:eastAsia="zh-CN"/>
        </w:rPr>
        <w:t>城中区总寨塬智能温室园区道路工程和排水工程</w:t>
      </w:r>
      <w:r>
        <w:rPr>
          <w:rFonts w:hint="eastAsia" w:ascii="宋体" w:hAnsi="宋体" w:eastAsia="宋体" w:cs="宋体"/>
          <w:b/>
          <w:color w:val="auto"/>
          <w:kern w:val="0"/>
          <w:sz w:val="28"/>
          <w:szCs w:val="28"/>
        </w:rPr>
        <w:t>项目</w:t>
      </w:r>
      <w:r>
        <w:rPr>
          <w:rFonts w:hint="eastAsia" w:ascii="宋体" w:hAnsi="宋体" w:eastAsia="宋体" w:cs="宋体"/>
          <w:b/>
          <w:color w:val="auto"/>
          <w:sz w:val="28"/>
          <w:szCs w:val="28"/>
        </w:rPr>
        <w:t>绩</w:t>
      </w:r>
      <w:r>
        <w:rPr>
          <w:rFonts w:hint="eastAsia" w:ascii="宋体" w:hAnsi="宋体" w:eastAsia="宋体" w:cs="宋体"/>
          <w:b/>
          <w:color w:val="auto"/>
          <w:kern w:val="0"/>
          <w:sz w:val="28"/>
          <w:szCs w:val="28"/>
        </w:rPr>
        <w:t>效评价指标体系</w:t>
      </w: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9"/>
        <w:gridCol w:w="755"/>
        <w:gridCol w:w="1229"/>
        <w:gridCol w:w="726"/>
        <w:gridCol w:w="1466"/>
        <w:gridCol w:w="696"/>
        <w:gridCol w:w="2499"/>
        <w:gridCol w:w="53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一级指标</w:t>
            </w:r>
          </w:p>
        </w:tc>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分值</w:t>
            </w: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二级指标</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分值</w:t>
            </w:r>
          </w:p>
        </w:tc>
        <w:tc>
          <w:tcPr>
            <w:tcW w:w="5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三级指标</w:t>
            </w:r>
          </w:p>
        </w:tc>
        <w:tc>
          <w:tcPr>
            <w:tcW w:w="2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分值</w:t>
            </w:r>
          </w:p>
        </w:tc>
        <w:tc>
          <w:tcPr>
            <w:tcW w:w="8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指标解释</w:t>
            </w:r>
          </w:p>
        </w:tc>
        <w:tc>
          <w:tcPr>
            <w:tcW w:w="19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指标评分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4"/>
                <w:szCs w:val="24"/>
                <w:u w:val="none"/>
              </w:rPr>
            </w:pPr>
          </w:p>
        </w:tc>
        <w:tc>
          <w:tcPr>
            <w:tcW w:w="5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4"/>
                <w:szCs w:val="24"/>
                <w:u w:val="none"/>
              </w:rPr>
            </w:pPr>
          </w:p>
        </w:tc>
        <w:tc>
          <w:tcPr>
            <w:tcW w:w="2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4"/>
                <w:szCs w:val="24"/>
                <w:u w:val="none"/>
              </w:rPr>
            </w:pPr>
          </w:p>
        </w:tc>
        <w:tc>
          <w:tcPr>
            <w:tcW w:w="8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4"/>
                <w:szCs w:val="24"/>
                <w:u w:val="none"/>
              </w:rPr>
            </w:pPr>
          </w:p>
        </w:tc>
        <w:tc>
          <w:tcPr>
            <w:tcW w:w="19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决策</w:t>
            </w:r>
          </w:p>
        </w:tc>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11.5</w:t>
            </w: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项目决策</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立项依据充分性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项目立项是否符合法律法规、相关政策、发展规划以及部门职责，用以反映和考核项目立项依据情况。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1.项目立项符合国家法律法规和相关政策，得0.5分；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2.项目立项符合行业发展规划和政策要求，得0.5分；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3.项目立项与部门职责范围相符，属于部门履职所需，得0.5分；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4.项目与相关部门同类项目或部门内部相关项目未重复，得0.5分；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道路工程和排水两个工程出现一个工程不符合上述评分标准的情况，每项扣0.25分。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立项程序合规性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项目的申请、设立过程是否符合相关要求，用以反映和考核项目立项的规范情况。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1.项目按照规定的程序申请设立，立项手续齐全，得1分；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2.项目实施方案完善，设计合理，审批文件、材料符合相关要求，得1分；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道路工程和排水两个工程出现一个工程不符合上述评分标准的情况，每项扣0.5分。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绩效目标</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绩效目标合理性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项目所设定的绩效目标是否依据充分，是否符合客观实际，用以反映和考核项目绩效目标与项目实施的相符情况。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1.项目有绩效目标，得0.5分；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2.项目绩效目标与实际工作内容具有相关性，得0.5分；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3.项目预期产出效益和效果符合正常的业绩水平，得0.5分；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4.绩效目标与预算确定的项目投资额或资金量相匹配，得0.5分。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道路工程和排水两个工程出现一个工程不符合上述评分标准的情况，每项扣0.25分。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绩效指标明确性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依据绩效目标设定的绩效指标是否清晰、细化、可衡量等，用以反映和考核项目绩效目标的明细化情况。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1.将项目绩效目标细化分解为具体的绩效指标，得0.5分；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2.绩效指标通过清晰、可衡量的指标值予以体现，得0.5分；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3.绩效指标与项目目标任务数或计划数相对应，得0.5分；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道路工程和排水两个工程出现一个工程不符合上述评分标准的情况，每项扣0.25分。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资金投入</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资金预算合规性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预算资金的申请是否符合程序，计算依据是否充分，计算过程是否详尽，计算标准是否合理；用以反映和考核预算资金的合规性、科学性、合理性。</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1.申请资金程序合规，资金量与项目内容相匹配，得1分；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2.资金预算依据充分、有效，标准合理，得1分；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道路工程和排水两个工程出现一个工程不符合上述评分标准的情况，每项扣0.5分。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资金到位率</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实际到位资金与预算资金等比率，用以反映和考核资金落实情况对项目实施的总体保障程度。</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1.道路工程项目：资金到位率=（实际到位资金/预算资金）*100%，指标分值=资金到位率*指标满分1分，指标得分不超过满分；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2.排水工程项目：资金到位率=（实际到位资金/预算资金）*100%，指标分值=资金到位率*指标满分1分，指标得分不超过满分。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过程</w:t>
            </w:r>
          </w:p>
        </w:tc>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23.5</w:t>
            </w: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资金管理</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7</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资金支出进度</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用以反映和考核资金支出是否按照项目实施工作进度和合同要求及时有序的支付。</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资金支付按照项目工程进度和合同约定及时有序的支付，得2分，每出现一项不符合上述评分标准的，扣0.25分，扣完为止。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资金使用合规性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项目资金拨付是否符合相关的财务管理制度规定，用以反映和考核项目资金的规范运行情况。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1.资金使用符合国家财经法规和财务管理制度以及有关项目资金管理办法的规定，得1分；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2.资金拨付有完整的审批程序和手续，得0.5分；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3.资金使用符合项目预算批复或合同规定的用途，专账管理、专账核算，不存在截留、挤占、挪用、虚列支出等情况，得0.5分；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道路工程和排水两个工程出现一个工程不符合上述评分标准的情况，每项扣0.25分。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财务管理规范性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资金管理是否规范，财务资料是否完整、齐全，用以考核财务管理的规范情况。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1.具有相应的财务管理制度，能够规范有效执行，得1分；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2.会计凭证、报表、账簿、资金结算、竣工决算、审计等资料齐全，得1分；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3.会计核算合法、合规，符合会计相关法律法规要求，得1分；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道路工程和排水两个工程出现一个工程不符合上述评分标准的情况，每项扣0.5分。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组织实施</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16.5</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管理制度健全性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业务管理制度是否健全，用以反映和考核才和业务管理制度对项目顺利实施的保障情况。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具有相应的业务管理制度（包括招投标管理制度、合同管理制度、质量管理制度、安全管理制度、环境管理制度、监理制度以及工程施工建设相关制度），管理制度合法、合规、完整，得2分；每缺少一项管理制度的，每项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项目招投标合规性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项目是否经过公开招标，招标程序是否合规，用以反映和考核采购招标合规情况。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1.项目实施经过公开招投标，并按要求在政府网站、建设地点进行公示，得01分；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2.招投标程序合法合规，招投标资料齐全，得1分；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道路工程和排水两个工程出现一个工程不符合上述评分标准的情况，每项扣0.5分。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施工管理规范性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项目实施程序按照相关文件要求执行，用以考核项目实施程序的规范程度。</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1.工程施工手续齐全，包括工程“两证一书”、水土保护、环境保护等相关手续等，得0.5分；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2.工程按照实施方案、施工设计、批复以及相关技术规范施工，执行“六制”要求，得0.5分；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3.施工日志完整、规范、详实，得0.5分；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4.工程施工过程中无安全事故和环保事故发生，得0.5分；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道路工程和排水两个工程出现一处不符合上述评分标准的情况，每处扣0.25分。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质量安全管理规范性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项目实施是否有相应的质量安全管理措施，用以反映和考核质量监督检查和安全保障情况。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1.按国家颁布的法律法规、规程、批准的设计文件、施工合同和对应的工程质量评定标准进行质量检测工作，得1分；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2.项目质检单位按照合同约定进行原材料检测、混凝土中间产品质量检测、审核施工方质量自检结果、对工程竣工质量进行验收，得1分；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道路工程和排水两个工程出现一处不符合上述评分标准的情况，每处扣0.25分。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监理管理规范性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反映监理对工程的质量、进度、投资控制和对施工安全、文明施工及环境保护的监理情况。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1.制定了监理实施细则、监理规划、监理工作计划和管理制度，得0.5分；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2.按照批准的设计文件、图纸、相关技术规程及监理制度的要求，对工程质量、进度、投资控制、施工安全、文明施工和环境保护进行全面的监督和管理，得0.5分；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3.及时向项目管理单位提交监理月报或监理专题报告，得0.5分；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道路工程和排水两个工程出现一项不符合上述评分标准的情况，每项扣0.25分。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验收管理规范性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项目是否有验收制度、验收程序；验收是否按制度和程序执行。用以反映和考核项目各环节验收情况。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1.具有原材料、设备等进场验收和工程验收管理办法、标准，验收流程清晰，得0.5分；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2.依据验收办法和行业相关验收标准对原材料、设备进场验收，对工0.5分；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3.对各项验收中发现的问题进行及时整改完善，并形成相关整改记录文件，得0.5分；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道路工程和排水两个工程出现一项不符合上述评分标准的情况，每项扣0.25分。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管护保障有效性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反映和考核项目建设完成后得到有效管护的情况。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1.管护主体责任清晰，具有园区管理管护制度、办法，得1分，否则不得分；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2.对园区道路工程和排水设施进行日常维护确保设施正常使用，对出现损坏的部分及时维修，避免影响园区农业生产，得1分，没出现一项管护不到位的情况，扣0.5分，扣完为止。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合同管理完备性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1.5</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项目是否签订合同，合同内容是否规范，用以考核合同管理完备情况。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施工合同：合同签订规范，合同各项内容完整，对工程施工内容和施工要求明确约定，签约时间明确，履约期限、履约内容及双方权利义务、具体风险责任与措施、变更终止约定等合同条款约定清晰，管理完备，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监理合同：合同签订规范，合同各项内容完整，对工程监理的责任和要求明确约定，签约时间明确，履约期限、履约内容及双方权利义务、具体风险责任与措施、变更终止约定等合同条款约定清晰，管理完备，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3.质检合同：合同签订规范，合同各项内容完整，对质量检测技术服务的内容和要求明确约定，签约时间明确，履约期限、履约内容及双方权利义务、具体风险责任与措施、变更终止约定等合同条款约定清晰，管理完备，得0.5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道路工程和排水两个工程出现一处合同不符合上述评分标准的情况，每项扣0.25分，扣完为止。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档案管理完整性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项目档案是否及时整理归档，用以反映和考核项目档案管理保障情况。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1.建立项目档案，对项目进行归档整理，得1分；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2.档案齐全，管理规范，得1分；</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道路工程和排水两个工程出现一个项目不符合上述评分标准的情况，扣0.5分。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产出</w:t>
            </w:r>
          </w:p>
        </w:tc>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30</w:t>
            </w: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数量</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道路工程建设内容完工率</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考核道路工程建设内容完成情况。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道路工程建设内容完工率=实际完工内容/计划完工内容*100%，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指标得分=道路工程建设内容完工率*满分分值。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排水工程建设内容完工率</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考核排水工程建设内容完成情况。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道路工程建设内容完工率=实际完工内容/计划完工内容*100%，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指标得分=道路工程建设内容完工率*满分分值。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质量</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道路工程质量合格情况</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用以反映和考核园区道路工程建设合格情况。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按实施方案、相关要求完成道路工程建设内容，工程质量经验收合格，得4分，每发现一项不符合要求的，扣0.5分，扣完为止。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排水工程质量合格情况</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8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用以反映和考核园区排水工程建设合格情况。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按实施方案、相关要求完成排水工程建设内容，工程质量经验收合格，得4分，每发现一项不符合要求的，扣0.5分，扣完为止。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时效</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工程完工及时性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工程建设的完成及时情况。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道路工程和排水工程是否按照计划及合同约定及时完成得4分，每发现一项未按计划完成建设的情况，延期短未造成重要影响扣1分；延期时间较长且影响项目整体建设的，每发现一项，扣除1分，扣完为止。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验收、移交及时性</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验收、移交及时情况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1.项目按照相关要求、规定进行及时验收的，得2分，延期短未造成重要影响扣0.5分；延期时间较长且影响项目整体投入运营的，每发现一项，扣除1分，扣完为止。</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2.完成验收后及时进行项目管护权交接，得2分，否则不得分。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成本</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成本节约率</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完成项目计划工作目标的实际节约成本与计划成本的比率，用以反映和考核项目的成本节约程度。</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成本节约率=[（计划成本－实际成本）/计划成本]×100%。</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实际成本：项目实施单位如期、保质、保量完成既定工作目标实际所耗费的支出。</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计划成本：项目实施单位为完成工作目标计划安排的支出，一般以项目预算为参考。</w:t>
            </w:r>
            <w:r>
              <w:rPr>
                <w:rFonts w:hint="eastAsia" w:ascii="宋体" w:hAnsi="宋体" w:eastAsia="宋体" w:cs="宋体"/>
                <w:i w:val="0"/>
                <w:iCs w:val="0"/>
                <w:color w:val="auto"/>
                <w:kern w:val="0"/>
                <w:sz w:val="24"/>
                <w:szCs w:val="24"/>
                <w:u w:val="none"/>
                <w:lang w:val="en-US" w:eastAsia="zh-CN" w:bidi="ar"/>
              </w:rPr>
              <w:br w:type="textWrapping"/>
            </w:r>
            <w:r>
              <w:rPr>
                <w:rFonts w:hint="eastAsia" w:ascii="宋体" w:hAnsi="宋体" w:eastAsia="宋体" w:cs="宋体"/>
                <w:i w:val="0"/>
                <w:iCs w:val="0"/>
                <w:color w:val="auto"/>
                <w:kern w:val="0"/>
                <w:sz w:val="24"/>
                <w:szCs w:val="24"/>
                <w:u w:val="none"/>
                <w:lang w:val="en-US" w:eastAsia="zh-CN" w:bidi="ar"/>
              </w:rPr>
              <w:t>指标分值=成本节约率*指标满分值6分，指标得分不超过满分。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效益</w:t>
            </w:r>
          </w:p>
        </w:tc>
        <w:tc>
          <w:tcPr>
            <w:tcW w:w="2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35</w:t>
            </w: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经济效益</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稳定蔬菜价格</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反映项目实施后稳定城中区冬季蔬菜供给情况。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项目实施后，园区排水设施改善，道路运输能力提升，蔬菜及时上市，保障蔬菜市场供应，有效稳定蔬菜价格情况，得3分，否则按实际情况得分。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提高农民经济收入</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反映项目实施后有效提高园区农民经济收入情况。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项目实施后，有效提高园区农民经济收入，得3分，否则按实际情况得分。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社会效益</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保障蔬菜供给</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反映项目实施后稳定城中区冬季蔬菜供给情况。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项目实施后，保障了城中区蔬菜供给，得3分，否则按实际情况得分。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促进温室产业发展</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反映项目实施后对当地温室大棚产业发展的促进情况。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项目实施后，促进了城中区蔬菜温室大棚产业发展，得3分，否则按实际情况得分。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生态效益</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9</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提高自然灾害抵御能力</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反映项目实施后园区有效提高抵御自然灾害能力的情况。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项目实施后，园区有效提高抵御自然灾害的能力，得3分，否则按实际情况得分。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改善农业生产环境</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反映项目实施后，园区农业生产环境改善情况。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项目实施后，园区农业生产环境得到改善，得3分，否则按实际情况得分。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提高土地资源利用率</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反映项目实施后，园区土地合理利用情况。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项目实施后，园区土地资源得到合理利用，土地资源利用率提高，得3分，否则按实际情况得分。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可持续影响</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6</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推动绿色生态农业建设</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反映项目实施后，推动绿色生态农业建设的情况。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项目实施后，推动了城中区绿色生态农业建设，得3分，否则按实际情况得分。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促进人民安居乐业</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3</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考核项目建设完成后，促进人民安居乐业情况。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项目实施后，促进当地群众安居乐业，得3分，否则按实际情况得分。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满意度</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8</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工作人员满意度</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根据问卷调查，了解园区工作人员对项目建设过程、项目产出、项目效益、周边环境影响等的意见、看法以及满意情况。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根据问卷调查结果得出工作人员满意度，满意度90%以上得满分4分，满意度低于90%按比例得分。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受益群体满意度</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4</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根据问卷调查，了解园区农民对项目效益、园区环境影响等的意见、看法以及满意情况。</w:t>
            </w: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根据问卷调查结果得出受益群体满意度，满意度90%以上得满分6分，满意度低于90%按比例得分。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合计</w:t>
            </w:r>
          </w:p>
        </w:tc>
        <w:tc>
          <w:tcPr>
            <w:tcW w:w="2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100</w:t>
            </w:r>
          </w:p>
        </w:tc>
        <w:tc>
          <w:tcPr>
            <w:tcW w:w="4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4"/>
                <w:szCs w:val="24"/>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100</w:t>
            </w:r>
          </w:p>
        </w:tc>
        <w:tc>
          <w:tcPr>
            <w:tcW w:w="5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4"/>
                <w:szCs w:val="24"/>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100</w:t>
            </w:r>
          </w:p>
        </w:tc>
        <w:tc>
          <w:tcPr>
            <w:tcW w:w="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both"/>
              <w:rPr>
                <w:rFonts w:hint="eastAsia" w:ascii="宋体" w:hAnsi="宋体" w:eastAsia="宋体" w:cs="宋体"/>
                <w:b/>
                <w:bCs/>
                <w:i w:val="0"/>
                <w:iCs w:val="0"/>
                <w:color w:val="auto"/>
                <w:sz w:val="24"/>
                <w:szCs w:val="24"/>
                <w:u w:val="none"/>
              </w:rPr>
            </w:pPr>
          </w:p>
        </w:tc>
        <w:tc>
          <w:tcPr>
            <w:tcW w:w="19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both"/>
              <w:rPr>
                <w:rFonts w:hint="eastAsia" w:ascii="宋体" w:hAnsi="宋体" w:eastAsia="宋体" w:cs="宋体"/>
                <w:b/>
                <w:bCs/>
                <w:i w:val="0"/>
                <w:iCs w:val="0"/>
                <w:color w:val="auto"/>
                <w:sz w:val="24"/>
                <w:szCs w:val="24"/>
                <w:u w:val="none"/>
              </w:rPr>
            </w:pPr>
          </w:p>
        </w:tc>
      </w:tr>
    </w:tbl>
    <w:p>
      <w:pPr>
        <w:pageBreakBefore w:val="0"/>
        <w:widowControl w:val="0"/>
        <w:overflowPunct/>
        <w:topLinePunct w:val="0"/>
        <w:bidi w:val="0"/>
        <w:spacing w:line="576" w:lineRule="exact"/>
        <w:ind w:left="0" w:leftChars="0" w:firstLine="0" w:firstLineChars="0"/>
        <w:jc w:val="both"/>
        <w:rPr>
          <w:rFonts w:ascii="仿宋_GB2312" w:hAnsi="仿宋_GB2312" w:eastAsia="仿宋_GB2312" w:cs="Times New Roman"/>
          <w:color w:val="auto"/>
          <w:kern w:val="2"/>
          <w:sz w:val="32"/>
          <w:szCs w:val="24"/>
          <w:lang w:val="en-US" w:eastAsia="zh-CN" w:bidi="ar-SA"/>
        </w:rPr>
      </w:pPr>
    </w:p>
    <w:p>
      <w:pPr>
        <w:pageBreakBefore w:val="0"/>
        <w:overflowPunct/>
        <w:topLinePunct w:val="0"/>
        <w:bidi w:val="0"/>
        <w:adjustRightInd w:val="0"/>
        <w:snapToGrid w:val="0"/>
        <w:spacing w:line="576" w:lineRule="exact"/>
        <w:ind w:left="0" w:leftChars="0" w:firstLine="425" w:firstLineChars="152"/>
        <w:rPr>
          <w:rFonts w:ascii="宋体" w:hAnsi="宋体" w:cs="宋体"/>
          <w:color w:val="auto"/>
          <w:sz w:val="28"/>
          <w:szCs w:val="28"/>
        </w:rPr>
        <w:sectPr>
          <w:footerReference r:id="rId53" w:type="default"/>
          <w:headerReference r:id="rId52" w:type="even"/>
          <w:pgSz w:w="16838" w:h="11905" w:orient="landscape"/>
          <w:pgMar w:top="2098" w:right="1474" w:bottom="1984" w:left="1587" w:header="851" w:footer="720" w:gutter="0"/>
          <w:pgNumType w:fmt="numberInDash"/>
          <w:cols w:space="0" w:num="1"/>
          <w:rtlGutter w:val="0"/>
          <w:docGrid w:type="lines" w:linePitch="436" w:charSpace="0"/>
        </w:sectPr>
      </w:pPr>
    </w:p>
    <w:p>
      <w:pPr>
        <w:keepNext/>
        <w:keepLines/>
        <w:pageBreakBefore w:val="0"/>
        <w:widowControl w:val="0"/>
        <w:kinsoku/>
        <w:wordWrap/>
        <w:overflowPunct/>
        <w:topLinePunct w:val="0"/>
        <w:autoSpaceDE/>
        <w:autoSpaceDN/>
        <w:bidi w:val="0"/>
        <w:adjustRightInd/>
        <w:snapToGrid/>
        <w:spacing w:before="0" w:line="576" w:lineRule="exact"/>
        <w:ind w:left="0" w:leftChars="0" w:firstLine="0" w:firstLineChars="0"/>
        <w:jc w:val="both"/>
        <w:textAlignment w:val="auto"/>
        <w:outlineLvl w:val="0"/>
        <w:rPr>
          <w:rFonts w:hint="default" w:ascii="楷体" w:hAnsi="楷体" w:eastAsia="楷体" w:cs="楷体"/>
          <w:b/>
          <w:bCs/>
          <w:color w:val="auto"/>
          <w:kern w:val="2"/>
          <w:sz w:val="32"/>
          <w:szCs w:val="24"/>
          <w:lang w:val="en-US" w:eastAsia="zh-CN" w:bidi="ar-SA"/>
        </w:rPr>
      </w:pPr>
      <w:bookmarkStart w:id="1147" w:name="_Toc17689"/>
      <w:bookmarkStart w:id="1148" w:name="_Toc8134"/>
      <w:bookmarkStart w:id="1149" w:name="_Toc7996"/>
      <w:bookmarkStart w:id="1150" w:name="_Toc9551"/>
      <w:bookmarkStart w:id="1151" w:name="_Toc20779"/>
      <w:r>
        <w:rPr>
          <w:rFonts w:hint="eastAsia" w:ascii="楷体" w:hAnsi="楷体" w:eastAsia="楷体" w:cs="楷体"/>
          <w:b/>
          <w:bCs/>
          <w:color w:val="auto"/>
          <w:kern w:val="2"/>
          <w:sz w:val="32"/>
          <w:szCs w:val="24"/>
          <w:lang w:val="en-US" w:eastAsia="zh-CN" w:bidi="ar-SA"/>
        </w:rPr>
        <w:t>附件2：项目投资估算表</w:t>
      </w:r>
      <w:bookmarkEnd w:id="1147"/>
      <w:bookmarkEnd w:id="1148"/>
      <w:bookmarkEnd w:id="1149"/>
      <w:bookmarkEnd w:id="1150"/>
      <w:bookmarkEnd w:id="1151"/>
    </w:p>
    <w:p>
      <w:pPr>
        <w:pageBreakBefore w:val="0"/>
        <w:widowControl w:val="0"/>
        <w:overflowPunct/>
        <w:topLinePunct w:val="0"/>
        <w:bidi w:val="0"/>
        <w:spacing w:line="576" w:lineRule="exact"/>
        <w:ind w:left="0" w:leftChars="0" w:firstLine="0" w:firstLineChars="0"/>
        <w:jc w:val="center"/>
        <w:outlineLvl w:val="9"/>
        <w:rPr>
          <w:rFonts w:hint="eastAsia" w:ascii="仿宋_GB2312" w:hAnsi="仿宋_GB2312" w:eastAsia="仿宋_GB2312" w:cs="Times New Roman"/>
          <w:color w:val="auto"/>
          <w:kern w:val="2"/>
          <w:sz w:val="32"/>
          <w:szCs w:val="24"/>
          <w:lang w:val="en-US" w:eastAsia="zh-CN" w:bidi="ar-SA"/>
        </w:rPr>
      </w:pPr>
      <w:bookmarkStart w:id="1152" w:name="_Toc7965"/>
      <w:r>
        <w:rPr>
          <w:rFonts w:hint="eastAsia" w:ascii="宋体" w:hAnsi="宋体" w:eastAsia="宋体" w:cs="宋体"/>
          <w:b/>
          <w:bCs/>
          <w:color w:val="auto"/>
          <w:kern w:val="2"/>
          <w:sz w:val="28"/>
          <w:szCs w:val="28"/>
          <w:lang w:val="en-US" w:eastAsia="zh-CN" w:bidi="ar-SA"/>
        </w:rPr>
        <w:t>2-1城中区总寨塬智能温室园区道路工程投资估算表</w:t>
      </w:r>
      <w:bookmarkEnd w:id="1152"/>
    </w:p>
    <w:tbl>
      <w:tblPr>
        <w:tblStyle w:val="1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9"/>
        <w:gridCol w:w="1036"/>
        <w:gridCol w:w="974"/>
        <w:gridCol w:w="559"/>
        <w:gridCol w:w="766"/>
        <w:gridCol w:w="766"/>
        <w:gridCol w:w="862"/>
        <w:gridCol w:w="767"/>
        <w:gridCol w:w="480"/>
        <w:gridCol w:w="839"/>
        <w:gridCol w:w="930"/>
        <w:gridCol w:w="4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jc w:val="center"/>
        </w:trPr>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5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工程项目名称</w:t>
            </w:r>
          </w:p>
        </w:tc>
        <w:tc>
          <w:tcPr>
            <w:tcW w:w="259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估算价值（单位：万元）</w:t>
            </w:r>
          </w:p>
        </w:tc>
        <w:tc>
          <w:tcPr>
            <w:tcW w:w="124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技术经济指标</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2" w:hRule="atLeast"/>
          <w:jc w:val="center"/>
        </w:trPr>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5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建筑</w:t>
            </w:r>
          </w:p>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工程</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设备</w:t>
            </w:r>
          </w:p>
        </w:tc>
        <w:tc>
          <w:tcPr>
            <w:tcW w:w="422" w:type="pc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安装工程</w:t>
            </w:r>
          </w:p>
        </w:tc>
        <w:tc>
          <w:tcPr>
            <w:tcW w:w="422" w:type="pc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工器具购置费</w:t>
            </w:r>
          </w:p>
        </w:tc>
        <w:tc>
          <w:tcPr>
            <w:tcW w:w="475" w:type="pc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其他费用</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合计</w:t>
            </w:r>
          </w:p>
        </w:tc>
        <w:tc>
          <w:tcPr>
            <w:tcW w:w="264" w:type="pct"/>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单位</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数量</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指标</w:t>
            </w: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一</w:t>
            </w:r>
          </w:p>
        </w:tc>
        <w:tc>
          <w:tcPr>
            <w:tcW w:w="571"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建筑工</w:t>
            </w:r>
          </w:p>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程费用</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194.99</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194.99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Km</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1.93</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100.93</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1</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道路工程</w:t>
            </w:r>
          </w:p>
        </w:tc>
        <w:tc>
          <w:tcPr>
            <w:tcW w:w="537"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194.99</w:t>
            </w:r>
          </w:p>
        </w:tc>
        <w:tc>
          <w:tcPr>
            <w:tcW w:w="308"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194.99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Km</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1.93</w:t>
            </w:r>
          </w:p>
        </w:tc>
        <w:tc>
          <w:tcPr>
            <w:tcW w:w="513"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100.93</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砂石路</w:t>
            </w:r>
          </w:p>
        </w:tc>
        <w:tc>
          <w:tcPr>
            <w:tcW w:w="537"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127.59</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127.59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1932</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660.40</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边沟</w:t>
            </w:r>
          </w:p>
        </w:tc>
        <w:tc>
          <w:tcPr>
            <w:tcW w:w="537"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46.25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46.25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1975</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234.18</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管涵</w:t>
            </w:r>
          </w:p>
        </w:tc>
        <w:tc>
          <w:tcPr>
            <w:tcW w:w="537"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1.33</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58</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229.31</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踏步</w:t>
            </w:r>
          </w:p>
        </w:tc>
        <w:tc>
          <w:tcPr>
            <w:tcW w:w="537" w:type="pct"/>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19.82</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19.82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m3</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320</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619.96</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二</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工程其他费用</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31.33</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31.33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设计费</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监理费</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勘测费</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5.50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建设单位管理费</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场地准备及临时设施费</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0.97</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0.97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清单</w:t>
            </w:r>
          </w:p>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编制费</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0.97</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0.97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招标</w:t>
            </w:r>
          </w:p>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代理费</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工程结、决算审核费</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0.78</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0.78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项目前期工作费</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3.50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三</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预备费</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6.79</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6.79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四</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总投资</w:t>
            </w:r>
          </w:p>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合计</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194.99</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0.00</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0.00</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0.00</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38.12</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233.11</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Km</w:t>
            </w: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1.93</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120.66</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3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五</w:t>
            </w:r>
          </w:p>
        </w:tc>
        <w:tc>
          <w:tcPr>
            <w:tcW w:w="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both"/>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占总投资比例（%）</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83.65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0.00</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0.00</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0.00</w:t>
            </w:r>
          </w:p>
        </w:tc>
        <w:tc>
          <w:tcPr>
            <w:tcW w:w="4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16.35</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100.00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4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1"/>
                <w:szCs w:val="21"/>
                <w:u w:val="none"/>
              </w:rPr>
            </w:pPr>
          </w:p>
        </w:tc>
      </w:tr>
    </w:tbl>
    <w:p>
      <w:pPr>
        <w:pageBreakBefore w:val="0"/>
        <w:overflowPunct/>
        <w:topLinePunct w:val="0"/>
        <w:bidi w:val="0"/>
        <w:spacing w:line="576" w:lineRule="exact"/>
        <w:ind w:left="0" w:leftChars="0" w:firstLine="0" w:firstLineChars="0"/>
        <w:jc w:val="center"/>
        <w:rPr>
          <w:rFonts w:hint="eastAsia" w:ascii="宋体" w:hAnsi="宋体" w:eastAsia="宋体" w:cs="宋体"/>
          <w:b/>
          <w:bCs/>
          <w:color w:val="auto"/>
          <w:sz w:val="28"/>
          <w:szCs w:val="28"/>
          <w:lang w:val="en-US" w:eastAsia="zh-CN"/>
        </w:rPr>
        <w:sectPr>
          <w:headerReference r:id="rId54" w:type="even"/>
          <w:pgSz w:w="11905" w:h="16838"/>
          <w:pgMar w:top="2098" w:right="1474" w:bottom="1984" w:left="1587" w:header="851" w:footer="720" w:gutter="0"/>
          <w:pgNumType w:fmt="numberInDash"/>
          <w:cols w:space="0" w:num="1"/>
          <w:rtlGutter w:val="0"/>
          <w:docGrid w:type="lines" w:linePitch="436" w:charSpace="0"/>
        </w:sectPr>
      </w:pPr>
    </w:p>
    <w:p>
      <w:pPr>
        <w:pageBreakBefore w:val="0"/>
        <w:widowControl w:val="0"/>
        <w:overflowPunct/>
        <w:topLinePunct w:val="0"/>
        <w:bidi w:val="0"/>
        <w:spacing w:line="576" w:lineRule="exact"/>
        <w:ind w:left="0" w:leftChars="0" w:firstLine="0" w:firstLineChars="0"/>
        <w:jc w:val="center"/>
        <w:outlineLvl w:val="9"/>
        <w:rPr>
          <w:rFonts w:hint="eastAsia" w:ascii="宋体" w:hAnsi="宋体" w:eastAsia="宋体" w:cs="宋体"/>
          <w:b/>
          <w:bCs/>
          <w:color w:val="auto"/>
          <w:kern w:val="2"/>
          <w:sz w:val="28"/>
          <w:szCs w:val="28"/>
          <w:lang w:val="en-US" w:eastAsia="zh-CN" w:bidi="ar-SA"/>
        </w:rPr>
      </w:pPr>
      <w:bookmarkStart w:id="1153" w:name="_Toc23705"/>
      <w:r>
        <w:rPr>
          <w:rFonts w:hint="eastAsia" w:ascii="宋体" w:hAnsi="宋体" w:eastAsia="宋体" w:cs="宋体"/>
          <w:b/>
          <w:bCs/>
          <w:color w:val="auto"/>
          <w:kern w:val="2"/>
          <w:sz w:val="28"/>
          <w:szCs w:val="28"/>
          <w:lang w:val="en-US" w:eastAsia="zh-CN" w:bidi="ar-SA"/>
        </w:rPr>
        <w:t>2-2城中区总寨塬智能温室园区排水工程投资估算表</w:t>
      </w:r>
      <w:bookmarkEnd w:id="1153"/>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8"/>
        <w:gridCol w:w="2688"/>
        <w:gridCol w:w="1603"/>
        <w:gridCol w:w="1269"/>
        <w:gridCol w:w="1277"/>
        <w:gridCol w:w="1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3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编号</w:t>
            </w:r>
          </w:p>
        </w:tc>
        <w:tc>
          <w:tcPr>
            <w:tcW w:w="14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工程或费用名称</w:t>
            </w:r>
          </w:p>
        </w:tc>
        <w:tc>
          <w:tcPr>
            <w:tcW w:w="8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kern w:val="0"/>
                <w:sz w:val="24"/>
                <w:szCs w:val="24"/>
                <w:u w:val="none"/>
                <w:lang w:val="en-US" w:eastAsia="zh-CN" w:bidi="ar"/>
              </w:rPr>
            </w:pPr>
            <w:r>
              <w:rPr>
                <w:rFonts w:hint="eastAsia" w:ascii="宋体" w:hAnsi="宋体" w:eastAsia="宋体" w:cs="宋体"/>
                <w:b/>
                <w:bCs/>
                <w:i w:val="0"/>
                <w:iCs w:val="0"/>
                <w:color w:val="auto"/>
                <w:kern w:val="0"/>
                <w:sz w:val="24"/>
                <w:szCs w:val="24"/>
                <w:u w:val="none"/>
                <w:lang w:val="en-US" w:eastAsia="zh-CN" w:bidi="ar"/>
              </w:rPr>
              <w:t>建安工程费</w:t>
            </w:r>
          </w:p>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cs="Times New Roman"/>
                <w:color w:val="auto"/>
              </w:rPr>
            </w:pPr>
            <w:r>
              <w:rPr>
                <w:rFonts w:hint="eastAsia" w:ascii="宋体" w:hAnsi="宋体" w:eastAsia="宋体" w:cs="宋体"/>
                <w:b/>
                <w:bCs/>
                <w:i w:val="0"/>
                <w:iCs w:val="0"/>
                <w:color w:val="auto"/>
                <w:kern w:val="0"/>
                <w:sz w:val="24"/>
                <w:szCs w:val="24"/>
                <w:u w:val="none"/>
                <w:lang w:val="en-US" w:eastAsia="zh-CN" w:bidi="ar"/>
              </w:rPr>
              <w:t>（万元）</w:t>
            </w:r>
          </w:p>
        </w:tc>
        <w:tc>
          <w:tcPr>
            <w:tcW w:w="7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其他费用（万元）</w:t>
            </w:r>
          </w:p>
        </w:tc>
        <w:tc>
          <w:tcPr>
            <w:tcW w:w="70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总价值（万元）</w:t>
            </w:r>
          </w:p>
        </w:tc>
        <w:tc>
          <w:tcPr>
            <w:tcW w:w="8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总投资占比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8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14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8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7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70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c>
          <w:tcPr>
            <w:tcW w:w="8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I</w:t>
            </w:r>
          </w:p>
        </w:tc>
        <w:tc>
          <w:tcPr>
            <w:tcW w:w="1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工程部分投资</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119.85</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1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第一部分：建筑工程</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91.25</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59.0%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干沟</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19.28</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19.28</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2</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支沟（无盖板）</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39.39</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39.39</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支沟（穿路段）</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13.76</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13.76</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4</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干沟陡坡</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15.35</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15.35</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5</w:t>
            </w:r>
          </w:p>
        </w:tc>
        <w:tc>
          <w:tcPr>
            <w:tcW w:w="148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支沟陡坡</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3.47</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3.47</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1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第二部分：施工临时工程</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7.99</w:t>
            </w: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7.99</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1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第三部分：独立费用</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14.90</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14.90</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1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基本预备费</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5.71</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II</w:t>
            </w:r>
          </w:p>
        </w:tc>
        <w:tc>
          <w:tcPr>
            <w:tcW w:w="1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建设征地移民补偿投资</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19.73</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19.73</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III</w:t>
            </w:r>
          </w:p>
        </w:tc>
        <w:tc>
          <w:tcPr>
            <w:tcW w:w="1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环境保护工程投资</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6.52</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6.52</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IV</w:t>
            </w:r>
          </w:p>
        </w:tc>
        <w:tc>
          <w:tcPr>
            <w:tcW w:w="1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水土保持工程投资</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8.64</w:t>
            </w: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val="0"/>
                <w:bCs w:val="0"/>
                <w:i w:val="0"/>
                <w:iCs w:val="0"/>
                <w:color w:val="auto"/>
                <w:sz w:val="24"/>
                <w:szCs w:val="24"/>
                <w:u w:val="none"/>
              </w:rPr>
            </w:pPr>
            <w:r>
              <w:rPr>
                <w:rFonts w:hint="eastAsia" w:ascii="宋体" w:hAnsi="宋体" w:eastAsia="宋体" w:cs="宋体"/>
                <w:b w:val="0"/>
                <w:bCs w:val="0"/>
                <w:i w:val="0"/>
                <w:iCs w:val="0"/>
                <w:color w:val="auto"/>
                <w:kern w:val="0"/>
                <w:sz w:val="24"/>
                <w:szCs w:val="24"/>
                <w:u w:val="none"/>
                <w:lang w:val="en-US" w:eastAsia="zh-CN" w:bidi="ar"/>
              </w:rPr>
              <w:t>8.64</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val="0"/>
                <w:bCs w:val="0"/>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4"/>
                <w:szCs w:val="24"/>
                <w:u w:val="none"/>
              </w:rPr>
            </w:pPr>
          </w:p>
        </w:tc>
        <w:tc>
          <w:tcPr>
            <w:tcW w:w="14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工程投资总计</w:t>
            </w:r>
          </w:p>
        </w:tc>
        <w:tc>
          <w:tcPr>
            <w:tcW w:w="8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4"/>
                <w:szCs w:val="24"/>
                <w:u w:val="none"/>
              </w:rPr>
            </w:pPr>
          </w:p>
        </w:tc>
        <w:tc>
          <w:tcPr>
            <w:tcW w:w="7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eastAsia" w:ascii="宋体" w:hAnsi="宋体" w:eastAsia="宋体" w:cs="宋体"/>
                <w:b/>
                <w:bCs/>
                <w:i w:val="0"/>
                <w:iCs w:val="0"/>
                <w:color w:val="auto"/>
                <w:sz w:val="24"/>
                <w:szCs w:val="24"/>
                <w:u w:val="none"/>
              </w:rPr>
            </w:pPr>
          </w:p>
        </w:tc>
        <w:tc>
          <w:tcPr>
            <w:tcW w:w="7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576" w:lineRule="exact"/>
              <w:ind w:left="0" w:leftChars="0" w:firstLine="0" w:firstLineChars="0"/>
              <w:jc w:val="center"/>
              <w:textAlignment w:val="bottom"/>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154.74</w:t>
            </w:r>
          </w:p>
        </w:tc>
        <w:tc>
          <w:tcPr>
            <w:tcW w:w="8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576" w:lineRule="exact"/>
              <w:ind w:left="0" w:leftChars="0" w:firstLine="0" w:firstLineChars="0"/>
              <w:jc w:val="center"/>
              <w:rPr>
                <w:rFonts w:hint="default" w:ascii="宋体" w:hAnsi="宋体" w:eastAsia="宋体" w:cs="宋体"/>
                <w:b/>
                <w:bCs/>
                <w:i w:val="0"/>
                <w:iCs w:val="0"/>
                <w:color w:val="auto"/>
                <w:sz w:val="24"/>
                <w:szCs w:val="24"/>
                <w:u w:val="none"/>
                <w:lang w:val="en-US" w:eastAsia="zh-CN"/>
              </w:rPr>
            </w:pPr>
            <w:r>
              <w:rPr>
                <w:rFonts w:hint="eastAsia" w:ascii="宋体" w:hAnsi="宋体" w:eastAsia="宋体" w:cs="宋体"/>
                <w:b/>
                <w:bCs/>
                <w:i w:val="0"/>
                <w:iCs w:val="0"/>
                <w:color w:val="auto"/>
                <w:sz w:val="24"/>
                <w:szCs w:val="24"/>
                <w:u w:val="none"/>
                <w:lang w:val="en-US" w:eastAsia="zh-CN"/>
              </w:rPr>
              <w:t>100%</w:t>
            </w:r>
          </w:p>
        </w:tc>
      </w:tr>
    </w:tbl>
    <w:p>
      <w:pPr>
        <w:pageBreakBefore w:val="0"/>
        <w:overflowPunct/>
        <w:topLinePunct w:val="0"/>
        <w:bidi w:val="0"/>
        <w:spacing w:line="576" w:lineRule="exact"/>
        <w:ind w:left="0" w:leftChars="0"/>
        <w:rPr>
          <w:rFonts w:hint="default" w:cs="Times New Roman"/>
          <w:color w:val="auto"/>
          <w:lang w:val="en-US" w:eastAsia="zh-CN"/>
        </w:rPr>
      </w:pPr>
    </w:p>
    <w:p>
      <w:pPr>
        <w:pageBreakBefore w:val="0"/>
        <w:widowControl w:val="0"/>
        <w:overflowPunct/>
        <w:topLinePunct w:val="0"/>
        <w:bidi w:val="0"/>
        <w:spacing w:line="576" w:lineRule="exact"/>
        <w:ind w:left="0" w:leftChars="0" w:firstLine="0" w:firstLineChars="0"/>
        <w:jc w:val="both"/>
        <w:rPr>
          <w:rFonts w:hint="eastAsia" w:ascii="仿宋_GB2312" w:hAnsi="仿宋_GB2312" w:eastAsia="仿宋_GB2312" w:cs="Times New Roman"/>
          <w:color w:val="auto"/>
          <w:kern w:val="2"/>
          <w:sz w:val="32"/>
          <w:szCs w:val="24"/>
          <w:lang w:val="en-US" w:eastAsia="zh-CN" w:bidi="ar-SA"/>
        </w:rPr>
      </w:pPr>
    </w:p>
    <w:p>
      <w:pPr>
        <w:pageBreakBefore w:val="0"/>
        <w:overflowPunct/>
        <w:topLinePunct w:val="0"/>
        <w:bidi w:val="0"/>
        <w:spacing w:line="576" w:lineRule="exact"/>
        <w:ind w:left="0" w:leftChars="0" w:firstLine="0" w:firstLineChars="0"/>
        <w:rPr>
          <w:rFonts w:hint="eastAsia"/>
          <w:color w:val="auto"/>
        </w:rPr>
        <w:sectPr>
          <w:pgSz w:w="11905" w:h="16838"/>
          <w:pgMar w:top="2098" w:right="1474" w:bottom="1984" w:left="1587" w:header="851" w:footer="720" w:gutter="0"/>
          <w:pgNumType w:fmt="numberInDash"/>
          <w:cols w:space="0" w:num="1"/>
          <w:rtlGutter w:val="0"/>
          <w:docGrid w:type="lines" w:linePitch="436" w:charSpace="0"/>
        </w:sectPr>
      </w:pPr>
    </w:p>
    <w:p>
      <w:pPr>
        <w:keepNext/>
        <w:keepLines/>
        <w:pageBreakBefore w:val="0"/>
        <w:widowControl w:val="0"/>
        <w:kinsoku/>
        <w:wordWrap/>
        <w:overflowPunct/>
        <w:topLinePunct w:val="0"/>
        <w:autoSpaceDE/>
        <w:autoSpaceDN/>
        <w:bidi w:val="0"/>
        <w:adjustRightInd/>
        <w:snapToGrid/>
        <w:spacing w:before="0" w:line="576" w:lineRule="exact"/>
        <w:ind w:left="0" w:leftChars="0" w:firstLine="0" w:firstLineChars="0"/>
        <w:jc w:val="both"/>
        <w:textAlignment w:val="auto"/>
        <w:outlineLvl w:val="0"/>
        <w:rPr>
          <w:rFonts w:hint="eastAsia" w:ascii="楷体" w:hAnsi="楷体" w:eastAsia="楷体" w:cs="楷体"/>
          <w:b/>
          <w:bCs/>
          <w:color w:val="auto"/>
          <w:kern w:val="2"/>
          <w:sz w:val="32"/>
          <w:szCs w:val="24"/>
          <w:lang w:val="en-US" w:eastAsia="zh-CN" w:bidi="ar-SA"/>
        </w:rPr>
      </w:pPr>
      <w:bookmarkStart w:id="1154" w:name="_Toc22751"/>
      <w:bookmarkStart w:id="1155" w:name="_Toc23954"/>
      <w:bookmarkStart w:id="1156" w:name="_Toc21446"/>
      <w:bookmarkStart w:id="1157" w:name="_Toc11554"/>
      <w:bookmarkStart w:id="1158" w:name="_Toc32153_WPSOffice_Level1"/>
      <w:bookmarkStart w:id="1159" w:name="_Toc25584_WPSOffice_Level1"/>
      <w:bookmarkStart w:id="1160" w:name="_Toc18977_WPSOffice_Level1"/>
      <w:bookmarkStart w:id="1161" w:name="_Toc22234_WPSOffice_Level1"/>
      <w:r>
        <w:rPr>
          <w:rFonts w:hint="eastAsia" w:ascii="楷体" w:hAnsi="楷体" w:eastAsia="楷体" w:cs="楷体"/>
          <w:b/>
          <w:bCs/>
          <w:color w:val="auto"/>
          <w:kern w:val="2"/>
          <w:sz w:val="32"/>
          <w:szCs w:val="24"/>
          <w:lang w:val="en-US" w:eastAsia="zh-CN" w:bidi="ar-SA"/>
        </w:rPr>
        <w:t>附件3：调查问卷统计表</w:t>
      </w:r>
      <w:bookmarkEnd w:id="1154"/>
      <w:bookmarkEnd w:id="1155"/>
      <w:bookmarkEnd w:id="1156"/>
      <w:bookmarkEnd w:id="1157"/>
    </w:p>
    <w:p>
      <w:pPr>
        <w:pageBreakBefore w:val="0"/>
        <w:widowControl/>
        <w:overflowPunct/>
        <w:topLinePunct w:val="0"/>
        <w:bidi w:val="0"/>
        <w:spacing w:line="576" w:lineRule="exact"/>
        <w:ind w:left="0" w:leftChars="0" w:firstLine="0" w:firstLineChars="0"/>
        <w:jc w:val="center"/>
        <w:textAlignment w:val="center"/>
        <w:outlineLvl w:val="0"/>
        <w:rPr>
          <w:rFonts w:hint="eastAsia" w:ascii="宋体" w:hAnsi="宋体" w:eastAsia="宋体" w:cs="宋体"/>
          <w:b/>
          <w:color w:val="auto"/>
          <w:kern w:val="0"/>
          <w:sz w:val="32"/>
          <w:szCs w:val="32"/>
          <w:lang w:val="en-US" w:eastAsia="zh-CN"/>
        </w:rPr>
      </w:pPr>
      <w:bookmarkStart w:id="1162" w:name="_Toc24042"/>
      <w:bookmarkStart w:id="1163" w:name="_Toc9773"/>
      <w:bookmarkStart w:id="1164" w:name="_Toc12773"/>
      <w:r>
        <w:rPr>
          <w:rFonts w:hint="eastAsia" w:ascii="宋体" w:hAnsi="宋体" w:eastAsia="宋体" w:cs="宋体"/>
          <w:b/>
          <w:color w:val="auto"/>
          <w:kern w:val="0"/>
          <w:sz w:val="32"/>
          <w:szCs w:val="32"/>
          <w:lang w:val="en-US" w:eastAsia="zh-CN"/>
        </w:rPr>
        <w:t>3-1 西宁市城中区总寨塬智能温室园区道路工程和排水工程</w:t>
      </w:r>
      <w:bookmarkEnd w:id="1162"/>
      <w:r>
        <w:rPr>
          <w:rFonts w:hint="eastAsia" w:ascii="宋体" w:hAnsi="宋体" w:eastAsia="宋体" w:cs="宋体"/>
          <w:b/>
          <w:color w:val="auto"/>
          <w:kern w:val="0"/>
          <w:sz w:val="32"/>
          <w:szCs w:val="32"/>
          <w:lang w:val="en-US" w:eastAsia="zh-CN"/>
        </w:rPr>
        <w:t>项目满意度调查问卷（园区工作人员）</w:t>
      </w:r>
      <w:bookmarkEnd w:id="1163"/>
      <w:bookmarkEnd w:id="1164"/>
    </w:p>
    <w:p>
      <w:pPr>
        <w:pageBreakBefore w:val="0"/>
        <w:widowControl w:val="0"/>
        <w:kinsoku/>
        <w:wordWrap/>
        <w:overflowPunct/>
        <w:topLinePunct w:val="0"/>
        <w:autoSpaceDE/>
        <w:autoSpaceDN/>
        <w:bidi w:val="0"/>
        <w:adjustRightInd/>
        <w:snapToGrid/>
        <w:spacing w:line="576" w:lineRule="exact"/>
        <w:ind w:left="0" w:leftChars="0" w:firstLine="0" w:firstLineChars="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二、基础问题</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2.您知道总寨塬园区去年新建道路工程和排水设施吗？</w:t>
      </w:r>
    </w:p>
    <w:p>
      <w:pPr>
        <w:pageBreakBefore w:val="0"/>
        <w:overflowPunct/>
        <w:topLinePunct w:val="0"/>
        <w:bidi w:val="0"/>
        <w:spacing w:line="576" w:lineRule="exact"/>
        <w:ind w:left="0" w:leftChars="0" w:firstLine="480" w:firstLineChars="200"/>
        <w:rPr>
          <w:rFonts w:hint="eastAsia" w:eastAsia="宋体" w:cs="Times New Roman"/>
          <w:color w:val="auto"/>
          <w:lang w:val="en-US" w:eastAsia="zh-CN"/>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知道（2人）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B.不</w:t>
      </w:r>
      <w:r>
        <w:rPr>
          <w:rFonts w:hint="eastAsia" w:ascii="宋体" w:hAnsi="宋体" w:eastAsia="宋体" w:cs="宋体"/>
          <w:color w:val="auto"/>
          <w:sz w:val="24"/>
          <w:szCs w:val="24"/>
          <w:lang w:val="en-US" w:eastAsia="zh-CN"/>
        </w:rPr>
        <w:t>知道（0人）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园区过去的道路状况和排水状况如何</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51435</wp:posOffset>
                </wp:positionH>
                <wp:positionV relativeFrom="paragraph">
                  <wp:posOffset>254635</wp:posOffset>
                </wp:positionV>
                <wp:extent cx="5027295" cy="0"/>
                <wp:effectExtent l="0" t="0" r="0" b="0"/>
                <wp:wrapNone/>
                <wp:docPr id="352" name="直接连接符 352"/>
                <wp:cNvGraphicFramePr/>
                <a:graphic xmlns:a="http://schemas.openxmlformats.org/drawingml/2006/main">
                  <a:graphicData uri="http://schemas.microsoft.com/office/word/2010/wordprocessingShape">
                    <wps:wsp>
                      <wps:cNvCnPr/>
                      <wps:spPr>
                        <a:xfrm>
                          <a:off x="1247140" y="4084320"/>
                          <a:ext cx="5027295" cy="0"/>
                        </a:xfrm>
                        <a:prstGeom prst="line">
                          <a:avLst/>
                        </a:prstGeom>
                        <a:noFill/>
                        <a:ln w="9525"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05pt;margin-top:20.05pt;height:0pt;width:395.85pt;z-index:251670528;mso-width-relative:page;mso-height-relative:page;" filled="f" stroked="t" coordsize="21600,21600" o:gfxdata="UEsDBAoAAAAAAIdO4kAAAAAAAAAAAAAAAAAEAAAAZHJzL1BLAwQUAAAACACHTuJAr9DP49YAAAAH&#10;AQAADwAAAGRycy9kb3ducmV2LnhtbE2PzU7DMBCE70i8g7VI3KgdhKBN41QCKScQFSkcenPjbRKI&#10;16nt/vD2LOoBTqvdGc1+UyxObhAHDLH3pCGbKBBIjbc9tRreV9XNFERMhqwZPKGGb4ywKC8vCpNb&#10;f6Q3PNSpFRxCMTcaupTGXMrYdOhMnPgRibWtD84kXkMrbTBHDneDvFXqXjrTE3/ozIhPHTZf9d5p&#10;2OLrx3MMuHvZLR/XVb38dG210vr6KlNzEAlP6c8Mv/iMDiUzbfyebBSDhmnGRg13iifLD7MZN9mc&#10;D7Is5H/+8gdQSwMEFAAAAAgAh07iQALsrmoGAgAA4wMAAA4AAABkcnMvZTJvRG9jLnhtbK1TzY7T&#10;MBC+I/EOlu80abZlu1HdPWy1XBBUYnkAr+Mklvwnj7dpX4IXQOIGJ47ceRuWx2DshKUslz2QgzPO&#10;jL+Z7/OX9eXBaLKXAZSzjM5nJSXSCtco2zH6/ub6xYoSiNw2XDsrGT1KoJeb58/Wg69l5XqnGxkI&#10;glioB89oH6OviwJELw2HmfPSYrJ1wfCI29AVTeADohtdVGX5shhcaHxwQgLg1+2YpBNieAqga1sl&#10;5NaJOyNtHFGD1DwiJeiVB7rJ07atFPFt24KMRDOKTGNesQnGt2ktNmted4H7XolpBP6UER5xMlxZ&#10;bPoAteWRk7ug/oEySgQHro0z4UwxEsmKIIt5+Uibdz33MnNBqcE/iA7/D1a82e8CUQ2jZ8uKEssN&#10;Xvn9x28/Pnz++f0Trvdfv5CUQqEGDzXWX9ldmHbgdyGxPrTBpDfyIQc0VbU4ny9Q4iOji3K1OKsm&#10;oeUhEoEFy7I6ry6WlAisyLniD4gPEF9JZ0gKGNXKJg14zfevIWJjLP1dkj5bd620zveoLRkYvVhW&#10;CZmjN1v0BIbGIz+wHSVcd2h6EUNGBKdVk04nHDjClQ5kz9EpaNfGDTc4LiWaQ8QEzpmfJARO8NfR&#10;NM6WQz8ezqnRWEZF/Fe0MoyuTk9rmzrK7M+JVBJ3lDNFt645ZpWLtMO7z00nnyZzne4xPv03N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9DP49YAAAAHAQAADwAAAAAAAAABACAAAAAiAAAAZHJz&#10;L2Rvd25yZXYueG1sUEsBAhQAFAAAAAgAh07iQALsrmoGAgAA4wMAAA4AAAAAAAAAAQAgAAAAJQEA&#10;AGRycy9lMm9Eb2MueG1sUEsFBgAAAAAGAAYAWQEAAJ0FAAAAAA==&#10;">
                <v:fill on="f" focussize="0,0"/>
                <v:stroke color="#000000 [3200]" miterlimit="8" joinstyle="miter"/>
                <v:imagedata o:title=""/>
                <o:lock v:ext="edit" aspectratio="f"/>
              </v:line>
            </w:pict>
          </mc:Fallback>
        </mc:AlternateContent>
      </w:r>
      <w:r>
        <w:rPr>
          <w:rFonts w:hint="eastAsia" w:ascii="宋体" w:hAnsi="宋体" w:eastAsia="宋体" w:cs="宋体"/>
          <w:color w:val="auto"/>
          <w:sz w:val="24"/>
          <w:szCs w:val="24"/>
          <w:lang w:val="en-US" w:eastAsia="zh-CN"/>
        </w:rPr>
        <w:t>缺少排水，路面不平整，造成夏季雨水无法排出。</w:t>
      </w:r>
    </w:p>
    <w:p>
      <w:pPr>
        <w:pageBreakBefore w:val="0"/>
        <w:overflowPunct/>
        <w:topLinePunct w:val="0"/>
        <w:bidi w:val="0"/>
        <w:spacing w:line="576" w:lineRule="exact"/>
        <w:ind w:left="0" w:leftChars="0" w:firstLine="0" w:firstLineChars="0"/>
        <w:rPr>
          <w:rFonts w:hint="default" w:ascii="宋体" w:hAnsi="宋体" w:eastAsia="宋体" w:cs="宋体"/>
          <w:color w:val="auto"/>
          <w:sz w:val="24"/>
          <w:szCs w:val="24"/>
          <w:lang w:val="en-US" w:eastAsia="zh-CN"/>
        </w:rPr>
      </w:pPr>
      <w:r>
        <w:rPr>
          <w:rFonts w:cs="Times New Roman"/>
          <w:color w:val="auto"/>
          <w:sz w:val="24"/>
        </w:rPr>
        <mc:AlternateContent>
          <mc:Choice Requires="wps">
            <w:drawing>
              <wp:anchor distT="0" distB="0" distL="114300" distR="114300" simplePos="0" relativeHeight="251672576" behindDoc="0" locked="0" layoutInCell="1" allowOverlap="1">
                <wp:simplePos x="0" y="0"/>
                <wp:positionH relativeFrom="column">
                  <wp:posOffset>3484245</wp:posOffset>
                </wp:positionH>
                <wp:positionV relativeFrom="paragraph">
                  <wp:posOffset>286385</wp:posOffset>
                </wp:positionV>
                <wp:extent cx="1533525" cy="10160"/>
                <wp:effectExtent l="0" t="4445" r="9525" b="13970"/>
                <wp:wrapNone/>
                <wp:docPr id="353" name="直接连接符 353"/>
                <wp:cNvGraphicFramePr/>
                <a:graphic xmlns:a="http://schemas.openxmlformats.org/drawingml/2006/main">
                  <a:graphicData uri="http://schemas.microsoft.com/office/word/2010/wordprocessingShape">
                    <wps:wsp>
                      <wps:cNvCnPr/>
                      <wps:spPr>
                        <a:xfrm flipV="1">
                          <a:off x="4699635" y="5638800"/>
                          <a:ext cx="1533525" cy="10160"/>
                        </a:xfrm>
                        <a:prstGeom prst="line">
                          <a:avLst/>
                        </a:prstGeom>
                        <a:noFill/>
                        <a:ln w="9525"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274.35pt;margin-top:22.55pt;height:0.8pt;width:120.75pt;z-index:251672576;mso-width-relative:page;mso-height-relative:page;" filled="f" stroked="t" coordsize="21600,21600" o:gfxdata="UEsDBAoAAAAAAIdO4kAAAAAAAAAAAAAAAAAEAAAAZHJzL1BLAwQUAAAACACHTuJAyzPr89oAAAAJ&#10;AQAADwAAAGRycy9kb3ducmV2LnhtbE2PPU/DMBCGdyT+g3VIbNROSJs2jdMBCYZKCNF2oJsbu3FU&#10;+xzF7gf/nmOC8e4evfe89ermHbuYMfYBJWQTAcxgG3SPnYTd9vVpDiwmhVq5gEbCt4mwau7valXp&#10;cMVPc9mkjlEIxkpJsCkNFeextcarOAmDQbodw+hVonHsuB7VlcK947kQM+5Vj/TBqsG8WNOeNmcv&#10;4WuX3j/2++M2X9i8eFu7oJ/XQcrHh0wsgSVzS38w/OqTOjTkdAhn1JE5CdNiXhIqoZhmwAgoFyIH&#10;dqDFrATe1Px/g+YHUEsDBBQAAAAIAIdO4kAuT7cnEQIAAPEDAAAOAAAAZHJzL2Uyb0RvYy54bWyt&#10;U72OEzEQ7pF4B8s92d0siZJVNldcdDQIInHQ+7x21pL/5PFlk5fgBZDooKKk5204HoOxdzkdR3MF&#10;LizbM/5mvs+fNxcno8lRBFDOtrSalZQIy12n7KGl76+vXqwogchsx7SzoqVnAfRi+/zZZvCNmLve&#10;6U4EgiAWmsG3tI/RN0UBvBeGwcx5YTEoXTAs4jYcii6wAdGNLuZluSwGFzofHBcAeLobg3RCDE8B&#10;dFIqLnaO3xph44gahGYRKUGvPNBt7lZKweNbKUFEoluKTGOesQiub9JcbDesOQTme8WnFthTWnjE&#10;yTBlseg91I5FRm6D+gfKKB4cOBln3JliJJIVQRZV+Uibdz3zInNBqcHfiw7/D5a/Oe4DUV1L60VN&#10;iWUGn/zu0/efH7/8+vEZ57tvX0kKoVCDhwbzL+0+TDvw+5BYn2QwRGrlP6Cjsg7IjJxa+nK5Xi/r&#10;BSXnli6W9WpVTpKLUyQcE6pFXS/mmMAxoyqrZY4XI2SC9gHiK+EMSYuWamWTIqxhx9cQsQ1M/ZOS&#10;jq27UlrnV9WWDC1dj+gMnSrRIVjIeGQL9kAJ0wf8AjyGjAhOqy7dTjhwhksdyJGhb9C8nRuusWVK&#10;NIOIAbROHkkW7OCvq6mdHYN+vJxDo82MivhztDItRR1wTLe1TRVFdutEKkk9iptWN647Z82LtEMn&#10;5KKTa5PVHu5x/fCnb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zPr89oAAAAJAQAADwAAAAAA&#10;AAABACAAAAAiAAAAZHJzL2Rvd25yZXYueG1sUEsBAhQAFAAAAAgAh07iQC5PtycRAgAA8QMAAA4A&#10;AAAAAAAAAQAgAAAAKQEAAGRycy9lMm9Eb2MueG1sUEsFBgAAAAAGAAYAWQEAAKwFAAAAAA==&#10;">
                <v:fill on="f" focussize="0,0"/>
                <v:stroke color="#000000 [3200]" miterlimit="8" joinstyle="miter"/>
                <v:imagedata o:title=""/>
                <o:lock v:ext="edit" aspectratio="f"/>
              </v:line>
            </w:pict>
          </mc:Fallback>
        </mc:AlternateContent>
      </w:r>
      <w:r>
        <w:rPr>
          <w:rFonts w:hint="default" w:ascii="宋体" w:hAnsi="宋体" w:eastAsia="宋体" w:cs="宋体"/>
          <w:color w:val="auto"/>
          <w:sz w:val="24"/>
          <w:szCs w:val="24"/>
          <w:lang w:eastAsia="zh-CN"/>
        </w:rPr>
        <w:t>5.</w:t>
      </w:r>
      <w:r>
        <w:rPr>
          <w:rFonts w:hint="eastAsia" w:ascii="宋体" w:hAnsi="宋体" w:eastAsia="宋体" w:cs="宋体"/>
          <w:color w:val="auto"/>
          <w:sz w:val="24"/>
          <w:szCs w:val="24"/>
        </w:rPr>
        <w:t>总寨塬</w:t>
      </w:r>
      <w:r>
        <w:rPr>
          <w:rFonts w:hint="eastAsia" w:ascii="宋体" w:hAnsi="宋体" w:eastAsia="宋体" w:cs="宋体"/>
          <w:color w:val="auto"/>
          <w:sz w:val="24"/>
          <w:szCs w:val="24"/>
          <w:lang w:val="en-US" w:eastAsia="zh-CN"/>
        </w:rPr>
        <w:t>温室园区道路工程和排水</w:t>
      </w:r>
      <w:r>
        <w:rPr>
          <w:rFonts w:hint="default" w:ascii="宋体" w:hAnsi="宋体" w:eastAsia="宋体" w:cs="宋体"/>
          <w:color w:val="auto"/>
          <w:sz w:val="24"/>
          <w:szCs w:val="24"/>
          <w:lang w:eastAsia="zh-CN"/>
        </w:rPr>
        <w:t>工程什么时候完工的？</w:t>
      </w:r>
      <w:r>
        <w:rPr>
          <w:rFonts w:hint="eastAsia" w:ascii="宋体" w:hAnsi="宋体" w:eastAsia="宋体" w:cs="宋体"/>
          <w:color w:val="auto"/>
          <w:sz w:val="24"/>
          <w:szCs w:val="24"/>
          <w:lang w:val="en-US" w:eastAsia="zh-CN"/>
        </w:rPr>
        <w:t>2020年10月</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总寨塬</w:t>
      </w:r>
      <w:r>
        <w:rPr>
          <w:rFonts w:hint="eastAsia" w:ascii="宋体" w:hAnsi="宋体" w:eastAsia="宋体" w:cs="宋体"/>
          <w:color w:val="auto"/>
          <w:sz w:val="24"/>
          <w:szCs w:val="24"/>
          <w:lang w:val="en-US" w:eastAsia="zh-CN"/>
        </w:rPr>
        <w:t>温室园区道路工程和排水</w:t>
      </w:r>
      <w:r>
        <w:rPr>
          <w:rFonts w:hint="default" w:ascii="宋体" w:hAnsi="宋体" w:eastAsia="宋体" w:cs="宋体"/>
          <w:color w:val="auto"/>
          <w:sz w:val="24"/>
          <w:szCs w:val="24"/>
          <w:lang w:eastAsia="zh-CN"/>
        </w:rPr>
        <w:t>工程</w:t>
      </w:r>
      <w:r>
        <w:rPr>
          <w:rFonts w:hint="eastAsia" w:ascii="宋体" w:hAnsi="宋体" w:eastAsia="宋体" w:cs="宋体"/>
          <w:color w:val="auto"/>
          <w:sz w:val="24"/>
          <w:szCs w:val="24"/>
          <w:lang w:val="en-US" w:eastAsia="zh-CN"/>
        </w:rPr>
        <w:t>建设情况怎么样？</w:t>
      </w:r>
    </w:p>
    <w:p>
      <w:pPr>
        <w:pageBreakBefore w:val="0"/>
        <w:overflowPunct/>
        <w:topLinePunct w:val="0"/>
        <w:bidi w:val="0"/>
        <w:spacing w:line="576" w:lineRule="exact"/>
        <w:ind w:left="0" w:leftChars="0" w:firstLine="0" w:firstLineChars="0"/>
        <w:rPr>
          <w:rFonts w:hint="default" w:ascii="宋体" w:hAnsi="宋体" w:eastAsia="宋体" w:cs="宋体"/>
          <w:color w:val="auto"/>
          <w:sz w:val="24"/>
          <w:szCs w:val="24"/>
          <w:lang w:val="en-US" w:eastAsia="zh-CN"/>
        </w:rPr>
      </w:pPr>
      <w:r>
        <w:rPr>
          <w:rFonts w:cs="Times New Roman"/>
          <w:color w:val="auto"/>
          <w:sz w:val="24"/>
        </w:rPr>
        <mc:AlternateContent>
          <mc:Choice Requires="wps">
            <w:drawing>
              <wp:anchor distT="0" distB="0" distL="114300" distR="114300" simplePos="0" relativeHeight="251673600" behindDoc="0" locked="0" layoutInCell="1" allowOverlap="1">
                <wp:simplePos x="0" y="0"/>
                <wp:positionH relativeFrom="column">
                  <wp:posOffset>78105</wp:posOffset>
                </wp:positionH>
                <wp:positionV relativeFrom="paragraph">
                  <wp:posOffset>250190</wp:posOffset>
                </wp:positionV>
                <wp:extent cx="5027295" cy="0"/>
                <wp:effectExtent l="0" t="0" r="0" b="0"/>
                <wp:wrapNone/>
                <wp:docPr id="354" name="直接连接符 354"/>
                <wp:cNvGraphicFramePr/>
                <a:graphic xmlns:a="http://schemas.openxmlformats.org/drawingml/2006/main">
                  <a:graphicData uri="http://schemas.microsoft.com/office/word/2010/wordprocessingShape">
                    <wps:wsp>
                      <wps:cNvCnPr/>
                      <wps:spPr>
                        <a:xfrm>
                          <a:off x="0" y="0"/>
                          <a:ext cx="5027295" cy="0"/>
                        </a:xfrm>
                        <a:prstGeom prst="line">
                          <a:avLst/>
                        </a:prstGeom>
                        <a:noFill/>
                        <a:ln w="9525"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15pt;margin-top:19.7pt;height:0pt;width:395.85pt;z-index:251673600;mso-width-relative:page;mso-height-relative:page;" filled="f" stroked="t" coordsize="21600,21600" o:gfxdata="UEsDBAoAAAAAAIdO4kAAAAAAAAAAAAAAAAAEAAAAZHJzL1BLAwQUAAAACACHTuJAoxBrPNYAAAAI&#10;AQAADwAAAGRycy9kb3ducmV2LnhtbE2PS0/DMBCE70j8B2uRuFG7D6E2xKkEUk4gKlI49ObG2yQQ&#10;r1PbffDvWdQDHGdnNPtNvjy7XhwxxM6ThvFIgUCqve2o0fC+Lu/mIGIyZE3vCTV8Y4RlcX2Vm8z6&#10;E73hsUqN4BKKmdHQpjRkUsa6RWfiyA9I7O18cCaxDI20wZy43PVyotS9dKYj/tCaAZ9arL+qg9Ow&#10;w9eP5xhw/7JfPW7KavXpmnKt9e3NWD2ASHhOf2H4xWd0KJhp6w9ko+hZT6ac1DBdzECwP1cz3ra9&#10;HGSRy/8Dih9QSwMEFAAAAAgAh07iQAKpfov3AQAA1wMAAA4AAABkcnMvZTJvRG9jLnhtbK1TzW4T&#10;MRC+I/EOlu9ktwuBdpVND43KBUEkygNMvd6sJf/J42aTl+AFkLjBiSN33obyGIy92zQtlx7IwRl7&#10;PN/M9/nbxfnOaLaVAZWzDT+ZlZxJK1yr7Kbhn64uX5xyhhFsC9pZ2fC9RH6+fP5sMfhaVq53upWB&#10;EYjFevAN72P0dVGg6KUBnDkvLSU7FwxE2oZN0QYYCN3ooirL18XgQuuDExKRTldjkk+I4SmAruuU&#10;kCsnboy0cUQNUkMkStgrj3yZp+06KeKHrkMZmW44MY15pSYUX6e1WC6g3gTwvRLTCPCUER5xMqAs&#10;NT1ArSACuwnqHyijRHDoujgTzhQjkawIsTgpH2nzsQcvMxeSGv1BdPx/sOL9dh2Yahv+cv6KMwuG&#10;nvz2y8/fn7/9+fWV1tsf31lKkVCDx5ruX9h1mHbo1yGx3nXBpH/iw3ZZ3P1BXLmLTNDhvKzeVGdz&#10;zsRdrrgv9AHjW+kMS0HDtbKJN9SwfYeRmtHVuyvp2LpLpXV+O23Z0PCzeZWQgfzYkQ8oNJ44od1w&#10;BnpDRhcxZER0WrWpOuHgHi90YFsgd5BFWzdc0bicacBICeKQf4k8TfCgNI2zAuzH4pwazWRUpO9D&#10;K9Pw0+NqbVNHmT05kUqCjhKm6Nq1+6xskXb03rnp5M1kqOM9xcff4/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xBrPNYAAAAIAQAADwAAAAAAAAABACAAAAAiAAAAZHJzL2Rvd25yZXYueG1sUEsB&#10;AhQAFAAAAAgAh07iQAKpfov3AQAA1wMAAA4AAAAAAAAAAQAgAAAAJQEAAGRycy9lMm9Eb2MueG1s&#10;UEsFBgAAAAAGAAYAWQEAAI4FAAAAAA==&#10;">
                <v:fill on="f" focussize="0,0"/>
                <v:stroke color="#000000 [3200]" miterlimit="8" joinstyle="miter"/>
                <v:imagedata o:title=""/>
                <o:lock v:ext="edit" aspectratio="f"/>
              </v:line>
            </w:pict>
          </mc:Fallback>
        </mc:AlternateContent>
      </w:r>
      <w:r>
        <w:rPr>
          <w:rFonts w:hint="eastAsia" w:ascii="宋体" w:hAnsi="宋体" w:eastAsia="宋体" w:cs="宋体"/>
          <w:color w:val="auto"/>
          <w:sz w:val="24"/>
          <w:szCs w:val="24"/>
          <w:lang w:val="en-US" w:eastAsia="zh-CN"/>
        </w:rPr>
        <w:t>目前运行良好，完成路面及排水维修，夏季积水能有效排出。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4.您认为现在园区道路状况如何？雨天过后园区排水状况如何，是否还有大量积水，路面是否可以正常出入？</w:t>
      </w:r>
    </w:p>
    <w:p>
      <w:pPr>
        <w:pageBreakBefore w:val="0"/>
        <w:overflowPunct/>
        <w:topLinePunct w:val="0"/>
        <w:bidi w:val="0"/>
        <w:spacing w:line="576" w:lineRule="exact"/>
        <w:ind w:left="0" w:leftChars="0" w:firstLine="0" w:firstLineChars="0"/>
        <w:rPr>
          <w:rFonts w:hint="default" w:ascii="宋体" w:hAnsi="宋体" w:eastAsia="宋体" w:cs="宋体"/>
          <w:color w:val="auto"/>
          <w:sz w:val="24"/>
          <w:szCs w:val="24"/>
          <w:lang w:val="en-US" w:eastAsia="zh-CN"/>
        </w:rPr>
      </w:pPr>
      <w:r>
        <w:rPr>
          <w:rFonts w:cs="Times New Roman"/>
          <w:color w:val="auto"/>
          <w:sz w:val="24"/>
        </w:rPr>
        <mc:AlternateContent>
          <mc:Choice Requires="wps">
            <w:drawing>
              <wp:anchor distT="0" distB="0" distL="114300" distR="114300" simplePos="0" relativeHeight="251671552" behindDoc="0" locked="0" layoutInCell="1" allowOverlap="1">
                <wp:simplePos x="0" y="0"/>
                <wp:positionH relativeFrom="column">
                  <wp:posOffset>40005</wp:posOffset>
                </wp:positionH>
                <wp:positionV relativeFrom="paragraph">
                  <wp:posOffset>254000</wp:posOffset>
                </wp:positionV>
                <wp:extent cx="5027295" cy="0"/>
                <wp:effectExtent l="0" t="0" r="0" b="0"/>
                <wp:wrapNone/>
                <wp:docPr id="355" name="直接连接符 355"/>
                <wp:cNvGraphicFramePr/>
                <a:graphic xmlns:a="http://schemas.openxmlformats.org/drawingml/2006/main">
                  <a:graphicData uri="http://schemas.microsoft.com/office/word/2010/wordprocessingShape">
                    <wps:wsp>
                      <wps:cNvCnPr/>
                      <wps:spPr>
                        <a:xfrm>
                          <a:off x="0" y="0"/>
                          <a:ext cx="5027295" cy="0"/>
                        </a:xfrm>
                        <a:prstGeom prst="line">
                          <a:avLst/>
                        </a:prstGeom>
                        <a:noFill/>
                        <a:ln w="9525"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3.15pt;margin-top:20pt;height:0pt;width:395.85pt;z-index:251671552;mso-width-relative:page;mso-height-relative:page;" filled="f" stroked="t" coordsize="21600,21600" o:gfxdata="UEsDBAoAAAAAAIdO4kAAAAAAAAAAAAAAAAAEAAAAZHJzL1BLAwQUAAAACACHTuJAvHNKVdYAAAAH&#10;AQAADwAAAGRycy9kb3ducmV2LnhtbE2PzU7DMBCE70i8g7VI3KhdQG0JcSoVKScQFSkcuLnxNgmN&#10;16nt/vD2LOJAb7s7o9lv8vnJ9eKAIXaeNIxHCgRS7W1HjYb3VXkzAxGTIWt6T6jhGyPMi8uL3GTW&#10;H+kND1VqBIdQzIyGNqUhkzLWLToTR35AYm3jgzOJ19BIG8yRw10vb5WaSGc64g+tGfCpxXpb7Z2G&#10;Db5+PMeAu5fdcvFZVssv15Qrra+vxuoRRMJT+jfDLz6jQ8FMa78nG0WvYXLHRg33ihuxPH2Y8bD+&#10;O8gil+f8xQ9QSwMEFAAAAAgAh07iQOXl2u73AQAA1wMAAA4AAABkcnMvZTJvRG9jLnhtbK1TzW4T&#10;MRC+I/EOlu9k00WBdpVND43KBUEkygNMvd5dS/6Tx80mL8ELIHGDE0fuvA3tYzD2btO0XHogB2fs&#10;8Xwz3+dvl+c7o9lWBlTO1vxkNudMWuEaZbuaf766fHXKGUawDWhnZc33Evn56uWL5eArWbre6UYG&#10;RiAWq8HXvI/RV0WBopcGcOa8tJRsXTAQaRu6ogkwELrRRTmfvykGFxofnJCIdLoek3xCDM8BdG2r&#10;hFw7cWOkjSNqkBoiUcJeeeSrPG3bShE/ti3KyHTNiWnMKzWh+DqtxWoJVRfA90pMI8BzRnjCyYCy&#10;1PQAtYYI7Caof6CMEsGha+NMOFOMRLIixOJk/kSbTz14mbmQ1OgPouP/gxUftpvAVFPz14sFZxYM&#10;Pfnt119/vny/+/2N1tufP1hKkVCDx4ruX9hNmHboNyGx3rXBpH/iw3ZZ3P1BXLmLTNDhYl6+Lc+o&#10;h7jPFQ+FPmB8J51hKai5Vjbxhgq27zFSM7p6fyUdW3eptM5vpy0ban62KBMykB9b8gGFxhMntB1n&#10;oDsyuoghI6LTqknVCQf3eKED2wK5gyzauOGKxuVMA0ZKEIf8S+RpgkelaZw1YD8W59RoJqMifR9a&#10;mZqfHldrmzrK7MmJVBJ0lDBF167ZZ2WLtKP3zk0nbyZDHe8pPv4eV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HNKVdYAAAAHAQAADwAAAAAAAAABACAAAAAiAAAAZHJzL2Rvd25yZXYueG1sUEsB&#10;AhQAFAAAAAgAh07iQOXl2u73AQAA1wMAAA4AAAAAAAAAAQAgAAAAJQEAAGRycy9lMm9Eb2MueG1s&#10;UEsFBgAAAAAGAAYAWQEAAI4FAAAAAA==&#10;">
                <v:fill on="f" focussize="0,0"/>
                <v:stroke color="#000000 [3200]" miterlimit="8" joinstyle="miter"/>
                <v:imagedata o:title=""/>
                <o:lock v:ext="edit" aspectratio="f"/>
              </v:line>
            </w:pict>
          </mc:Fallback>
        </mc:AlternateContent>
      </w:r>
      <w:r>
        <w:rPr>
          <w:rFonts w:hint="eastAsia" w:ascii="宋体" w:hAnsi="宋体" w:eastAsia="宋体" w:cs="宋体"/>
          <w:color w:val="auto"/>
          <w:sz w:val="24"/>
          <w:szCs w:val="24"/>
          <w:lang w:val="en-US" w:eastAsia="zh-CN"/>
        </w:rPr>
        <w:t>无积水，路面和排水正常，路面平整方便出行。</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.您</w:t>
      </w:r>
      <w:r>
        <w:rPr>
          <w:rFonts w:hint="eastAsia" w:ascii="宋体" w:hAnsi="宋体" w:eastAsia="宋体" w:cs="宋体"/>
          <w:color w:val="auto"/>
          <w:sz w:val="24"/>
          <w:szCs w:val="24"/>
          <w:lang w:val="en-US" w:eastAsia="zh-CN"/>
        </w:rPr>
        <w:t>认为有没有必要在</w:t>
      </w:r>
      <w:r>
        <w:rPr>
          <w:rFonts w:hint="eastAsia" w:ascii="宋体" w:hAnsi="宋体" w:eastAsia="宋体" w:cs="宋体"/>
          <w:color w:val="auto"/>
          <w:sz w:val="24"/>
          <w:szCs w:val="24"/>
        </w:rPr>
        <w:t>总寨塬</w:t>
      </w:r>
      <w:r>
        <w:rPr>
          <w:rFonts w:hint="eastAsia" w:ascii="宋体" w:hAnsi="宋体" w:eastAsia="宋体" w:cs="宋体"/>
          <w:color w:val="auto"/>
          <w:sz w:val="24"/>
          <w:szCs w:val="24"/>
          <w:lang w:val="en-US" w:eastAsia="zh-CN"/>
        </w:rPr>
        <w:t>温室园区新建道路工程和排水设施</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有必要</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可有可无（0人）</w:t>
      </w:r>
    </w:p>
    <w:p>
      <w:pPr>
        <w:pageBreakBefore w:val="0"/>
        <w:overflowPunct/>
        <w:topLinePunct w:val="0"/>
        <w:bidi w:val="0"/>
        <w:spacing w:line="576" w:lineRule="exact"/>
        <w:ind w:left="0" w:leftChars="0" w:firstLine="480" w:firstLineChars="200"/>
        <w:rPr>
          <w:rFonts w:hint="default" w:ascii="宋体" w:hAnsi="宋体" w:eastAsia="宋体" w:cs="宋体"/>
          <w:b/>
          <w:bCs/>
          <w:color w:val="auto"/>
          <w:sz w:val="24"/>
          <w:szCs w:val="24"/>
          <w:lang w:val="en-US" w:eastAsia="zh-CN"/>
        </w:rPr>
      </w:pPr>
      <w:r>
        <w:rPr>
          <w:rFonts w:hint="eastAsia" w:ascii="宋体" w:hAnsi="宋体" w:eastAsia="宋体" w:cs="宋体"/>
          <w:color w:val="auto"/>
          <w:sz w:val="24"/>
          <w:szCs w:val="24"/>
        </w:rPr>
        <w:t>C.</w:t>
      </w:r>
      <w:r>
        <w:rPr>
          <w:rFonts w:hint="eastAsia" w:ascii="宋体" w:hAnsi="宋体" w:eastAsia="宋体" w:cs="宋体"/>
          <w:color w:val="auto"/>
          <w:sz w:val="24"/>
          <w:szCs w:val="24"/>
          <w:lang w:val="en-US" w:eastAsia="zh-CN"/>
        </w:rPr>
        <w:t>没必要，以前就很好（0人）   D.应该修建其他项设施（0人）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.总寨塬</w:t>
      </w:r>
      <w:r>
        <w:rPr>
          <w:rFonts w:hint="eastAsia" w:ascii="宋体" w:hAnsi="宋体" w:eastAsia="宋体" w:cs="宋体"/>
          <w:color w:val="auto"/>
          <w:sz w:val="24"/>
          <w:szCs w:val="24"/>
          <w:lang w:val="en-US" w:eastAsia="zh-CN"/>
        </w:rPr>
        <w:t>温室园区道路工程和排水设施修建后有没有为</w:t>
      </w:r>
      <w:r>
        <w:rPr>
          <w:rFonts w:hint="default" w:ascii="宋体" w:hAnsi="宋体" w:eastAsia="宋体" w:cs="宋体"/>
          <w:color w:val="auto"/>
          <w:sz w:val="24"/>
          <w:szCs w:val="24"/>
          <w:lang w:eastAsia="zh-CN"/>
        </w:rPr>
        <w:t>园区</w:t>
      </w:r>
      <w:r>
        <w:rPr>
          <w:rFonts w:hint="eastAsia" w:ascii="宋体" w:hAnsi="宋体" w:eastAsia="宋体" w:cs="宋体"/>
          <w:color w:val="auto"/>
          <w:sz w:val="24"/>
          <w:szCs w:val="24"/>
          <w:lang w:val="en-US" w:eastAsia="zh-CN"/>
        </w:rPr>
        <w:t>农业生产带来便利（比如大棚周围的积水减少，农产品便于运出）</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更方便了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没变化（0人）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更不方便了（0人）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.总寨塬</w:t>
      </w:r>
      <w:r>
        <w:rPr>
          <w:rFonts w:hint="eastAsia" w:ascii="宋体" w:hAnsi="宋体" w:eastAsia="宋体" w:cs="宋体"/>
          <w:color w:val="auto"/>
          <w:sz w:val="24"/>
          <w:szCs w:val="24"/>
          <w:lang w:val="en-US" w:eastAsia="zh-CN"/>
        </w:rPr>
        <w:t>温室园区道路工程和排水设施修建后</w:t>
      </w:r>
      <w:r>
        <w:rPr>
          <w:rFonts w:hint="default" w:ascii="宋体" w:hAnsi="宋体" w:eastAsia="宋体" w:cs="宋体"/>
          <w:color w:val="auto"/>
          <w:sz w:val="24"/>
          <w:szCs w:val="24"/>
          <w:lang w:eastAsia="zh-CN"/>
        </w:rPr>
        <w:t>对蔬菜及时上市有没有</w:t>
      </w:r>
      <w:r>
        <w:rPr>
          <w:rFonts w:hint="eastAsia" w:ascii="宋体" w:hAnsi="宋体" w:eastAsia="宋体" w:cs="宋体"/>
          <w:color w:val="auto"/>
          <w:sz w:val="24"/>
          <w:szCs w:val="24"/>
          <w:lang w:val="en-US" w:eastAsia="zh-CN"/>
        </w:rPr>
        <w:t>积极</w:t>
      </w:r>
      <w:r>
        <w:rPr>
          <w:rFonts w:hint="default" w:ascii="宋体" w:hAnsi="宋体" w:eastAsia="宋体" w:cs="宋体"/>
          <w:color w:val="auto"/>
          <w:sz w:val="24"/>
          <w:szCs w:val="24"/>
          <w:lang w:eastAsia="zh-CN"/>
        </w:rPr>
        <w:t>影响</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有积极影响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B.</w:t>
      </w:r>
      <w:r>
        <w:rPr>
          <w:rFonts w:hint="eastAsia" w:ascii="宋体" w:hAnsi="宋体" w:eastAsia="宋体" w:cs="宋体"/>
          <w:color w:val="auto"/>
          <w:sz w:val="24"/>
          <w:szCs w:val="24"/>
          <w:lang w:val="en-US" w:eastAsia="zh-CN"/>
        </w:rPr>
        <w:t>有较好的</w:t>
      </w:r>
      <w:r>
        <w:rPr>
          <w:rFonts w:hint="eastAsia" w:ascii="宋体" w:hAnsi="宋体" w:eastAsia="宋体" w:cs="宋体"/>
          <w:color w:val="auto"/>
          <w:sz w:val="24"/>
          <w:szCs w:val="24"/>
        </w:rPr>
        <w:t>影响</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C.</w:t>
      </w:r>
      <w:r>
        <w:rPr>
          <w:rFonts w:hint="eastAsia" w:ascii="宋体" w:hAnsi="宋体" w:eastAsia="宋体" w:cs="宋体"/>
          <w:color w:val="auto"/>
          <w:sz w:val="24"/>
          <w:szCs w:val="24"/>
          <w:lang w:val="en-US" w:eastAsia="zh-CN"/>
        </w:rPr>
        <w:t xml:space="preserve">影响不明显（0人）        </w:t>
      </w:r>
      <w:r>
        <w:rPr>
          <w:rFonts w:hint="eastAsia" w:ascii="宋体" w:hAnsi="宋体" w:eastAsia="宋体" w:cs="宋体"/>
          <w:color w:val="auto"/>
          <w:sz w:val="24"/>
          <w:szCs w:val="24"/>
        </w:rPr>
        <w:t xml:space="preserve">  D.</w:t>
      </w:r>
      <w:r>
        <w:rPr>
          <w:rFonts w:hint="eastAsia" w:ascii="宋体" w:hAnsi="宋体" w:eastAsia="宋体" w:cs="宋体"/>
          <w:color w:val="auto"/>
          <w:sz w:val="24"/>
          <w:szCs w:val="24"/>
          <w:lang w:val="en-US" w:eastAsia="zh-CN"/>
        </w:rPr>
        <w:t>无变化（0人）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您认为</w:t>
      </w:r>
      <w:r>
        <w:rPr>
          <w:rFonts w:hint="eastAsia" w:ascii="宋体" w:hAnsi="宋体" w:eastAsia="宋体" w:cs="宋体"/>
          <w:color w:val="auto"/>
          <w:sz w:val="24"/>
          <w:szCs w:val="24"/>
        </w:rPr>
        <w:t>总寨塬</w:t>
      </w:r>
      <w:r>
        <w:rPr>
          <w:rFonts w:hint="eastAsia" w:ascii="宋体" w:hAnsi="宋体" w:eastAsia="宋体" w:cs="宋体"/>
          <w:color w:val="auto"/>
          <w:sz w:val="24"/>
          <w:szCs w:val="24"/>
          <w:lang w:val="en-US" w:eastAsia="zh-CN"/>
        </w:rPr>
        <w:t>大棚</w:t>
      </w:r>
      <w:r>
        <w:rPr>
          <w:rFonts w:hint="eastAsia" w:ascii="宋体" w:hAnsi="宋体" w:eastAsia="宋体" w:cs="宋体"/>
          <w:color w:val="auto"/>
          <w:sz w:val="24"/>
          <w:szCs w:val="24"/>
        </w:rPr>
        <w:t>项目</w:t>
      </w:r>
      <w:r>
        <w:rPr>
          <w:rFonts w:hint="eastAsia" w:ascii="宋体" w:hAnsi="宋体" w:eastAsia="宋体" w:cs="宋体"/>
          <w:color w:val="auto"/>
          <w:sz w:val="24"/>
          <w:szCs w:val="24"/>
          <w:lang w:val="en-US" w:eastAsia="zh-CN"/>
        </w:rPr>
        <w:t>的实施</w:t>
      </w:r>
      <w:r>
        <w:rPr>
          <w:rFonts w:hint="eastAsia" w:ascii="宋体" w:hAnsi="宋体" w:eastAsia="宋体" w:cs="宋体"/>
          <w:color w:val="auto"/>
          <w:sz w:val="24"/>
          <w:szCs w:val="24"/>
        </w:rPr>
        <w:t>对城中区蔬菜温室产业发展</w:t>
      </w:r>
      <w:r>
        <w:rPr>
          <w:rFonts w:hint="eastAsia" w:ascii="宋体" w:hAnsi="宋体" w:eastAsia="宋体" w:cs="宋体"/>
          <w:color w:val="auto"/>
          <w:sz w:val="24"/>
          <w:szCs w:val="24"/>
          <w:lang w:val="en-US" w:eastAsia="zh-CN"/>
        </w:rPr>
        <w:t>有什么</w:t>
      </w:r>
      <w:r>
        <w:rPr>
          <w:rFonts w:hint="eastAsia" w:ascii="宋体" w:hAnsi="宋体" w:eastAsia="宋体" w:cs="宋体"/>
          <w:color w:val="auto"/>
          <w:sz w:val="24"/>
          <w:szCs w:val="24"/>
        </w:rPr>
        <w:t>影响？</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产业发展</w:t>
      </w:r>
      <w:r>
        <w:rPr>
          <w:rFonts w:hint="eastAsia" w:ascii="宋体" w:hAnsi="宋体" w:eastAsia="宋体" w:cs="宋体"/>
          <w:color w:val="auto"/>
          <w:sz w:val="24"/>
          <w:szCs w:val="24"/>
        </w:rPr>
        <w:t>促进明显</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对产业发展</w:t>
      </w:r>
      <w:r>
        <w:rPr>
          <w:rFonts w:hint="eastAsia" w:ascii="宋体" w:hAnsi="宋体" w:eastAsia="宋体" w:cs="宋体"/>
          <w:color w:val="auto"/>
          <w:sz w:val="24"/>
          <w:szCs w:val="24"/>
        </w:rPr>
        <w:t>有一定积极影响</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w:t>
      </w:r>
      <w:r>
        <w:rPr>
          <w:rFonts w:hint="eastAsia" w:ascii="宋体" w:hAnsi="宋体" w:eastAsia="宋体" w:cs="宋体"/>
          <w:color w:val="auto"/>
          <w:sz w:val="24"/>
          <w:szCs w:val="24"/>
          <w:lang w:val="en-US" w:eastAsia="zh-CN"/>
        </w:rPr>
        <w:t>对产业发展影响</w:t>
      </w:r>
      <w:r>
        <w:rPr>
          <w:rFonts w:hint="eastAsia" w:ascii="宋体" w:hAnsi="宋体" w:eastAsia="宋体" w:cs="宋体"/>
          <w:color w:val="auto"/>
          <w:sz w:val="24"/>
          <w:szCs w:val="24"/>
        </w:rPr>
        <w:t>一般</w:t>
      </w:r>
      <w:r>
        <w:rPr>
          <w:rFonts w:hint="eastAsia" w:ascii="宋体" w:hAnsi="宋体" w:eastAsia="宋体" w:cs="宋体"/>
          <w:color w:val="auto"/>
          <w:sz w:val="24"/>
          <w:szCs w:val="24"/>
          <w:lang w:val="en-US" w:eastAsia="zh-CN"/>
        </w:rPr>
        <w:t xml:space="preserve">（0人）  </w:t>
      </w:r>
      <w:r>
        <w:rPr>
          <w:rFonts w:hint="eastAsia" w:ascii="宋体" w:hAnsi="宋体" w:eastAsia="宋体" w:cs="宋体"/>
          <w:color w:val="auto"/>
          <w:sz w:val="24"/>
          <w:szCs w:val="24"/>
        </w:rPr>
        <w:t xml:space="preserve">  D.</w:t>
      </w:r>
      <w:r>
        <w:rPr>
          <w:rFonts w:hint="eastAsia" w:ascii="宋体" w:hAnsi="宋体" w:eastAsia="宋体" w:cs="宋体"/>
          <w:color w:val="auto"/>
          <w:sz w:val="24"/>
          <w:szCs w:val="24"/>
          <w:lang w:val="en-US" w:eastAsia="zh-CN"/>
        </w:rPr>
        <w:t>对促进产业发展</w:t>
      </w:r>
      <w:r>
        <w:rPr>
          <w:rFonts w:hint="eastAsia" w:ascii="宋体" w:hAnsi="宋体" w:eastAsia="宋体" w:cs="宋体"/>
          <w:color w:val="auto"/>
          <w:sz w:val="24"/>
          <w:szCs w:val="24"/>
        </w:rPr>
        <w:t>无明显帮助</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您认为道路工程和排水设施修建后，</w:t>
      </w:r>
      <w:r>
        <w:rPr>
          <w:rFonts w:hint="eastAsia" w:ascii="宋体" w:hAnsi="宋体" w:eastAsia="宋体" w:cs="宋体"/>
          <w:color w:val="auto"/>
          <w:sz w:val="24"/>
          <w:szCs w:val="24"/>
        </w:rPr>
        <w:t>对抵御自然灾害的能力</w:t>
      </w:r>
      <w:r>
        <w:rPr>
          <w:rFonts w:hint="eastAsia" w:ascii="宋体" w:hAnsi="宋体" w:eastAsia="宋体" w:cs="宋体"/>
          <w:color w:val="auto"/>
          <w:sz w:val="24"/>
          <w:szCs w:val="24"/>
          <w:lang w:val="en-US" w:eastAsia="zh-CN"/>
        </w:rPr>
        <w:t>有什么</w:t>
      </w:r>
      <w:r>
        <w:rPr>
          <w:rFonts w:hint="eastAsia" w:ascii="宋体" w:hAnsi="宋体" w:eastAsia="宋体" w:cs="宋体"/>
          <w:color w:val="auto"/>
          <w:sz w:val="24"/>
          <w:szCs w:val="24"/>
        </w:rPr>
        <w:t>影响？</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抵御能力</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提高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对</w:t>
      </w:r>
      <w:r>
        <w:rPr>
          <w:rFonts w:hint="eastAsia" w:ascii="宋体" w:hAnsi="宋体" w:eastAsia="宋体" w:cs="宋体"/>
          <w:color w:val="auto"/>
          <w:sz w:val="24"/>
          <w:szCs w:val="24"/>
        </w:rPr>
        <w:t>提高</w:t>
      </w:r>
      <w:r>
        <w:rPr>
          <w:rFonts w:hint="eastAsia" w:ascii="宋体" w:hAnsi="宋体" w:eastAsia="宋体" w:cs="宋体"/>
          <w:color w:val="auto"/>
          <w:sz w:val="24"/>
          <w:szCs w:val="24"/>
          <w:lang w:val="en-US" w:eastAsia="zh-CN"/>
        </w:rPr>
        <w:t>抵御能力</w:t>
      </w:r>
      <w:r>
        <w:rPr>
          <w:rFonts w:hint="eastAsia" w:ascii="宋体" w:hAnsi="宋体" w:eastAsia="宋体" w:cs="宋体"/>
          <w:color w:val="auto"/>
          <w:sz w:val="24"/>
          <w:szCs w:val="24"/>
        </w:rPr>
        <w:t>有一定积极影响</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C.对提高</w:t>
      </w:r>
      <w:r>
        <w:rPr>
          <w:rFonts w:hint="eastAsia" w:ascii="宋体" w:hAnsi="宋体" w:eastAsia="宋体" w:cs="宋体"/>
          <w:color w:val="auto"/>
          <w:sz w:val="24"/>
          <w:szCs w:val="24"/>
          <w:lang w:val="en-US" w:eastAsia="zh-CN"/>
        </w:rPr>
        <w:t>抵御能力</w:t>
      </w:r>
      <w:r>
        <w:rPr>
          <w:rFonts w:hint="eastAsia" w:ascii="宋体" w:hAnsi="宋体" w:eastAsia="宋体" w:cs="宋体"/>
          <w:color w:val="auto"/>
          <w:sz w:val="24"/>
          <w:szCs w:val="24"/>
        </w:rPr>
        <w:t>影响一般</w:t>
      </w:r>
      <w:r>
        <w:rPr>
          <w:rFonts w:hint="eastAsia" w:ascii="宋体" w:hAnsi="宋体" w:eastAsia="宋体" w:cs="宋体"/>
          <w:color w:val="auto"/>
          <w:sz w:val="24"/>
          <w:szCs w:val="24"/>
          <w:lang w:val="en-US" w:eastAsia="zh-CN"/>
        </w:rPr>
        <w:t>（0人）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D.</w:t>
      </w:r>
      <w:r>
        <w:rPr>
          <w:rFonts w:hint="eastAsia" w:ascii="宋体" w:hAnsi="宋体" w:eastAsia="宋体" w:cs="宋体"/>
          <w:color w:val="auto"/>
          <w:sz w:val="24"/>
          <w:szCs w:val="24"/>
          <w:lang w:val="en-US" w:eastAsia="zh-CN"/>
        </w:rPr>
        <w:t>对</w:t>
      </w:r>
      <w:r>
        <w:rPr>
          <w:rFonts w:hint="eastAsia" w:ascii="宋体" w:hAnsi="宋体" w:eastAsia="宋体" w:cs="宋体"/>
          <w:color w:val="auto"/>
          <w:sz w:val="24"/>
          <w:szCs w:val="24"/>
        </w:rPr>
        <w:t>提高</w:t>
      </w:r>
      <w:r>
        <w:rPr>
          <w:rFonts w:hint="eastAsia" w:ascii="宋体" w:hAnsi="宋体" w:eastAsia="宋体" w:cs="宋体"/>
          <w:color w:val="auto"/>
          <w:sz w:val="24"/>
          <w:szCs w:val="24"/>
          <w:lang w:val="en-US" w:eastAsia="zh-CN"/>
        </w:rPr>
        <w:t>抵御能力</w:t>
      </w:r>
      <w:r>
        <w:rPr>
          <w:rFonts w:hint="eastAsia" w:ascii="宋体" w:hAnsi="宋体" w:eastAsia="宋体" w:cs="宋体"/>
          <w:color w:val="auto"/>
          <w:sz w:val="24"/>
          <w:szCs w:val="24"/>
        </w:rPr>
        <w:t>无明显帮助</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11.总寨塬温室园区蔬菜产量上升或下降对西宁蔬菜市场供应有没有影响？</w:t>
      </w:r>
    </w:p>
    <w:p>
      <w:pPr>
        <w:pageBreakBefore w:val="0"/>
        <w:overflowPunct/>
        <w:topLinePunct w:val="0"/>
        <w:bidi w:val="0"/>
        <w:spacing w:line="576" w:lineRule="exact"/>
        <w:ind w:left="0" w:leftChars="0" w:firstLine="480" w:firstLineChars="200"/>
        <w:rPr>
          <w:rFonts w:hint="default" w:ascii="宋体" w:hAnsi="宋体" w:eastAsia="宋体" w:cs="宋体"/>
          <w:color w:val="auto"/>
          <w:sz w:val="24"/>
          <w:szCs w:val="24"/>
          <w:lang w:val="en-US"/>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产量大，对市场供应影响明显</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产量一般，</w:t>
      </w:r>
      <w:r>
        <w:rPr>
          <w:rFonts w:hint="eastAsia" w:ascii="宋体" w:hAnsi="宋体" w:eastAsia="宋体" w:cs="宋体"/>
          <w:color w:val="auto"/>
          <w:sz w:val="24"/>
          <w:szCs w:val="24"/>
        </w:rPr>
        <w:t>影响一般</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480" w:firstLineChars="200"/>
        <w:rPr>
          <w:rFonts w:hint="default" w:cs="Times New Roman"/>
          <w:color w:val="auto"/>
          <w:lang w:val="en-US" w:eastAsia="zh-CN"/>
        </w:rPr>
      </w:pPr>
      <w:r>
        <w:rPr>
          <w:rFonts w:hint="eastAsia" w:ascii="宋体" w:hAnsi="宋体" w:eastAsia="宋体" w:cs="宋体"/>
          <w:color w:val="auto"/>
          <w:sz w:val="24"/>
          <w:szCs w:val="24"/>
        </w:rPr>
        <w:t>C.</w:t>
      </w:r>
      <w:r>
        <w:rPr>
          <w:rFonts w:hint="eastAsia" w:ascii="宋体" w:hAnsi="宋体" w:eastAsia="宋体" w:cs="宋体"/>
          <w:color w:val="auto"/>
          <w:sz w:val="24"/>
          <w:szCs w:val="24"/>
          <w:lang w:val="en-US" w:eastAsia="zh-CN"/>
        </w:rPr>
        <w:t>产量不大，没有什么影响（0人）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D.</w:t>
      </w:r>
      <w:r>
        <w:rPr>
          <w:rFonts w:hint="eastAsia" w:ascii="宋体" w:hAnsi="宋体" w:eastAsia="宋体" w:cs="宋体"/>
          <w:color w:val="auto"/>
          <w:sz w:val="24"/>
          <w:szCs w:val="24"/>
          <w:lang w:val="en-US" w:eastAsia="zh-CN"/>
        </w:rPr>
        <w:t>不知道（0人）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您认为温室蔬菜对</w:t>
      </w:r>
      <w:r>
        <w:rPr>
          <w:rFonts w:hint="eastAsia" w:ascii="宋体" w:hAnsi="宋体" w:eastAsia="宋体" w:cs="宋体"/>
          <w:color w:val="auto"/>
          <w:sz w:val="24"/>
          <w:szCs w:val="24"/>
        </w:rPr>
        <w:t>稳定</w:t>
      </w:r>
      <w:r>
        <w:rPr>
          <w:rFonts w:hint="eastAsia" w:ascii="宋体" w:hAnsi="宋体" w:eastAsia="宋体" w:cs="宋体"/>
          <w:color w:val="auto"/>
          <w:sz w:val="24"/>
          <w:szCs w:val="24"/>
          <w:lang w:val="en-US" w:eastAsia="zh-CN"/>
        </w:rPr>
        <w:t>市场</w:t>
      </w:r>
      <w:r>
        <w:rPr>
          <w:rFonts w:hint="eastAsia" w:ascii="宋体" w:hAnsi="宋体" w:eastAsia="宋体" w:cs="宋体"/>
          <w:color w:val="auto"/>
          <w:sz w:val="24"/>
          <w:szCs w:val="24"/>
        </w:rPr>
        <w:t>蔬菜价格影响</w:t>
      </w:r>
      <w:r>
        <w:rPr>
          <w:rFonts w:hint="eastAsia" w:ascii="宋体" w:hAnsi="宋体" w:eastAsia="宋体" w:cs="宋体"/>
          <w:color w:val="auto"/>
          <w:sz w:val="24"/>
          <w:szCs w:val="24"/>
          <w:lang w:val="en-US" w:eastAsia="zh-CN"/>
        </w:rPr>
        <w:t>如何</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A.明显</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B.一般</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480" w:firstLineChars="200"/>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不</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 xml:space="preserve">（0人）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D.无影响（0人）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您认为</w:t>
      </w:r>
      <w:r>
        <w:rPr>
          <w:rFonts w:hint="eastAsia" w:ascii="宋体" w:hAnsi="宋体" w:eastAsia="宋体" w:cs="宋体"/>
          <w:color w:val="auto"/>
          <w:sz w:val="24"/>
          <w:szCs w:val="24"/>
        </w:rPr>
        <w:t>总寨塬</w:t>
      </w:r>
      <w:r>
        <w:rPr>
          <w:rFonts w:hint="eastAsia" w:ascii="宋体" w:hAnsi="宋体" w:eastAsia="宋体" w:cs="宋体"/>
          <w:color w:val="auto"/>
          <w:sz w:val="24"/>
          <w:szCs w:val="24"/>
          <w:lang w:val="en-US" w:eastAsia="zh-CN"/>
        </w:rPr>
        <w:t>温室园区道路工程和排水设施修建后</w:t>
      </w:r>
      <w:r>
        <w:rPr>
          <w:rFonts w:hint="eastAsia" w:ascii="宋体" w:hAnsi="宋体" w:eastAsia="宋体" w:cs="宋体"/>
          <w:color w:val="auto"/>
          <w:sz w:val="24"/>
          <w:szCs w:val="24"/>
        </w:rPr>
        <w:t>对园区农业生产环境</w:t>
      </w:r>
      <w:r>
        <w:rPr>
          <w:rFonts w:hint="eastAsia" w:ascii="宋体" w:hAnsi="宋体" w:eastAsia="宋体" w:cs="宋体"/>
          <w:color w:val="auto"/>
          <w:sz w:val="24"/>
          <w:szCs w:val="24"/>
          <w:lang w:val="en-US" w:eastAsia="zh-CN"/>
        </w:rPr>
        <w:t>的改善效果如何</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A.明显</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B.一般</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不</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 xml:space="preserve">（0人）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D</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无改善（0人）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园区大棚一年可以种几茬蔬菜</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1茬（0人）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B.2茬</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 xml:space="preserve">     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3茬（0人）    D</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4茬（0人）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据您所知，</w:t>
      </w:r>
      <w:r>
        <w:rPr>
          <w:rFonts w:hint="eastAsia" w:ascii="宋体" w:hAnsi="宋体" w:eastAsia="宋体" w:cs="宋体"/>
          <w:color w:val="auto"/>
          <w:sz w:val="24"/>
          <w:szCs w:val="24"/>
        </w:rPr>
        <w:t>项目</w:t>
      </w:r>
      <w:r>
        <w:rPr>
          <w:rFonts w:hint="eastAsia" w:ascii="宋体" w:hAnsi="宋体" w:eastAsia="宋体" w:cs="宋体"/>
          <w:color w:val="auto"/>
          <w:sz w:val="24"/>
          <w:szCs w:val="24"/>
          <w:lang w:val="en-US" w:eastAsia="zh-CN"/>
        </w:rPr>
        <w:t>的实施对园区农户生活状况有没有改变（比如收入、生活水平、幸福感等）</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有</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改变</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较明显（0人）</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有但不</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 xml:space="preserve">（0人）                 </w:t>
      </w:r>
      <w:r>
        <w:rPr>
          <w:rFonts w:hint="eastAsia" w:ascii="宋体" w:hAnsi="宋体" w:eastAsia="宋体" w:cs="宋体"/>
          <w:color w:val="auto"/>
          <w:sz w:val="24"/>
          <w:szCs w:val="24"/>
        </w:rPr>
        <w:t xml:space="preserve"> </w:t>
      </w:r>
      <w:r>
        <w:rPr>
          <w:rFonts w:hint="default" w:ascii="宋体" w:hAnsi="宋体" w:eastAsia="宋体" w:cs="宋体"/>
          <w:color w:val="auto"/>
          <w:sz w:val="24"/>
          <w:szCs w:val="24"/>
        </w:rPr>
        <w:t>D</w:t>
      </w:r>
      <w:r>
        <w:rPr>
          <w:rFonts w:hint="eastAsia" w:ascii="宋体" w:hAnsi="宋体" w:eastAsia="宋体" w:cs="宋体"/>
          <w:color w:val="auto"/>
          <w:sz w:val="24"/>
          <w:szCs w:val="24"/>
        </w:rPr>
        <w:t>.</w:t>
      </w:r>
      <w:r>
        <w:rPr>
          <w:rFonts w:hint="default" w:ascii="宋体" w:hAnsi="宋体" w:eastAsia="宋体" w:cs="宋体"/>
          <w:color w:val="auto"/>
          <w:sz w:val="24"/>
          <w:szCs w:val="24"/>
        </w:rPr>
        <w:t>无</w:t>
      </w:r>
      <w:r>
        <w:rPr>
          <w:rFonts w:hint="eastAsia" w:ascii="宋体" w:hAnsi="宋体" w:eastAsia="宋体" w:cs="宋体"/>
          <w:color w:val="auto"/>
          <w:sz w:val="24"/>
          <w:szCs w:val="24"/>
          <w:lang w:val="en-US" w:eastAsia="zh-CN"/>
        </w:rPr>
        <w:t>改变（0人）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据您所知，</w:t>
      </w:r>
      <w:r>
        <w:rPr>
          <w:rFonts w:hint="eastAsia" w:ascii="宋体" w:hAnsi="宋体" w:eastAsia="宋体" w:cs="宋体"/>
          <w:color w:val="auto"/>
          <w:sz w:val="24"/>
          <w:szCs w:val="24"/>
        </w:rPr>
        <w:t>项目</w:t>
      </w:r>
      <w:r>
        <w:rPr>
          <w:rFonts w:hint="eastAsia" w:ascii="宋体" w:hAnsi="宋体" w:eastAsia="宋体" w:cs="宋体"/>
          <w:color w:val="auto"/>
          <w:sz w:val="24"/>
          <w:szCs w:val="24"/>
          <w:lang w:val="en-US" w:eastAsia="zh-CN"/>
        </w:rPr>
        <w:t>的实施有没有提高您的种植积极性</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非常</w:t>
      </w:r>
      <w:r>
        <w:rPr>
          <w:rFonts w:hint="eastAsia" w:ascii="宋体" w:hAnsi="宋体" w:eastAsia="宋体" w:cs="宋体"/>
          <w:color w:val="auto"/>
          <w:sz w:val="24"/>
          <w:szCs w:val="24"/>
        </w:rPr>
        <w:t>明显</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较明显（0人）</w:t>
      </w:r>
    </w:p>
    <w:p>
      <w:pPr>
        <w:pageBreakBefore w:val="0"/>
        <w:overflowPunct/>
        <w:topLinePunct w:val="0"/>
        <w:bidi w:val="0"/>
        <w:spacing w:line="576" w:lineRule="exact"/>
        <w:ind w:left="0" w:leftChars="0" w:firstLine="480" w:firstLineChars="200"/>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有但不</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 xml:space="preserve">（0人）                </w:t>
      </w:r>
      <w:r>
        <w:rPr>
          <w:rFonts w:hint="eastAsia" w:ascii="宋体" w:hAnsi="宋体" w:eastAsia="宋体" w:cs="宋体"/>
          <w:color w:val="auto"/>
          <w:sz w:val="24"/>
          <w:szCs w:val="24"/>
        </w:rPr>
        <w:t xml:space="preserve"> </w:t>
      </w:r>
      <w:r>
        <w:rPr>
          <w:rFonts w:hint="default" w:ascii="宋体" w:hAnsi="宋体" w:eastAsia="宋体" w:cs="宋体"/>
          <w:color w:val="auto"/>
          <w:sz w:val="24"/>
          <w:szCs w:val="24"/>
        </w:rPr>
        <w:t>D</w:t>
      </w:r>
      <w:r>
        <w:rPr>
          <w:rFonts w:hint="eastAsia" w:ascii="宋体" w:hAnsi="宋体" w:eastAsia="宋体" w:cs="宋体"/>
          <w:color w:val="auto"/>
          <w:sz w:val="24"/>
          <w:szCs w:val="24"/>
        </w:rPr>
        <w:t>.</w:t>
      </w:r>
      <w:r>
        <w:rPr>
          <w:rFonts w:hint="default" w:ascii="宋体" w:hAnsi="宋体" w:eastAsia="宋体" w:cs="宋体"/>
          <w:color w:val="auto"/>
          <w:sz w:val="24"/>
          <w:szCs w:val="24"/>
        </w:rPr>
        <w:t>无改善</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18.您认为项目实施对推动本地绿色农业发展有没有作用？</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作用</w:t>
      </w:r>
      <w:r>
        <w:rPr>
          <w:rFonts w:hint="eastAsia" w:ascii="宋体" w:hAnsi="宋体" w:eastAsia="宋体" w:cs="宋体"/>
          <w:color w:val="auto"/>
          <w:sz w:val="24"/>
          <w:szCs w:val="24"/>
        </w:rPr>
        <w:t>明显</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较明显（0人）</w:t>
      </w:r>
    </w:p>
    <w:p>
      <w:pPr>
        <w:pageBreakBefore w:val="0"/>
        <w:overflowPunct/>
        <w:topLinePunct w:val="0"/>
        <w:bidi w:val="0"/>
        <w:spacing w:line="576" w:lineRule="exact"/>
        <w:ind w:left="0" w:leftChars="0" w:firstLine="480" w:firstLineChars="200"/>
        <w:rPr>
          <w:rFonts w:hint="eastAsia" w:eastAsia="宋体" w:cs="Times New Roman"/>
          <w:color w:val="auto"/>
          <w:lang w:val="en-US" w:eastAsia="zh-CN"/>
        </w:rPr>
      </w:pP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有但不</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（0人）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default" w:ascii="宋体" w:hAnsi="宋体" w:eastAsia="宋体" w:cs="宋体"/>
          <w:color w:val="auto"/>
          <w:sz w:val="24"/>
          <w:szCs w:val="24"/>
        </w:rPr>
        <w:t>D</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没作用（0人）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.您对于项目</w:t>
      </w:r>
      <w:r>
        <w:rPr>
          <w:rFonts w:hint="eastAsia" w:ascii="宋体" w:hAnsi="宋体" w:eastAsia="宋体" w:cs="宋体"/>
          <w:color w:val="auto"/>
          <w:sz w:val="24"/>
          <w:szCs w:val="24"/>
          <w:lang w:val="en-US" w:eastAsia="zh-CN"/>
        </w:rPr>
        <w:t>的实施</w:t>
      </w:r>
      <w:r>
        <w:rPr>
          <w:rFonts w:hint="eastAsia" w:ascii="宋体" w:hAnsi="宋体" w:eastAsia="宋体" w:cs="宋体"/>
          <w:color w:val="auto"/>
          <w:sz w:val="24"/>
          <w:szCs w:val="24"/>
        </w:rPr>
        <w:t>满意度如何？</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A.满意</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B.一般</w:t>
      </w:r>
      <w:r>
        <w:rPr>
          <w:rFonts w:hint="eastAsia" w:ascii="宋体" w:hAnsi="宋体" w:eastAsia="宋体" w:cs="宋体"/>
          <w:color w:val="auto"/>
          <w:sz w:val="24"/>
          <w:szCs w:val="24"/>
          <w:lang w:val="en-US" w:eastAsia="zh-CN"/>
        </w:rPr>
        <w:t xml:space="preserve">（0人）         </w:t>
      </w:r>
      <w:r>
        <w:rPr>
          <w:rFonts w:hint="eastAsia" w:ascii="宋体" w:hAnsi="宋体" w:eastAsia="宋体" w:cs="宋体"/>
          <w:color w:val="auto"/>
          <w:sz w:val="24"/>
          <w:szCs w:val="24"/>
        </w:rPr>
        <w:t>D.不满意</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.您对项目的实施有什么意见和建议？</w:t>
      </w:r>
    </w:p>
    <w:p>
      <w:pPr>
        <w:pageBreakBefore w:val="0"/>
        <w:overflowPunct/>
        <w:topLinePunct w:val="0"/>
        <w:bidi w:val="0"/>
        <w:spacing w:line="576" w:lineRule="exact"/>
        <w:ind w:left="0" w:leftChars="0" w:firstLine="0" w:firstLineChars="0"/>
        <w:rPr>
          <w:rFonts w:hint="eastAsia" w:cs="Times New Roman"/>
          <w:color w:val="auto"/>
          <w:lang w:eastAsia="zh-CN"/>
        </w:rPr>
      </w:pP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pPr>
        <w:pageBreakBefore w:val="0"/>
        <w:overflowPunct/>
        <w:topLinePunct w:val="0"/>
        <w:bidi w:val="0"/>
        <w:spacing w:line="576" w:lineRule="exact"/>
        <w:ind w:left="0" w:leftChars="0"/>
        <w:outlineLvl w:val="9"/>
        <w:rPr>
          <w:rFonts w:hint="eastAsia" w:ascii="宋体" w:hAnsi="宋体" w:eastAsia="宋体" w:cs="宋体"/>
          <w:b/>
          <w:color w:val="auto"/>
          <w:kern w:val="0"/>
          <w:sz w:val="32"/>
          <w:szCs w:val="32"/>
          <w:lang w:eastAsia="zh-CN"/>
        </w:rPr>
      </w:pPr>
    </w:p>
    <w:p>
      <w:pPr>
        <w:pageBreakBefore w:val="0"/>
        <w:overflowPunct/>
        <w:topLinePunct w:val="0"/>
        <w:bidi w:val="0"/>
        <w:spacing w:line="576" w:lineRule="exact"/>
        <w:ind w:left="0" w:leftChars="0"/>
        <w:rPr>
          <w:rFonts w:hint="default"/>
          <w:color w:val="auto"/>
          <w:lang w:val="en-US" w:eastAsia="zh-CN"/>
        </w:rPr>
        <w:sectPr>
          <w:footerReference r:id="rId55" w:type="default"/>
          <w:pgSz w:w="11906" w:h="16838"/>
          <w:pgMar w:top="2098" w:right="1474" w:bottom="1984" w:left="1587" w:header="851" w:footer="992" w:gutter="0"/>
          <w:pgNumType w:fmt="numberInDash"/>
          <w:cols w:space="425" w:num="1"/>
          <w:docGrid w:type="lines" w:linePitch="312" w:charSpace="0"/>
        </w:sectPr>
      </w:pPr>
    </w:p>
    <w:p>
      <w:pPr>
        <w:pageBreakBefore w:val="0"/>
        <w:widowControl/>
        <w:overflowPunct/>
        <w:topLinePunct w:val="0"/>
        <w:bidi w:val="0"/>
        <w:spacing w:line="576" w:lineRule="exact"/>
        <w:ind w:left="0" w:leftChars="0" w:firstLine="0" w:firstLineChars="0"/>
        <w:jc w:val="center"/>
        <w:textAlignment w:val="center"/>
        <w:outlineLvl w:val="0"/>
        <w:rPr>
          <w:rFonts w:hint="eastAsia" w:ascii="宋体" w:hAnsi="宋体" w:eastAsia="宋体" w:cs="宋体"/>
          <w:b/>
          <w:color w:val="auto"/>
          <w:kern w:val="0"/>
          <w:sz w:val="32"/>
          <w:szCs w:val="32"/>
          <w:lang w:val="en-US" w:eastAsia="zh-CN"/>
        </w:rPr>
      </w:pPr>
      <w:bookmarkStart w:id="1165" w:name="_Toc5993"/>
      <w:bookmarkStart w:id="1166" w:name="_Toc24313"/>
      <w:bookmarkStart w:id="1167" w:name="_Toc10755"/>
      <w:r>
        <w:rPr>
          <w:rFonts w:hint="eastAsia" w:ascii="宋体" w:hAnsi="宋体" w:eastAsia="宋体" w:cs="宋体"/>
          <w:b/>
          <w:color w:val="auto"/>
          <w:kern w:val="0"/>
          <w:sz w:val="32"/>
          <w:szCs w:val="32"/>
          <w:lang w:val="en-US" w:eastAsia="zh-CN"/>
        </w:rPr>
        <w:t xml:space="preserve">3-2 </w:t>
      </w:r>
      <w:r>
        <w:rPr>
          <w:rFonts w:hint="eastAsia" w:ascii="宋体" w:hAnsi="宋体" w:eastAsia="宋体" w:cs="宋体"/>
          <w:b/>
          <w:color w:val="auto"/>
          <w:kern w:val="0"/>
          <w:sz w:val="32"/>
          <w:szCs w:val="32"/>
        </w:rPr>
        <w:t>西宁市城</w:t>
      </w:r>
      <w:r>
        <w:rPr>
          <w:rFonts w:hint="eastAsia" w:ascii="宋体" w:hAnsi="宋体" w:eastAsia="宋体" w:cs="宋体"/>
          <w:b/>
          <w:color w:val="auto"/>
          <w:kern w:val="0"/>
          <w:sz w:val="32"/>
          <w:szCs w:val="32"/>
          <w:lang w:val="en-US" w:eastAsia="zh-CN"/>
        </w:rPr>
        <w:t>中</w:t>
      </w:r>
      <w:r>
        <w:rPr>
          <w:rFonts w:hint="eastAsia" w:ascii="宋体" w:hAnsi="宋体" w:eastAsia="宋体" w:cs="宋体"/>
          <w:b/>
          <w:color w:val="auto"/>
          <w:kern w:val="0"/>
          <w:sz w:val="32"/>
          <w:szCs w:val="32"/>
        </w:rPr>
        <w:t>区</w:t>
      </w:r>
      <w:r>
        <w:rPr>
          <w:rFonts w:hint="eastAsia" w:ascii="宋体" w:hAnsi="宋体" w:eastAsia="宋体" w:cs="宋体"/>
          <w:b/>
          <w:color w:val="auto"/>
          <w:kern w:val="0"/>
          <w:sz w:val="32"/>
          <w:szCs w:val="32"/>
          <w:lang w:val="en-US" w:eastAsia="zh-CN"/>
        </w:rPr>
        <w:t>总寨塬智能温室园区道路工程和排水</w:t>
      </w:r>
      <w:bookmarkEnd w:id="1165"/>
      <w:bookmarkEnd w:id="1166"/>
    </w:p>
    <w:p>
      <w:pPr>
        <w:pageBreakBefore w:val="0"/>
        <w:widowControl/>
        <w:overflowPunct/>
        <w:topLinePunct w:val="0"/>
        <w:bidi w:val="0"/>
        <w:spacing w:line="576" w:lineRule="exact"/>
        <w:ind w:left="0" w:leftChars="0" w:firstLine="0" w:firstLineChars="0"/>
        <w:jc w:val="center"/>
        <w:textAlignment w:val="center"/>
        <w:outlineLvl w:val="9"/>
        <w:rPr>
          <w:rFonts w:hint="eastAsia" w:ascii="宋体" w:hAnsi="宋体" w:eastAsia="宋体" w:cs="宋体"/>
          <w:b/>
          <w:color w:val="auto"/>
          <w:kern w:val="0"/>
          <w:sz w:val="32"/>
          <w:szCs w:val="32"/>
          <w:lang w:eastAsia="zh-CN"/>
        </w:rPr>
      </w:pPr>
      <w:r>
        <w:rPr>
          <w:rFonts w:hint="eastAsia" w:ascii="宋体" w:hAnsi="宋体" w:eastAsia="宋体" w:cs="宋体"/>
          <w:b/>
          <w:color w:val="auto"/>
          <w:kern w:val="0"/>
          <w:sz w:val="32"/>
          <w:szCs w:val="32"/>
          <w:lang w:val="en-US" w:eastAsia="zh-CN"/>
        </w:rPr>
        <w:t>工程</w:t>
      </w:r>
      <w:r>
        <w:rPr>
          <w:rFonts w:hint="eastAsia" w:ascii="宋体" w:hAnsi="宋体" w:eastAsia="宋体" w:cs="宋体"/>
          <w:b/>
          <w:color w:val="auto"/>
          <w:kern w:val="0"/>
          <w:sz w:val="32"/>
          <w:szCs w:val="32"/>
        </w:rPr>
        <w:t>项目</w:t>
      </w:r>
      <w:bookmarkEnd w:id="1167"/>
      <w:r>
        <w:rPr>
          <w:rFonts w:hint="eastAsia" w:ascii="宋体" w:hAnsi="宋体" w:eastAsia="宋体" w:cs="宋体"/>
          <w:b/>
          <w:color w:val="auto"/>
          <w:kern w:val="0"/>
          <w:sz w:val="32"/>
          <w:szCs w:val="32"/>
        </w:rPr>
        <w:t>满意度调查问卷</w:t>
      </w:r>
      <w:r>
        <w:rPr>
          <w:rFonts w:hint="eastAsia" w:ascii="宋体" w:hAnsi="宋体" w:eastAsia="宋体" w:cs="宋体"/>
          <w:b/>
          <w:color w:val="auto"/>
          <w:kern w:val="0"/>
          <w:sz w:val="32"/>
          <w:szCs w:val="32"/>
          <w:lang w:eastAsia="zh-CN"/>
        </w:rPr>
        <w:t>（</w:t>
      </w:r>
      <w:r>
        <w:rPr>
          <w:rFonts w:hint="eastAsia" w:ascii="宋体" w:hAnsi="宋体" w:eastAsia="宋体" w:cs="宋体"/>
          <w:b/>
          <w:color w:val="auto"/>
          <w:kern w:val="0"/>
          <w:sz w:val="32"/>
          <w:szCs w:val="32"/>
          <w:lang w:val="en-US" w:eastAsia="zh-CN"/>
        </w:rPr>
        <w:t>农户</w:t>
      </w:r>
      <w:r>
        <w:rPr>
          <w:rFonts w:hint="eastAsia" w:ascii="宋体" w:hAnsi="宋体" w:eastAsia="宋体" w:cs="宋体"/>
          <w:b/>
          <w:color w:val="auto"/>
          <w:kern w:val="0"/>
          <w:sz w:val="32"/>
          <w:szCs w:val="32"/>
          <w:lang w:eastAsia="zh-CN"/>
        </w:rPr>
        <w:t>）</w:t>
      </w:r>
    </w:p>
    <w:p>
      <w:pPr>
        <w:pageBreakBefore w:val="0"/>
        <w:overflowPunct/>
        <w:topLinePunct w:val="0"/>
        <w:bidi w:val="0"/>
        <w:spacing w:line="576" w:lineRule="exact"/>
        <w:ind w:left="0" w:leftChars="0" w:firstLine="0" w:firstLineChars="0"/>
        <w:rPr>
          <w:rFonts w:hint="eastAsia" w:ascii="宋体" w:hAnsi="宋体" w:eastAsia="宋体" w:cs="宋体"/>
          <w:b/>
          <w:bCs/>
          <w:color w:val="auto"/>
          <w:sz w:val="24"/>
          <w:szCs w:val="24"/>
        </w:rPr>
      </w:pPr>
      <w:r>
        <w:rPr>
          <w:rFonts w:hint="eastAsia" w:ascii="宋体" w:hAnsi="宋体" w:eastAsia="宋体" w:cs="宋体"/>
          <w:b/>
          <w:bCs/>
          <w:color w:val="auto"/>
          <w:sz w:val="24"/>
          <w:szCs w:val="24"/>
        </w:rPr>
        <w:t>二、基础问题</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1.您知道总寨塬园区去年新建道路工程和排水设施吗？</w:t>
      </w:r>
    </w:p>
    <w:p>
      <w:pPr>
        <w:pageBreakBefore w:val="0"/>
        <w:overflowPunct/>
        <w:topLinePunct w:val="0"/>
        <w:bidi w:val="0"/>
        <w:spacing w:line="576" w:lineRule="exact"/>
        <w:ind w:left="0" w:leftChars="0" w:firstLine="480" w:firstLineChars="200"/>
        <w:rPr>
          <w:rFonts w:hint="eastAsia" w:eastAsia="宋体" w:cs="Times New Roman"/>
          <w:color w:val="auto"/>
          <w:lang w:val="en-US" w:eastAsia="zh-CN"/>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知道（5人）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B.不</w:t>
      </w:r>
      <w:r>
        <w:rPr>
          <w:rFonts w:hint="eastAsia" w:ascii="宋体" w:hAnsi="宋体" w:eastAsia="宋体" w:cs="宋体"/>
          <w:color w:val="auto"/>
          <w:sz w:val="24"/>
          <w:szCs w:val="24"/>
          <w:lang w:val="en-US" w:eastAsia="zh-CN"/>
        </w:rPr>
        <w:t>知道（0人）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园区过去的道路状况和排水状况如何</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480" w:firstLineChars="200"/>
        <w:textAlignment w:val="auto"/>
        <w:rPr>
          <w:rFonts w:hint="default" w:ascii="宋体" w:hAnsi="宋体" w:eastAsia="宋体" w:cs="宋体"/>
          <w:color w:val="auto"/>
          <w:sz w:val="24"/>
          <w:szCs w:val="24"/>
          <w:lang w:val="en-US"/>
        </w:rPr>
      </w:pPr>
      <w:r>
        <w:rPr>
          <w:rFonts w:cs="Times New Roman"/>
          <w:color w:val="auto"/>
          <w:sz w:val="24"/>
        </w:rPr>
        <mc:AlternateContent>
          <mc:Choice Requires="wps">
            <w:drawing>
              <wp:anchor distT="0" distB="0" distL="114300" distR="114300" simplePos="0" relativeHeight="251674624" behindDoc="0" locked="0" layoutInCell="1" allowOverlap="1">
                <wp:simplePos x="0" y="0"/>
                <wp:positionH relativeFrom="column">
                  <wp:posOffset>51435</wp:posOffset>
                </wp:positionH>
                <wp:positionV relativeFrom="paragraph">
                  <wp:posOffset>254635</wp:posOffset>
                </wp:positionV>
                <wp:extent cx="5027295" cy="0"/>
                <wp:effectExtent l="0" t="0" r="0" b="0"/>
                <wp:wrapNone/>
                <wp:docPr id="356" name="直接连接符 356"/>
                <wp:cNvGraphicFramePr/>
                <a:graphic xmlns:a="http://schemas.openxmlformats.org/drawingml/2006/main">
                  <a:graphicData uri="http://schemas.microsoft.com/office/word/2010/wordprocessingShape">
                    <wps:wsp>
                      <wps:cNvCnPr/>
                      <wps:spPr>
                        <a:xfrm>
                          <a:off x="1247140" y="4084320"/>
                          <a:ext cx="5027295" cy="0"/>
                        </a:xfrm>
                        <a:prstGeom prst="line">
                          <a:avLst/>
                        </a:prstGeom>
                        <a:noFill/>
                        <a:ln w="9525"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05pt;margin-top:20.05pt;height:0pt;width:395.85pt;z-index:251674624;mso-width-relative:page;mso-height-relative:page;" filled="f" stroked="t" coordsize="21600,21600" o:gfxdata="UEsDBAoAAAAAAIdO4kAAAAAAAAAAAAAAAAAEAAAAZHJzL1BLAwQUAAAACACHTuJAr9DP49YAAAAH&#10;AQAADwAAAGRycy9kb3ducmV2LnhtbE2PzU7DMBCE70i8g7VI3KgdhKBN41QCKScQFSkcenPjbRKI&#10;16nt/vD2LOoBTqvdGc1+UyxObhAHDLH3pCGbKBBIjbc9tRreV9XNFERMhqwZPKGGb4ywKC8vCpNb&#10;f6Q3PNSpFRxCMTcaupTGXMrYdOhMnPgRibWtD84kXkMrbTBHDneDvFXqXjrTE3/ozIhPHTZf9d5p&#10;2OLrx3MMuHvZLR/XVb38dG210vr6KlNzEAlP6c8Mv/iMDiUzbfyebBSDhmnGRg13iifLD7MZN9mc&#10;D7Is5H/+8gdQSwMEFAAAAAgAh07iQH/Wv+kGAgAA4wMAAA4AAABkcnMvZTJvRG9jLnhtbK1TS27b&#10;MBDdF+gdCO5ryYqdOILlLGKkm6I10OQADEVaBPgDh7HsS/QCBbprV11239skPUaHlJK66SaLakEN&#10;NcM38x6flhd7o8lOBFDONnQ6KSkRlrtW2W1Db66v3iwogchsy7SzoqEHAfRi9frVsve1qFzndCsC&#10;QRALde8b2sXo66IA3gnDYOK8sJiULhgWcRu2RRtYj+hGF1VZnha9C60PjgsA/LoeknREDC8BdFIq&#10;LtaO3xlh44AahGYRKUGnPNBVnlZKweMHKUFEohuKTGNesQnGt2ktVktWbwPzneLjCOwlIzzjZJiy&#10;2PQJas0iI3dB/QNlFA8OnIwT7kwxEMmKIItp+Uybjx3zInNBqcE/iQ7/D5a/320CUW1DT+anlFhm&#10;8MofPv+4//T1188vuD58/0ZSCoXqPdRYf2k3YdyB34TEei+DSW/kQ/Zoqmp2Np2hxIeGzsrF7KQa&#10;hRb7SDgWzMvqrDqfU8KxIueKPyA+QHwrnCEpaKhWNmnAarZ7BxEbY+ljSfps3ZXSOt+jtqRv6Pm8&#10;SsgMvSnRExgaj/zAbilheoum5zFkRHBatel0woEDXOpAdgydgnZtXX+N41KiGURM4Jz5SULgBH8d&#10;TeOsGXTD4ZwajGVUxH9FK9PQxfFpbVNHkf05kkriDnKm6Na1h6xykXZ497np6NNkruM9xsf/5u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9DP49YAAAAHAQAADwAAAAAAAAABACAAAAAiAAAAZHJz&#10;L2Rvd25yZXYueG1sUEsBAhQAFAAAAAgAh07iQH/Wv+kGAgAA4wMAAA4AAAAAAAAAAQAgAAAAJQEA&#10;AGRycy9lMm9Eb2MueG1sUEsFBgAAAAAGAAYAWQEAAJ0FAAAAAA==&#10;">
                <v:fill on="f" focussize="0,0"/>
                <v:stroke color="#000000 [3200]" miterlimit="8" joinstyle="miter"/>
                <v:imagedata o:title=""/>
                <o:lock v:ext="edit" aspectratio="f"/>
              </v:line>
            </w:pict>
          </mc:Fallback>
        </mc:AlternateContent>
      </w:r>
      <w:r>
        <w:rPr>
          <w:rFonts w:hint="eastAsia" w:ascii="宋体" w:hAnsi="宋体" w:eastAsia="宋体" w:cs="宋体"/>
          <w:color w:val="auto"/>
          <w:sz w:val="24"/>
          <w:szCs w:val="24"/>
          <w:lang w:val="en-US" w:eastAsia="zh-CN"/>
        </w:rPr>
        <w:t>黄土路，排水不好，下雨后有积水，出行困难</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3.您认为现在园区道路状况如何？雨天过后园区排水状况如何，是否还有大量积水，路面是否可以正常出入？</w:t>
      </w:r>
    </w:p>
    <w:p>
      <w:pPr>
        <w:keepNext w:val="0"/>
        <w:keepLines w:val="0"/>
        <w:pageBreakBefore w:val="0"/>
        <w:widowControl w:val="0"/>
        <w:kinsoku/>
        <w:wordWrap/>
        <w:overflowPunct/>
        <w:topLinePunct w:val="0"/>
        <w:autoSpaceDE/>
        <w:autoSpaceDN/>
        <w:bidi w:val="0"/>
        <w:adjustRightInd/>
        <w:snapToGrid/>
        <w:spacing w:line="576" w:lineRule="exact"/>
        <w:ind w:left="0" w:lef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87630</wp:posOffset>
                </wp:positionH>
                <wp:positionV relativeFrom="paragraph">
                  <wp:posOffset>330200</wp:posOffset>
                </wp:positionV>
                <wp:extent cx="5027295" cy="0"/>
                <wp:effectExtent l="0" t="0" r="0" b="0"/>
                <wp:wrapNone/>
                <wp:docPr id="14" name="直接连接符 14"/>
                <wp:cNvGraphicFramePr/>
                <a:graphic xmlns:a="http://schemas.openxmlformats.org/drawingml/2006/main">
                  <a:graphicData uri="http://schemas.microsoft.com/office/word/2010/wordprocessingShape">
                    <wps:wsp>
                      <wps:cNvCnPr/>
                      <wps:spPr>
                        <a:xfrm>
                          <a:off x="0" y="0"/>
                          <a:ext cx="5027295" cy="0"/>
                        </a:xfrm>
                        <a:prstGeom prst="line">
                          <a:avLst/>
                        </a:prstGeom>
                        <a:noFill/>
                        <a:ln w="9525"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9pt;margin-top:26pt;height:0pt;width:395.85pt;z-index:251675648;mso-width-relative:page;mso-height-relative:page;" filled="f" stroked="t" coordsize="21600,21600" o:gfxdata="UEsDBAoAAAAAAIdO4kAAAAAAAAAAAAAAAAAEAAAAZHJzL1BLAwQUAAAACACHTuJAGmGtbdYAAAAI&#10;AQAADwAAAGRycy9kb3ducmV2LnhtbE2PzU7DMBCE70i8g7VI3KjdoqAqjVMJpJxAVKRw4ObG2yQl&#10;Xqe2+8Pbs4hDOc7OaPabYnl2gzhiiL0nDdOJAoHUeNtTq+F9Xd3NQcRkyJrBE2r4xgjL8vqqMLn1&#10;J3rDY51awSUUc6OhS2nMpYxNh87EiR+R2Nv64ExiGVppgzlxuRvkTKkH6UxP/KEzIz512HzVB6dh&#10;i68fzzHg/mW/evys6tXOtdVa69ubqVqASHhOlzD84jM6lMy08QeyUQys75k8achmPIn9ucoyEJu/&#10;gywL+X9A+QNQSwMEFAAAAAgAh07iQAJnMZj2AQAA1QMAAA4AAABkcnMvZTJvRG9jLnhtbK1TzW4T&#10;MRC+I/EOlu9k0xWBdpVND43KBUEkygNMvd5dS/6Tx80mL8ELIHGDE0fuvA3tYzD2btO0XHogB2fs&#10;8Xwz3+dvl+c7o9lWBlTO1vxkNudMWuEaZbuaf766fHXKGUawDWhnZc33Evn56uWL5eArWbre6UYG&#10;RiAWq8HXvI/RV0WBopcGcOa8tJRsXTAQaRu6ogkwELrRRTmfvykGFxofnJCIdLoek3xCDM8BdG2r&#10;hFw7cWOkjSNqkBoiUcJeeeSrPG3bShE/ti3KyHTNiWnMKzWh+DqtxWoJVRfA90pMI8BzRnjCyYCy&#10;1PQAtYYI7Caof6CMEsGha+NMOFOMRLIixOJk/kSbTz14mbmQ1OgPouP/gxUftpvAVENOeM2ZBUMv&#10;fvv1158v3+9+f6P19ucPRhmSafBY0e0LuwnTDv0mJM67Npj0T2zYLku7P0grd5EJOlzMy7fl2YIz&#10;cZ8rHgp9wPhOOsNSUHOtbGINFWzfY6RmdPX+Sjq27lJpnV9OWzbU/GxRJmQgN7bkAgqNJ0ZoO85A&#10;d2RzEUNGRKdVk6oTDu7xQge2BfIGGbRxwxWNy5kGjJQgDvmXyNMEj0rTOGvAfizOqdFKRkX6OrQy&#10;NT89rtY2dZTZkROpJOgoYYquXbPPyhZpR6+dm07OTHY63lN8/DWu/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aYa1t1gAAAAgBAAAPAAAAAAAAAAEAIAAAACIAAABkcnMvZG93bnJldi54bWxQSwEC&#10;FAAUAAAACACHTuJAAmcxmPYBAADVAwAADgAAAAAAAAABACAAAAAlAQAAZHJzL2Uyb0RvYy54bWxQ&#10;SwUGAAAAAAYABgBZAQAAjQUAAAAA&#10;">
                <v:fill on="f" focussize="0,0"/>
                <v:stroke color="#000000 [3200]" miterlimit="8" joinstyle="miter"/>
                <v:imagedata o:title=""/>
                <o:lock v:ext="edit" aspectratio="f"/>
              </v:line>
            </w:pict>
          </mc:Fallback>
        </mc:AlternateContent>
      </w:r>
      <w:r>
        <w:rPr>
          <w:rFonts w:hint="eastAsia" w:ascii="宋体" w:hAnsi="宋体" w:eastAsia="宋体" w:cs="宋体"/>
          <w:color w:val="auto"/>
          <w:sz w:val="24"/>
          <w:szCs w:val="24"/>
          <w:lang w:val="en-US" w:eastAsia="zh-CN"/>
        </w:rPr>
        <w:t>沙土路，排水好，没有积水，雨后还有点泥，路面砂子有点少</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.您</w:t>
      </w:r>
      <w:r>
        <w:rPr>
          <w:rFonts w:hint="eastAsia" w:ascii="宋体" w:hAnsi="宋体" w:eastAsia="宋体" w:cs="宋体"/>
          <w:color w:val="auto"/>
          <w:sz w:val="24"/>
          <w:szCs w:val="24"/>
          <w:lang w:val="en-US" w:eastAsia="zh-CN"/>
        </w:rPr>
        <w:t>认为有没有必要在</w:t>
      </w:r>
      <w:r>
        <w:rPr>
          <w:rFonts w:hint="eastAsia" w:ascii="宋体" w:hAnsi="宋体" w:eastAsia="宋体" w:cs="宋体"/>
          <w:color w:val="auto"/>
          <w:sz w:val="24"/>
          <w:szCs w:val="24"/>
        </w:rPr>
        <w:t>总寨塬</w:t>
      </w:r>
      <w:r>
        <w:rPr>
          <w:rFonts w:hint="eastAsia" w:ascii="宋体" w:hAnsi="宋体" w:eastAsia="宋体" w:cs="宋体"/>
          <w:color w:val="auto"/>
          <w:sz w:val="24"/>
          <w:szCs w:val="24"/>
          <w:lang w:val="en-US" w:eastAsia="zh-CN"/>
        </w:rPr>
        <w:t>温室园区新建道路工程和排水设施</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有必要（5人）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可有可无（0人）</w:t>
      </w:r>
    </w:p>
    <w:p>
      <w:pPr>
        <w:pageBreakBefore w:val="0"/>
        <w:overflowPunct/>
        <w:topLinePunct w:val="0"/>
        <w:bidi w:val="0"/>
        <w:spacing w:line="576" w:lineRule="exact"/>
        <w:ind w:left="0" w:leftChars="0" w:firstLine="480" w:firstLineChars="200"/>
        <w:rPr>
          <w:rFonts w:hint="default" w:ascii="宋体" w:hAnsi="宋体" w:eastAsia="宋体" w:cs="宋体"/>
          <w:b/>
          <w:bCs/>
          <w:color w:val="auto"/>
          <w:sz w:val="24"/>
          <w:szCs w:val="24"/>
          <w:lang w:val="en-US" w:eastAsia="zh-CN"/>
        </w:rPr>
      </w:pPr>
      <w:r>
        <w:rPr>
          <w:rFonts w:hint="eastAsia" w:ascii="宋体" w:hAnsi="宋体" w:eastAsia="宋体" w:cs="宋体"/>
          <w:color w:val="auto"/>
          <w:sz w:val="24"/>
          <w:szCs w:val="24"/>
        </w:rPr>
        <w:t>C.</w:t>
      </w:r>
      <w:r>
        <w:rPr>
          <w:rFonts w:hint="eastAsia" w:ascii="宋体" w:hAnsi="宋体" w:eastAsia="宋体" w:cs="宋体"/>
          <w:color w:val="auto"/>
          <w:sz w:val="24"/>
          <w:szCs w:val="24"/>
          <w:lang w:val="en-US" w:eastAsia="zh-CN"/>
        </w:rPr>
        <w:t>没必要，以前就很好（0人）       D.应该修建其他设施（0人）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.总寨塬</w:t>
      </w:r>
      <w:r>
        <w:rPr>
          <w:rFonts w:hint="eastAsia" w:ascii="宋体" w:hAnsi="宋体" w:eastAsia="宋体" w:cs="宋体"/>
          <w:color w:val="auto"/>
          <w:sz w:val="24"/>
          <w:szCs w:val="24"/>
          <w:lang w:val="en-US" w:eastAsia="zh-CN"/>
        </w:rPr>
        <w:t>温室园区道路工程和排水设施修建后有没有为您在农业生产带来便利（比如大棚周围的积水减少，农产品便于运出）</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更方便了（5人）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没变化（0人）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更不方便了（0人）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.总寨塬</w:t>
      </w:r>
      <w:r>
        <w:rPr>
          <w:rFonts w:hint="eastAsia" w:ascii="宋体" w:hAnsi="宋体" w:eastAsia="宋体" w:cs="宋体"/>
          <w:color w:val="auto"/>
          <w:sz w:val="24"/>
          <w:szCs w:val="24"/>
          <w:lang w:val="en-US" w:eastAsia="zh-CN"/>
        </w:rPr>
        <w:t>温室园区道路工程和排水设施修建后</w:t>
      </w:r>
      <w:r>
        <w:rPr>
          <w:rFonts w:hint="eastAsia" w:ascii="宋体" w:hAnsi="宋体" w:eastAsia="宋体" w:cs="宋体"/>
          <w:color w:val="auto"/>
          <w:sz w:val="24"/>
          <w:szCs w:val="24"/>
        </w:rPr>
        <w:t>对提高您的收入有什么影响？</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收入有明显</w:t>
      </w:r>
      <w:r>
        <w:rPr>
          <w:rFonts w:hint="eastAsia" w:ascii="宋体" w:hAnsi="宋体" w:eastAsia="宋体" w:cs="宋体"/>
          <w:color w:val="auto"/>
          <w:sz w:val="24"/>
          <w:szCs w:val="24"/>
        </w:rPr>
        <w:t>提高</w:t>
      </w:r>
      <w:r>
        <w:rPr>
          <w:rFonts w:hint="eastAsia" w:ascii="宋体" w:hAnsi="宋体" w:eastAsia="宋体" w:cs="宋体"/>
          <w:color w:val="auto"/>
          <w:sz w:val="24"/>
          <w:szCs w:val="24"/>
          <w:lang w:val="en-US" w:eastAsia="zh-CN"/>
        </w:rPr>
        <w:t>（4人）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B.收入有一定积极影响</w:t>
      </w:r>
      <w:r>
        <w:rPr>
          <w:rFonts w:hint="eastAsia" w:ascii="宋体" w:hAnsi="宋体" w:eastAsia="宋体" w:cs="宋体"/>
          <w:color w:val="auto"/>
          <w:sz w:val="24"/>
          <w:szCs w:val="24"/>
          <w:lang w:val="en-US" w:eastAsia="zh-CN"/>
        </w:rPr>
        <w:t>（1人）</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C.收入</w:t>
      </w:r>
      <w:r>
        <w:rPr>
          <w:rFonts w:hint="eastAsia" w:ascii="宋体" w:hAnsi="宋体" w:eastAsia="宋体" w:cs="宋体"/>
          <w:color w:val="auto"/>
          <w:sz w:val="24"/>
          <w:szCs w:val="24"/>
          <w:lang w:val="en-US" w:eastAsia="zh-CN"/>
        </w:rPr>
        <w:t xml:space="preserve">提高不明显（0人）         </w:t>
      </w:r>
      <w:r>
        <w:rPr>
          <w:rFonts w:hint="eastAsia" w:ascii="宋体" w:hAnsi="宋体" w:eastAsia="宋体" w:cs="宋体"/>
          <w:color w:val="auto"/>
          <w:sz w:val="24"/>
          <w:szCs w:val="24"/>
        </w:rPr>
        <w:t xml:space="preserve">  D.</w:t>
      </w:r>
      <w:r>
        <w:rPr>
          <w:rFonts w:hint="eastAsia" w:ascii="宋体" w:hAnsi="宋体" w:eastAsia="宋体" w:cs="宋体"/>
          <w:color w:val="auto"/>
          <w:sz w:val="24"/>
          <w:szCs w:val="24"/>
          <w:lang w:val="en-US" w:eastAsia="zh-CN"/>
        </w:rPr>
        <w:t>对提高</w:t>
      </w:r>
      <w:r>
        <w:rPr>
          <w:rFonts w:hint="eastAsia" w:ascii="宋体" w:hAnsi="宋体" w:eastAsia="宋体" w:cs="宋体"/>
          <w:color w:val="auto"/>
          <w:sz w:val="24"/>
          <w:szCs w:val="24"/>
        </w:rPr>
        <w:t>收入无帮助</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您认为</w:t>
      </w:r>
      <w:r>
        <w:rPr>
          <w:rFonts w:hint="eastAsia" w:ascii="宋体" w:hAnsi="宋体" w:eastAsia="宋体" w:cs="宋体"/>
          <w:color w:val="auto"/>
          <w:sz w:val="24"/>
          <w:szCs w:val="24"/>
        </w:rPr>
        <w:t>总寨塬</w:t>
      </w:r>
      <w:r>
        <w:rPr>
          <w:rFonts w:hint="eastAsia" w:ascii="宋体" w:hAnsi="宋体" w:eastAsia="宋体" w:cs="宋体"/>
          <w:color w:val="auto"/>
          <w:sz w:val="24"/>
          <w:szCs w:val="24"/>
          <w:lang w:val="en-US" w:eastAsia="zh-CN"/>
        </w:rPr>
        <w:t>大棚</w:t>
      </w:r>
      <w:r>
        <w:rPr>
          <w:rFonts w:hint="eastAsia" w:ascii="宋体" w:hAnsi="宋体" w:eastAsia="宋体" w:cs="宋体"/>
          <w:color w:val="auto"/>
          <w:sz w:val="24"/>
          <w:szCs w:val="24"/>
        </w:rPr>
        <w:t>项目</w:t>
      </w:r>
      <w:r>
        <w:rPr>
          <w:rFonts w:hint="eastAsia" w:ascii="宋体" w:hAnsi="宋体" w:eastAsia="宋体" w:cs="宋体"/>
          <w:color w:val="auto"/>
          <w:sz w:val="24"/>
          <w:szCs w:val="24"/>
          <w:lang w:val="en-US" w:eastAsia="zh-CN"/>
        </w:rPr>
        <w:t>的实施</w:t>
      </w:r>
      <w:r>
        <w:rPr>
          <w:rFonts w:hint="eastAsia" w:ascii="宋体" w:hAnsi="宋体" w:eastAsia="宋体" w:cs="宋体"/>
          <w:color w:val="auto"/>
          <w:sz w:val="24"/>
          <w:szCs w:val="24"/>
        </w:rPr>
        <w:t>对城中区蔬菜温室产业发展</w:t>
      </w:r>
      <w:r>
        <w:rPr>
          <w:rFonts w:hint="eastAsia" w:ascii="宋体" w:hAnsi="宋体" w:eastAsia="宋体" w:cs="宋体"/>
          <w:color w:val="auto"/>
          <w:sz w:val="24"/>
          <w:szCs w:val="24"/>
          <w:lang w:val="en-US" w:eastAsia="zh-CN"/>
        </w:rPr>
        <w:t>有什么</w:t>
      </w:r>
      <w:r>
        <w:rPr>
          <w:rFonts w:hint="eastAsia" w:ascii="宋体" w:hAnsi="宋体" w:eastAsia="宋体" w:cs="宋体"/>
          <w:color w:val="auto"/>
          <w:sz w:val="24"/>
          <w:szCs w:val="24"/>
        </w:rPr>
        <w:t>影响？</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产业发展</w:t>
      </w:r>
      <w:r>
        <w:rPr>
          <w:rFonts w:hint="eastAsia" w:ascii="宋体" w:hAnsi="宋体" w:eastAsia="宋体" w:cs="宋体"/>
          <w:color w:val="auto"/>
          <w:sz w:val="24"/>
          <w:szCs w:val="24"/>
        </w:rPr>
        <w:t>促进明显</w:t>
      </w:r>
      <w:r>
        <w:rPr>
          <w:rFonts w:hint="eastAsia" w:ascii="宋体" w:hAnsi="宋体" w:eastAsia="宋体" w:cs="宋体"/>
          <w:color w:val="auto"/>
          <w:sz w:val="24"/>
          <w:szCs w:val="24"/>
          <w:lang w:val="en-US" w:eastAsia="zh-CN"/>
        </w:rPr>
        <w:t>（3人）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对产业发展</w:t>
      </w:r>
      <w:r>
        <w:rPr>
          <w:rFonts w:hint="eastAsia" w:ascii="宋体" w:hAnsi="宋体" w:eastAsia="宋体" w:cs="宋体"/>
          <w:color w:val="auto"/>
          <w:sz w:val="24"/>
          <w:szCs w:val="24"/>
        </w:rPr>
        <w:t>有一定积极影响</w:t>
      </w:r>
      <w:r>
        <w:rPr>
          <w:rFonts w:hint="eastAsia" w:ascii="宋体" w:hAnsi="宋体" w:eastAsia="宋体" w:cs="宋体"/>
          <w:color w:val="auto"/>
          <w:sz w:val="24"/>
          <w:szCs w:val="24"/>
          <w:lang w:val="en-US" w:eastAsia="zh-CN"/>
        </w:rPr>
        <w:t>（1人）</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w:t>
      </w:r>
      <w:r>
        <w:rPr>
          <w:rFonts w:hint="eastAsia" w:ascii="宋体" w:hAnsi="宋体" w:eastAsia="宋体" w:cs="宋体"/>
          <w:color w:val="auto"/>
          <w:sz w:val="24"/>
          <w:szCs w:val="24"/>
          <w:lang w:val="en-US" w:eastAsia="zh-CN"/>
        </w:rPr>
        <w:t>对产业发展影响</w:t>
      </w:r>
      <w:r>
        <w:rPr>
          <w:rFonts w:hint="eastAsia" w:ascii="宋体" w:hAnsi="宋体" w:eastAsia="宋体" w:cs="宋体"/>
          <w:color w:val="auto"/>
          <w:sz w:val="24"/>
          <w:szCs w:val="24"/>
        </w:rPr>
        <w:t>一般</w:t>
      </w:r>
      <w:r>
        <w:rPr>
          <w:rFonts w:hint="eastAsia" w:ascii="宋体" w:hAnsi="宋体" w:eastAsia="宋体" w:cs="宋体"/>
          <w:color w:val="auto"/>
          <w:sz w:val="24"/>
          <w:szCs w:val="24"/>
          <w:lang w:val="en-US" w:eastAsia="zh-CN"/>
        </w:rPr>
        <w:t xml:space="preserve">（1人）  </w:t>
      </w:r>
      <w:r>
        <w:rPr>
          <w:rFonts w:hint="eastAsia" w:ascii="宋体" w:hAnsi="宋体" w:eastAsia="宋体" w:cs="宋体"/>
          <w:color w:val="auto"/>
          <w:sz w:val="24"/>
          <w:szCs w:val="24"/>
        </w:rPr>
        <w:t xml:space="preserve">  D.</w:t>
      </w:r>
      <w:r>
        <w:rPr>
          <w:rFonts w:hint="eastAsia" w:ascii="宋体" w:hAnsi="宋体" w:eastAsia="宋体" w:cs="宋体"/>
          <w:color w:val="auto"/>
          <w:sz w:val="24"/>
          <w:szCs w:val="24"/>
          <w:lang w:val="en-US" w:eastAsia="zh-CN"/>
        </w:rPr>
        <w:t>对促进产业发展</w:t>
      </w:r>
      <w:r>
        <w:rPr>
          <w:rFonts w:hint="eastAsia" w:ascii="宋体" w:hAnsi="宋体" w:eastAsia="宋体" w:cs="宋体"/>
          <w:color w:val="auto"/>
          <w:sz w:val="24"/>
          <w:szCs w:val="24"/>
        </w:rPr>
        <w:t>无明显帮助</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您认为道路工程和排水设施修建后，</w:t>
      </w:r>
      <w:r>
        <w:rPr>
          <w:rFonts w:hint="eastAsia" w:ascii="宋体" w:hAnsi="宋体" w:eastAsia="宋体" w:cs="宋体"/>
          <w:color w:val="auto"/>
          <w:sz w:val="24"/>
          <w:szCs w:val="24"/>
        </w:rPr>
        <w:t>对抵御自然灾害的能力</w:t>
      </w:r>
      <w:r>
        <w:rPr>
          <w:rFonts w:hint="eastAsia" w:ascii="宋体" w:hAnsi="宋体" w:eastAsia="宋体" w:cs="宋体"/>
          <w:color w:val="auto"/>
          <w:sz w:val="24"/>
          <w:szCs w:val="24"/>
          <w:lang w:val="en-US" w:eastAsia="zh-CN"/>
        </w:rPr>
        <w:t>有什么</w:t>
      </w:r>
      <w:r>
        <w:rPr>
          <w:rFonts w:hint="eastAsia" w:ascii="宋体" w:hAnsi="宋体" w:eastAsia="宋体" w:cs="宋体"/>
          <w:color w:val="auto"/>
          <w:sz w:val="24"/>
          <w:szCs w:val="24"/>
        </w:rPr>
        <w:t>影响？</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抵御能力</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 xml:space="preserve">提高（4人）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对</w:t>
      </w:r>
      <w:r>
        <w:rPr>
          <w:rFonts w:hint="eastAsia" w:ascii="宋体" w:hAnsi="宋体" w:eastAsia="宋体" w:cs="宋体"/>
          <w:color w:val="auto"/>
          <w:sz w:val="24"/>
          <w:szCs w:val="24"/>
        </w:rPr>
        <w:t>提高</w:t>
      </w:r>
      <w:r>
        <w:rPr>
          <w:rFonts w:hint="eastAsia" w:ascii="宋体" w:hAnsi="宋体" w:eastAsia="宋体" w:cs="宋体"/>
          <w:color w:val="auto"/>
          <w:sz w:val="24"/>
          <w:szCs w:val="24"/>
          <w:lang w:val="en-US" w:eastAsia="zh-CN"/>
        </w:rPr>
        <w:t>抵御能力</w:t>
      </w:r>
      <w:r>
        <w:rPr>
          <w:rFonts w:hint="eastAsia" w:ascii="宋体" w:hAnsi="宋体" w:eastAsia="宋体" w:cs="宋体"/>
          <w:color w:val="auto"/>
          <w:sz w:val="24"/>
          <w:szCs w:val="24"/>
        </w:rPr>
        <w:t>有一定积极影响</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C.对提高</w:t>
      </w:r>
      <w:r>
        <w:rPr>
          <w:rFonts w:hint="eastAsia" w:ascii="宋体" w:hAnsi="宋体" w:eastAsia="宋体" w:cs="宋体"/>
          <w:color w:val="auto"/>
          <w:sz w:val="24"/>
          <w:szCs w:val="24"/>
          <w:lang w:val="en-US" w:eastAsia="zh-CN"/>
        </w:rPr>
        <w:t>抵御能力</w:t>
      </w:r>
      <w:r>
        <w:rPr>
          <w:rFonts w:hint="eastAsia" w:ascii="宋体" w:hAnsi="宋体" w:eastAsia="宋体" w:cs="宋体"/>
          <w:color w:val="auto"/>
          <w:sz w:val="24"/>
          <w:szCs w:val="24"/>
        </w:rPr>
        <w:t>影响一般</w:t>
      </w:r>
      <w:r>
        <w:rPr>
          <w:rFonts w:hint="eastAsia" w:ascii="宋体" w:hAnsi="宋体" w:eastAsia="宋体" w:cs="宋体"/>
          <w:color w:val="auto"/>
          <w:sz w:val="24"/>
          <w:szCs w:val="24"/>
          <w:lang w:val="en-US" w:eastAsia="zh-CN"/>
        </w:rPr>
        <w:t xml:space="preserve">（1人）  </w:t>
      </w:r>
      <w:r>
        <w:rPr>
          <w:rFonts w:hint="eastAsia" w:ascii="宋体" w:hAnsi="宋体" w:eastAsia="宋体" w:cs="宋体"/>
          <w:color w:val="auto"/>
          <w:sz w:val="24"/>
          <w:szCs w:val="24"/>
        </w:rPr>
        <w:t>D.</w:t>
      </w:r>
      <w:r>
        <w:rPr>
          <w:rFonts w:hint="eastAsia" w:ascii="宋体" w:hAnsi="宋体" w:eastAsia="宋体" w:cs="宋体"/>
          <w:color w:val="auto"/>
          <w:sz w:val="24"/>
          <w:szCs w:val="24"/>
          <w:lang w:val="en-US" w:eastAsia="zh-CN"/>
        </w:rPr>
        <w:t>对</w:t>
      </w:r>
      <w:r>
        <w:rPr>
          <w:rFonts w:hint="eastAsia" w:ascii="宋体" w:hAnsi="宋体" w:eastAsia="宋体" w:cs="宋体"/>
          <w:color w:val="auto"/>
          <w:sz w:val="24"/>
          <w:szCs w:val="24"/>
        </w:rPr>
        <w:t>提高</w:t>
      </w:r>
      <w:r>
        <w:rPr>
          <w:rFonts w:hint="eastAsia" w:ascii="宋体" w:hAnsi="宋体" w:eastAsia="宋体" w:cs="宋体"/>
          <w:color w:val="auto"/>
          <w:sz w:val="24"/>
          <w:szCs w:val="24"/>
          <w:lang w:val="en-US" w:eastAsia="zh-CN"/>
        </w:rPr>
        <w:t>抵御能力</w:t>
      </w:r>
      <w:r>
        <w:rPr>
          <w:rFonts w:hint="eastAsia" w:ascii="宋体" w:hAnsi="宋体" w:eastAsia="宋体" w:cs="宋体"/>
          <w:color w:val="auto"/>
          <w:sz w:val="24"/>
          <w:szCs w:val="24"/>
        </w:rPr>
        <w:t>无明显帮助</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9.总寨塬温室园区蔬菜产量上升或下降对西宁蔬菜市场供应有没有影响？</w:t>
      </w:r>
    </w:p>
    <w:p>
      <w:pPr>
        <w:pageBreakBefore w:val="0"/>
        <w:overflowPunct/>
        <w:topLinePunct w:val="0"/>
        <w:bidi w:val="0"/>
        <w:spacing w:line="576" w:lineRule="exact"/>
        <w:ind w:left="0" w:leftChars="0" w:firstLine="480" w:firstLineChars="200"/>
        <w:rPr>
          <w:rFonts w:hint="default" w:ascii="宋体" w:hAnsi="宋体" w:eastAsia="宋体" w:cs="宋体"/>
          <w:color w:val="auto"/>
          <w:sz w:val="24"/>
          <w:szCs w:val="24"/>
          <w:lang w:val="en-US"/>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产量大，对市场供应影响明显（4人）</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产量一般，</w:t>
      </w:r>
      <w:r>
        <w:rPr>
          <w:rFonts w:hint="eastAsia" w:ascii="宋体" w:hAnsi="宋体" w:eastAsia="宋体" w:cs="宋体"/>
          <w:color w:val="auto"/>
          <w:sz w:val="24"/>
          <w:szCs w:val="24"/>
        </w:rPr>
        <w:t>影响一般</w:t>
      </w:r>
      <w:r>
        <w:rPr>
          <w:rFonts w:hint="eastAsia" w:ascii="宋体" w:hAnsi="宋体" w:eastAsia="宋体" w:cs="宋体"/>
          <w:color w:val="auto"/>
          <w:sz w:val="24"/>
          <w:szCs w:val="24"/>
          <w:lang w:val="en-US" w:eastAsia="zh-CN"/>
        </w:rPr>
        <w:t>（1人）</w:t>
      </w:r>
    </w:p>
    <w:p>
      <w:pPr>
        <w:pageBreakBefore w:val="0"/>
        <w:overflowPunct/>
        <w:topLinePunct w:val="0"/>
        <w:bidi w:val="0"/>
        <w:spacing w:line="576" w:lineRule="exact"/>
        <w:ind w:left="0" w:leftChars="0" w:firstLine="480" w:firstLineChars="200"/>
        <w:rPr>
          <w:rFonts w:hint="default" w:cs="Times New Roman"/>
          <w:color w:val="auto"/>
          <w:lang w:val="en-US" w:eastAsia="zh-CN"/>
        </w:rPr>
      </w:pPr>
      <w:r>
        <w:rPr>
          <w:rFonts w:hint="eastAsia" w:ascii="宋体" w:hAnsi="宋体" w:eastAsia="宋体" w:cs="宋体"/>
          <w:color w:val="auto"/>
          <w:sz w:val="24"/>
          <w:szCs w:val="24"/>
        </w:rPr>
        <w:t>C.</w:t>
      </w:r>
      <w:r>
        <w:rPr>
          <w:rFonts w:hint="eastAsia" w:ascii="宋体" w:hAnsi="宋体" w:eastAsia="宋体" w:cs="宋体"/>
          <w:color w:val="auto"/>
          <w:sz w:val="24"/>
          <w:szCs w:val="24"/>
          <w:lang w:val="en-US" w:eastAsia="zh-CN"/>
        </w:rPr>
        <w:t xml:space="preserve">产量不大，没有什么影响（0人）        </w:t>
      </w:r>
      <w:r>
        <w:rPr>
          <w:rFonts w:hint="eastAsia" w:ascii="宋体" w:hAnsi="宋体" w:eastAsia="宋体" w:cs="宋体"/>
          <w:color w:val="auto"/>
          <w:sz w:val="24"/>
          <w:szCs w:val="24"/>
        </w:rPr>
        <w:t>D.</w:t>
      </w:r>
      <w:r>
        <w:rPr>
          <w:rFonts w:hint="eastAsia" w:ascii="宋体" w:hAnsi="宋体" w:eastAsia="宋体" w:cs="宋体"/>
          <w:color w:val="auto"/>
          <w:sz w:val="24"/>
          <w:szCs w:val="24"/>
          <w:lang w:val="en-US" w:eastAsia="zh-CN"/>
        </w:rPr>
        <w:t>不知道（0人）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您认为温室蔬菜对</w:t>
      </w:r>
      <w:r>
        <w:rPr>
          <w:rFonts w:hint="eastAsia" w:ascii="宋体" w:hAnsi="宋体" w:eastAsia="宋体" w:cs="宋体"/>
          <w:color w:val="auto"/>
          <w:sz w:val="24"/>
          <w:szCs w:val="24"/>
        </w:rPr>
        <w:t>稳定</w:t>
      </w:r>
      <w:r>
        <w:rPr>
          <w:rFonts w:hint="eastAsia" w:ascii="宋体" w:hAnsi="宋体" w:eastAsia="宋体" w:cs="宋体"/>
          <w:color w:val="auto"/>
          <w:sz w:val="24"/>
          <w:szCs w:val="24"/>
          <w:lang w:val="en-US" w:eastAsia="zh-CN"/>
        </w:rPr>
        <w:t>市场</w:t>
      </w:r>
      <w:r>
        <w:rPr>
          <w:rFonts w:hint="eastAsia" w:ascii="宋体" w:hAnsi="宋体" w:eastAsia="宋体" w:cs="宋体"/>
          <w:color w:val="auto"/>
          <w:sz w:val="24"/>
          <w:szCs w:val="24"/>
        </w:rPr>
        <w:t>蔬菜价格影响</w:t>
      </w:r>
      <w:r>
        <w:rPr>
          <w:rFonts w:hint="eastAsia" w:ascii="宋体" w:hAnsi="宋体" w:eastAsia="宋体" w:cs="宋体"/>
          <w:color w:val="auto"/>
          <w:sz w:val="24"/>
          <w:szCs w:val="24"/>
          <w:lang w:val="en-US" w:eastAsia="zh-CN"/>
        </w:rPr>
        <w:t>如何</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A.明显</w:t>
      </w:r>
      <w:r>
        <w:rPr>
          <w:rFonts w:hint="eastAsia" w:ascii="宋体" w:hAnsi="宋体" w:eastAsia="宋体" w:cs="宋体"/>
          <w:color w:val="auto"/>
          <w:sz w:val="24"/>
          <w:szCs w:val="24"/>
          <w:lang w:val="en-US" w:eastAsia="zh-CN"/>
        </w:rPr>
        <w:t xml:space="preserve">（3人）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B.一般</w:t>
      </w:r>
      <w:r>
        <w:rPr>
          <w:rFonts w:hint="eastAsia" w:ascii="宋体" w:hAnsi="宋体" w:eastAsia="宋体" w:cs="宋体"/>
          <w:color w:val="auto"/>
          <w:sz w:val="24"/>
          <w:szCs w:val="24"/>
          <w:lang w:val="en-US" w:eastAsia="zh-CN"/>
        </w:rPr>
        <w:t>（2人）</w:t>
      </w:r>
    </w:p>
    <w:p>
      <w:pPr>
        <w:pageBreakBefore w:val="0"/>
        <w:overflowPunct/>
        <w:topLinePunct w:val="0"/>
        <w:bidi w:val="0"/>
        <w:spacing w:line="576" w:lineRule="exact"/>
        <w:ind w:left="0" w:leftChars="0" w:firstLine="480" w:firstLineChars="200"/>
        <w:rPr>
          <w:rFonts w:hint="default" w:ascii="宋体" w:hAnsi="宋体" w:eastAsia="宋体" w:cs="宋体"/>
          <w:color w:val="auto"/>
          <w:sz w:val="24"/>
          <w:szCs w:val="24"/>
          <w:lang w:val="en-US"/>
        </w:rPr>
      </w:pP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不</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 xml:space="preserve">（0人）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D.无影响（0人）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您认为</w:t>
      </w:r>
      <w:r>
        <w:rPr>
          <w:rFonts w:hint="eastAsia" w:ascii="宋体" w:hAnsi="宋体" w:eastAsia="宋体" w:cs="宋体"/>
          <w:color w:val="auto"/>
          <w:sz w:val="24"/>
          <w:szCs w:val="24"/>
        </w:rPr>
        <w:t>总寨塬</w:t>
      </w:r>
      <w:r>
        <w:rPr>
          <w:rFonts w:hint="eastAsia" w:ascii="宋体" w:hAnsi="宋体" w:eastAsia="宋体" w:cs="宋体"/>
          <w:color w:val="auto"/>
          <w:sz w:val="24"/>
          <w:szCs w:val="24"/>
          <w:lang w:val="en-US" w:eastAsia="zh-CN"/>
        </w:rPr>
        <w:t>温室园区道路工程和排水设施修建后</w:t>
      </w:r>
      <w:r>
        <w:rPr>
          <w:rFonts w:hint="eastAsia" w:ascii="宋体" w:hAnsi="宋体" w:eastAsia="宋体" w:cs="宋体"/>
          <w:color w:val="auto"/>
          <w:sz w:val="24"/>
          <w:szCs w:val="24"/>
        </w:rPr>
        <w:t>对园区农业生产环境</w:t>
      </w:r>
      <w:r>
        <w:rPr>
          <w:rFonts w:hint="eastAsia" w:ascii="宋体" w:hAnsi="宋体" w:eastAsia="宋体" w:cs="宋体"/>
          <w:color w:val="auto"/>
          <w:sz w:val="24"/>
          <w:szCs w:val="24"/>
          <w:lang w:val="en-US" w:eastAsia="zh-CN"/>
        </w:rPr>
        <w:t>的改善效果如何</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非常</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 xml:space="preserve">（5人）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较明显（0人）</w:t>
      </w:r>
    </w:p>
    <w:p>
      <w:pPr>
        <w:pageBreakBefore w:val="0"/>
        <w:overflowPunct/>
        <w:topLinePunct w:val="0"/>
        <w:bidi w:val="0"/>
        <w:spacing w:line="576" w:lineRule="exact"/>
        <w:ind w:left="0" w:leftChars="0" w:firstLine="480" w:firstLineChars="200"/>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有但不</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（0人）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r>
        <w:rPr>
          <w:rFonts w:hint="default" w:ascii="宋体" w:hAnsi="宋体" w:eastAsia="宋体" w:cs="宋体"/>
          <w:color w:val="auto"/>
          <w:sz w:val="24"/>
          <w:szCs w:val="24"/>
        </w:rPr>
        <w:t>D</w:t>
      </w:r>
      <w:r>
        <w:rPr>
          <w:rFonts w:hint="eastAsia" w:ascii="宋体" w:hAnsi="宋体" w:eastAsia="宋体" w:cs="宋体"/>
          <w:color w:val="auto"/>
          <w:sz w:val="24"/>
          <w:szCs w:val="24"/>
        </w:rPr>
        <w:t>.</w:t>
      </w:r>
      <w:r>
        <w:rPr>
          <w:rFonts w:hint="default" w:ascii="宋体" w:hAnsi="宋体" w:eastAsia="宋体" w:cs="宋体"/>
          <w:color w:val="auto"/>
          <w:sz w:val="24"/>
          <w:szCs w:val="24"/>
        </w:rPr>
        <w:t>无改善</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0" w:firstLineChars="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您所种植的大棚一年可以种几茬蔬菜</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 xml:space="preserve">1茬（0人）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B.2茬（5人）    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3茬（0人）    D</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4茬（0人）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.项目</w:t>
      </w:r>
      <w:r>
        <w:rPr>
          <w:rFonts w:hint="eastAsia" w:ascii="宋体" w:hAnsi="宋体" w:eastAsia="宋体" w:cs="宋体"/>
          <w:color w:val="auto"/>
          <w:sz w:val="24"/>
          <w:szCs w:val="24"/>
          <w:lang w:val="en-US" w:eastAsia="zh-CN"/>
        </w:rPr>
        <w:t>的实施对您的生活有没有改变（比如生活水平、幸福感等）</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非常</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 xml:space="preserve">（2人）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较明显（3人）</w:t>
      </w:r>
    </w:p>
    <w:p>
      <w:pPr>
        <w:pageBreakBefore w:val="0"/>
        <w:overflowPunct/>
        <w:topLinePunct w:val="0"/>
        <w:bidi w:val="0"/>
        <w:spacing w:line="576" w:lineRule="exact"/>
        <w:ind w:left="0" w:leftChars="0" w:firstLine="480" w:firstLineChars="200"/>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有但不</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 xml:space="preserve">（0人）             </w:t>
      </w:r>
      <w:r>
        <w:rPr>
          <w:rFonts w:hint="default" w:ascii="宋体" w:hAnsi="宋体" w:eastAsia="宋体" w:cs="宋体"/>
          <w:color w:val="auto"/>
          <w:sz w:val="24"/>
          <w:szCs w:val="24"/>
        </w:rPr>
        <w:t>D</w:t>
      </w:r>
      <w:r>
        <w:rPr>
          <w:rFonts w:hint="eastAsia" w:ascii="宋体" w:hAnsi="宋体" w:eastAsia="宋体" w:cs="宋体"/>
          <w:color w:val="auto"/>
          <w:sz w:val="24"/>
          <w:szCs w:val="24"/>
        </w:rPr>
        <w:t>.</w:t>
      </w:r>
      <w:r>
        <w:rPr>
          <w:rFonts w:hint="default" w:ascii="宋体" w:hAnsi="宋体" w:eastAsia="宋体" w:cs="宋体"/>
          <w:color w:val="auto"/>
          <w:sz w:val="24"/>
          <w:szCs w:val="24"/>
        </w:rPr>
        <w:t>无改善</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您认为</w:t>
      </w:r>
      <w:r>
        <w:rPr>
          <w:rFonts w:hint="eastAsia" w:ascii="宋体" w:hAnsi="宋体" w:eastAsia="宋体" w:cs="宋体"/>
          <w:color w:val="auto"/>
          <w:sz w:val="24"/>
          <w:szCs w:val="24"/>
        </w:rPr>
        <w:t>项目</w:t>
      </w:r>
      <w:r>
        <w:rPr>
          <w:rFonts w:hint="eastAsia" w:ascii="宋体" w:hAnsi="宋体" w:eastAsia="宋体" w:cs="宋体"/>
          <w:color w:val="auto"/>
          <w:sz w:val="24"/>
          <w:szCs w:val="24"/>
          <w:lang w:val="en-US" w:eastAsia="zh-CN"/>
        </w:rPr>
        <w:t>的实施有没有提高您的种植积极性</w:t>
      </w:r>
      <w:r>
        <w:rPr>
          <w:rFonts w:hint="eastAsia" w:ascii="宋体" w:hAnsi="宋体" w:eastAsia="宋体" w:cs="宋体"/>
          <w:color w:val="auto"/>
          <w:sz w:val="24"/>
          <w:szCs w:val="24"/>
        </w:rPr>
        <w:t>？</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非常</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 xml:space="preserve">（4人）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较明显（1人）</w:t>
      </w:r>
    </w:p>
    <w:p>
      <w:pPr>
        <w:pageBreakBefore w:val="0"/>
        <w:overflowPunct/>
        <w:topLinePunct w:val="0"/>
        <w:bidi w:val="0"/>
        <w:spacing w:line="576" w:lineRule="exact"/>
        <w:ind w:left="0" w:leftChars="0" w:firstLine="480" w:firstLineChars="200"/>
        <w:rPr>
          <w:rFonts w:hint="default" w:ascii="宋体" w:hAnsi="宋体" w:eastAsia="宋体" w:cs="宋体"/>
          <w:color w:val="auto"/>
          <w:sz w:val="24"/>
          <w:szCs w:val="24"/>
        </w:rPr>
      </w:pP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有但不</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 xml:space="preserve">（0人）            </w:t>
      </w:r>
      <w:r>
        <w:rPr>
          <w:rFonts w:hint="eastAsia" w:ascii="宋体" w:hAnsi="宋体" w:eastAsia="宋体" w:cs="宋体"/>
          <w:color w:val="auto"/>
          <w:sz w:val="24"/>
          <w:szCs w:val="24"/>
        </w:rPr>
        <w:t xml:space="preserve"> </w:t>
      </w:r>
      <w:r>
        <w:rPr>
          <w:rFonts w:hint="default" w:ascii="宋体" w:hAnsi="宋体" w:eastAsia="宋体" w:cs="宋体"/>
          <w:color w:val="auto"/>
          <w:sz w:val="24"/>
          <w:szCs w:val="24"/>
        </w:rPr>
        <w:t>D</w:t>
      </w:r>
      <w:r>
        <w:rPr>
          <w:rFonts w:hint="eastAsia" w:ascii="宋体" w:hAnsi="宋体" w:eastAsia="宋体" w:cs="宋体"/>
          <w:color w:val="auto"/>
          <w:sz w:val="24"/>
          <w:szCs w:val="24"/>
        </w:rPr>
        <w:t>.</w:t>
      </w:r>
      <w:r>
        <w:rPr>
          <w:rFonts w:hint="default" w:ascii="宋体" w:hAnsi="宋体" w:eastAsia="宋体" w:cs="宋体"/>
          <w:color w:val="auto"/>
          <w:sz w:val="24"/>
          <w:szCs w:val="24"/>
        </w:rPr>
        <w:t>无改善</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15.您认为项目实施对推动本地绿色农业发展有没有作用？</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w:t>
      </w:r>
      <w:r>
        <w:rPr>
          <w:rFonts w:hint="eastAsia" w:ascii="宋体" w:hAnsi="宋体" w:eastAsia="宋体" w:cs="宋体"/>
          <w:color w:val="auto"/>
          <w:sz w:val="24"/>
          <w:szCs w:val="24"/>
          <w:lang w:val="en-US" w:eastAsia="zh-CN"/>
        </w:rPr>
        <w:t>作用</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 xml:space="preserve">（5人）  </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w:t>
      </w:r>
      <w:r>
        <w:rPr>
          <w:rFonts w:hint="eastAsia" w:ascii="宋体" w:hAnsi="宋体" w:eastAsia="宋体" w:cs="宋体"/>
          <w:color w:val="auto"/>
          <w:sz w:val="24"/>
          <w:szCs w:val="24"/>
          <w:lang w:val="en-US" w:eastAsia="zh-CN"/>
        </w:rPr>
        <w:t>较明显（0人）</w:t>
      </w:r>
    </w:p>
    <w:p>
      <w:pPr>
        <w:pageBreakBefore w:val="0"/>
        <w:overflowPunct/>
        <w:topLinePunct w:val="0"/>
        <w:bidi w:val="0"/>
        <w:spacing w:line="576" w:lineRule="exact"/>
        <w:ind w:left="0" w:leftChars="0" w:firstLine="480" w:firstLineChars="200"/>
        <w:rPr>
          <w:rFonts w:hint="eastAsia" w:eastAsia="宋体" w:cs="Times New Roman"/>
          <w:color w:val="auto"/>
          <w:lang w:val="en-US" w:eastAsia="zh-CN"/>
        </w:rPr>
      </w:pP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有但不</w:t>
      </w:r>
      <w:r>
        <w:rPr>
          <w:rFonts w:hint="eastAsia" w:ascii="宋体" w:hAnsi="宋体" w:eastAsia="宋体" w:cs="宋体"/>
          <w:color w:val="auto"/>
          <w:sz w:val="24"/>
          <w:szCs w:val="24"/>
        </w:rPr>
        <w:t>明显</w:t>
      </w:r>
      <w:r>
        <w:rPr>
          <w:rFonts w:hint="eastAsia" w:ascii="宋体" w:hAnsi="宋体" w:eastAsia="宋体" w:cs="宋体"/>
          <w:color w:val="auto"/>
          <w:sz w:val="24"/>
          <w:szCs w:val="24"/>
          <w:lang w:val="en-US" w:eastAsia="zh-CN"/>
        </w:rPr>
        <w:t xml:space="preserve">（0人）            </w:t>
      </w:r>
      <w:r>
        <w:rPr>
          <w:rFonts w:hint="eastAsia" w:ascii="宋体" w:hAnsi="宋体" w:eastAsia="宋体" w:cs="宋体"/>
          <w:color w:val="auto"/>
          <w:sz w:val="24"/>
          <w:szCs w:val="24"/>
        </w:rPr>
        <w:t xml:space="preserve"> </w:t>
      </w:r>
      <w:r>
        <w:rPr>
          <w:rFonts w:hint="default" w:ascii="宋体" w:hAnsi="宋体" w:eastAsia="宋体" w:cs="宋体"/>
          <w:color w:val="auto"/>
          <w:sz w:val="24"/>
          <w:szCs w:val="24"/>
        </w:rPr>
        <w:t>D</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没作用（0人）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.您对于项目</w:t>
      </w:r>
      <w:r>
        <w:rPr>
          <w:rFonts w:hint="eastAsia" w:ascii="宋体" w:hAnsi="宋体" w:eastAsia="宋体" w:cs="宋体"/>
          <w:color w:val="auto"/>
          <w:sz w:val="24"/>
          <w:szCs w:val="24"/>
          <w:lang w:val="en-US" w:eastAsia="zh-CN"/>
        </w:rPr>
        <w:t>的实施</w:t>
      </w:r>
      <w:r>
        <w:rPr>
          <w:rFonts w:hint="eastAsia" w:ascii="宋体" w:hAnsi="宋体" w:eastAsia="宋体" w:cs="宋体"/>
          <w:color w:val="auto"/>
          <w:sz w:val="24"/>
          <w:szCs w:val="24"/>
        </w:rPr>
        <w:t>满意度如何？</w:t>
      </w:r>
    </w:p>
    <w:p>
      <w:pPr>
        <w:pageBreakBefore w:val="0"/>
        <w:overflowPunct/>
        <w:topLinePunct w:val="0"/>
        <w:bidi w:val="0"/>
        <w:spacing w:line="576" w:lineRule="exact"/>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A.满意</w:t>
      </w:r>
      <w:r>
        <w:rPr>
          <w:rFonts w:hint="eastAsia" w:ascii="宋体" w:hAnsi="宋体" w:eastAsia="宋体" w:cs="宋体"/>
          <w:color w:val="auto"/>
          <w:sz w:val="24"/>
          <w:szCs w:val="24"/>
          <w:lang w:val="en-US" w:eastAsia="zh-CN"/>
        </w:rPr>
        <w:t>（5人）</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B.一般</w:t>
      </w:r>
      <w:r>
        <w:rPr>
          <w:rFonts w:hint="eastAsia" w:ascii="宋体" w:hAnsi="宋体" w:eastAsia="宋体" w:cs="宋体"/>
          <w:color w:val="auto"/>
          <w:sz w:val="24"/>
          <w:szCs w:val="24"/>
          <w:lang w:val="en-US" w:eastAsia="zh-CN"/>
        </w:rPr>
        <w:t xml:space="preserve">（0人）       </w:t>
      </w:r>
      <w:r>
        <w:rPr>
          <w:rFonts w:hint="eastAsia" w:ascii="宋体" w:hAnsi="宋体" w:eastAsia="宋体" w:cs="宋体"/>
          <w:color w:val="auto"/>
          <w:sz w:val="24"/>
          <w:szCs w:val="24"/>
        </w:rPr>
        <w:t>D.不满意</w:t>
      </w:r>
      <w:r>
        <w:rPr>
          <w:rFonts w:hint="eastAsia" w:ascii="宋体" w:hAnsi="宋体" w:eastAsia="宋体" w:cs="宋体"/>
          <w:color w:val="auto"/>
          <w:sz w:val="24"/>
          <w:szCs w:val="24"/>
          <w:lang w:val="en-US" w:eastAsia="zh-CN"/>
        </w:rPr>
        <w:t>（0人）</w:t>
      </w:r>
    </w:p>
    <w:p>
      <w:pPr>
        <w:pageBreakBefore w:val="0"/>
        <w:overflowPunct/>
        <w:topLinePunct w:val="0"/>
        <w:bidi w:val="0"/>
        <w:spacing w:line="576" w:lineRule="exact"/>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rPr>
        <w:t>.您对项目的实施有什么意见和建议？</w:t>
      </w:r>
    </w:p>
    <w:p>
      <w:pPr>
        <w:pageBreakBefore w:val="0"/>
        <w:overflowPunct/>
        <w:topLinePunct w:val="0"/>
        <w:bidi w:val="0"/>
        <w:spacing w:line="576" w:lineRule="exact"/>
        <w:ind w:left="0" w:leftChars="0" w:firstLine="480" w:firstLineChars="200"/>
        <w:rPr>
          <w:rFonts w:hint="default" w:cs="Times New Roman"/>
          <w:color w:val="auto"/>
          <w:u w:val="none"/>
          <w:lang w:val="en-US" w:eastAsia="zh-CN"/>
        </w:rPr>
      </w:pPr>
      <w:r>
        <w:rPr>
          <w:rFonts w:hint="eastAsia" w:ascii="宋体" w:hAnsi="宋体" w:eastAsia="宋体" w:cs="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76835</wp:posOffset>
                </wp:positionH>
                <wp:positionV relativeFrom="paragraph">
                  <wp:posOffset>318135</wp:posOffset>
                </wp:positionV>
                <wp:extent cx="5027295" cy="0"/>
                <wp:effectExtent l="0" t="0" r="0" b="0"/>
                <wp:wrapNone/>
                <wp:docPr id="15" name="直接连接符 15"/>
                <wp:cNvGraphicFramePr/>
                <a:graphic xmlns:a="http://schemas.openxmlformats.org/drawingml/2006/main">
                  <a:graphicData uri="http://schemas.microsoft.com/office/word/2010/wordprocessingShape">
                    <wps:wsp>
                      <wps:cNvCnPr/>
                      <wps:spPr>
                        <a:xfrm>
                          <a:off x="0" y="0"/>
                          <a:ext cx="5027295" cy="0"/>
                        </a:xfrm>
                        <a:prstGeom prst="line">
                          <a:avLst/>
                        </a:prstGeom>
                        <a:noFill/>
                        <a:ln w="9525" cap="flat" cmpd="sng" algn="ctr">
                          <a:solidFill>
                            <a:sysClr val="windowText" lastClr="000000"/>
                          </a:solidFill>
                          <a:prstDash val="solid"/>
                        </a:ln>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05pt;margin-top:25.05pt;height:0pt;width:395.85pt;z-index:251676672;mso-width-relative:page;mso-height-relative:page;" filled="f" stroked="t" coordsize="21600,21600" o:gfxdata="UEsDBAoAAAAAAIdO4kAAAAAAAAAAAAAAAAAEAAAAZHJzL1BLAwQUAAAACACHTuJAmxYd9NQAAAAI&#10;AQAADwAAAGRycy9kb3ducmV2LnhtbE1Py07DMBC8I/UfrK3EjdopAlUhTqVWyglERQoHbm68TQLx&#10;OrXdB3/PIg5wWs3OaB7F8uIGccIQe08aspkCgdR421Or4XVb3SxAxGTImsETavjCCMtyclWY3Poz&#10;veCpTq1gE4q50dClNOZSxqZDZ+LMj0jM7X1wJjEMrbTBnNncDXKu1L10pidO6MyI6w6bz/roNOzx&#10;+e0xBjw8HTar96refLi22mp9Pc3UA4iEl/Qnhp/6XB1K7rTzR7JRDIznGSs13Cm+zC/ULU/Z/T5k&#10;Wcj/A8pvUEsDBBQAAAAIAIdO4kAiF5If9QEAANUDAAAOAAAAZHJzL2Uyb0RvYy54bWytU82O0zAQ&#10;viPxDpbvNNlIhd2o6R62Wi4IKrE8wKzjJJb8J4+3aV+CF0DiBieO3Hkblsdg7GRLWS57oAd37PF8&#10;M9/nL6vLvdFsJwMqZxt+tig5k1a4Vtm+4R9url+cc4YRbAvaWdnwg0R+uX7+bDX6WlZucLqVgRGI&#10;xXr0DR9i9HVRoBikAVw4Ly0lOxcMRNqGvmgDjIRudFGV5ctidKH1wQmJSKebKclnxPAUQNd1SsiN&#10;E3dG2jihBqkhEiUclEe+ztN2nRTxXdehjEw3nJjGvFITim/TWqxXUPcB/KDEPAI8ZYRHnAwoS02P&#10;UBuIwO6C+gfKKBEcui4uhDPFRCQrQizOykfavB/Ay8yFpEZ/FB3/H6x4u9sGplpywpIzC4Ze/P7T&#10;958fv/z68ZnW+29fGWVIptFjTbev7DbMO/TbkDjvu2DSP7Fh+yzt4Sit3Ecm6HBZVq+qC2ohHnLF&#10;n0IfML6WzrAUNFwrm1hDDbs3GKkZXX24ko6tu1Za55fTlo0Nv1hWCRnIjR25gELjiRHanjPQPdlc&#10;xJAR0WnVpuqEgwe80oHtgLxBBm3deEPjcqYBIyWIQ/4l8jTBX6VpnA3gMBXn1GQloyJ9HVqZhp+f&#10;VmubOsrsyJlUEnSSMEW3rj1kZYu0o9fOTWdnJjud7ik+/Rr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bFh301AAAAAgBAAAPAAAAAAAAAAEAIAAAACIAAABkcnMvZG93bnJldi54bWxQSwECFAAU&#10;AAAACACHTuJAIheSH/UBAADVAwAADgAAAAAAAAABACAAAAAjAQAAZHJzL2Uyb0RvYy54bWxQSwUG&#10;AAAAAAYABgBZAQAAigUAAAAA&#10;">
                <v:fill on="f" focussize="0,0"/>
                <v:stroke color="#000000 [3200]" miterlimit="8" joinstyle="miter"/>
                <v:imagedata o:title=""/>
                <o:lock v:ext="edit" aspectratio="f"/>
              </v:line>
            </w:pict>
          </mc:Fallback>
        </mc:AlternateContent>
      </w:r>
      <w:r>
        <w:rPr>
          <w:rFonts w:hint="eastAsia" w:ascii="宋体" w:hAnsi="宋体" w:eastAsia="宋体" w:cs="宋体"/>
          <w:color w:val="auto"/>
          <w:sz w:val="24"/>
          <w:szCs w:val="24"/>
          <w:u w:val="none"/>
          <w:lang w:val="en-US" w:eastAsia="zh-CN"/>
        </w:rPr>
        <w:t>排水满意，路面砂石有点少。</w:t>
      </w:r>
    </w:p>
    <w:p>
      <w:pPr>
        <w:pageBreakBefore w:val="0"/>
        <w:overflowPunct/>
        <w:topLinePunct w:val="0"/>
        <w:bidi w:val="0"/>
        <w:spacing w:line="576" w:lineRule="exact"/>
        <w:ind w:left="0" w:leftChars="0"/>
        <w:outlineLvl w:val="9"/>
        <w:rPr>
          <w:rFonts w:hint="eastAsia"/>
          <w:color w:val="auto"/>
          <w:lang w:eastAsia="zh-CN"/>
        </w:rPr>
        <w:sectPr>
          <w:pgSz w:w="11906" w:h="16838"/>
          <w:pgMar w:top="2098" w:right="1474" w:bottom="1984" w:left="1587" w:header="851" w:footer="992" w:gutter="0"/>
          <w:pgNumType w:fmt="numberInDash"/>
          <w:cols w:space="425" w:num="1"/>
          <w:docGrid w:type="lines" w:linePitch="312" w:charSpace="0"/>
        </w:sectPr>
      </w:pPr>
    </w:p>
    <w:bookmarkEnd w:id="1158"/>
    <w:bookmarkEnd w:id="1159"/>
    <w:bookmarkEnd w:id="1160"/>
    <w:bookmarkEnd w:id="1161"/>
    <w:p>
      <w:pPr>
        <w:pageBreakBefore w:val="0"/>
        <w:overflowPunct/>
        <w:topLinePunct w:val="0"/>
        <w:bidi w:val="0"/>
        <w:spacing w:line="576" w:lineRule="exact"/>
        <w:ind w:left="0" w:leftChars="0" w:firstLine="0" w:firstLineChars="0"/>
        <w:jc w:val="both"/>
        <w:outlineLvl w:val="9"/>
        <w:rPr>
          <w:rFonts w:hint="eastAsia"/>
          <w:color w:val="auto"/>
          <w:lang w:eastAsia="zh-CN"/>
        </w:rPr>
      </w:pPr>
      <w:r>
        <w:rPr>
          <w:rFonts w:hint="eastAsia"/>
          <w:color w:val="auto"/>
          <w:lang w:eastAsia="zh-CN"/>
        </w:rPr>
        <w:drawing>
          <wp:anchor distT="0" distB="0" distL="114300" distR="114300" simplePos="0" relativeHeight="251677696" behindDoc="0" locked="0" layoutInCell="1" allowOverlap="1">
            <wp:simplePos x="0" y="0"/>
            <wp:positionH relativeFrom="column">
              <wp:posOffset>-13970</wp:posOffset>
            </wp:positionH>
            <wp:positionV relativeFrom="paragraph">
              <wp:posOffset>173990</wp:posOffset>
            </wp:positionV>
            <wp:extent cx="5292090" cy="7703820"/>
            <wp:effectExtent l="0" t="0" r="3810" b="11430"/>
            <wp:wrapSquare wrapText="bothSides"/>
            <wp:docPr id="16" name="图片 16" descr="西宁市城中区总寨塬智能温室园区道路和排水工程项目(1)_00"/>
            <wp:cNvGraphicFramePr/>
            <a:graphic xmlns:a="http://schemas.openxmlformats.org/drawingml/2006/main">
              <a:graphicData uri="http://schemas.openxmlformats.org/drawingml/2006/picture">
                <pic:pic xmlns:pic="http://schemas.openxmlformats.org/drawingml/2006/picture">
                  <pic:nvPicPr>
                    <pic:cNvPr id="16" name="图片 16" descr="西宁市城中区总寨塬智能温室园区道路和排水工程项目(1)_00"/>
                    <pic:cNvPicPr/>
                  </pic:nvPicPr>
                  <pic:blipFill>
                    <a:blip r:embed="rId203"/>
                    <a:stretch>
                      <a:fillRect/>
                    </a:stretch>
                  </pic:blipFill>
                  <pic:spPr>
                    <a:xfrm>
                      <a:off x="0" y="0"/>
                      <a:ext cx="5292090" cy="7703820"/>
                    </a:xfrm>
                    <a:prstGeom prst="rect">
                      <a:avLst/>
                    </a:prstGeom>
                  </pic:spPr>
                </pic:pic>
              </a:graphicData>
            </a:graphic>
          </wp:anchor>
        </w:drawing>
      </w:r>
    </w:p>
    <w:p>
      <w:pPr>
        <w:pStyle w:val="2"/>
        <w:pageBreakBefore w:val="0"/>
        <w:overflowPunct/>
        <w:topLinePunct w:val="0"/>
        <w:bidi w:val="0"/>
        <w:spacing w:line="720" w:lineRule="auto"/>
        <w:ind w:left="0" w:leftChars="0" w:firstLine="0" w:firstLineChars="0"/>
        <w:outlineLvl w:val="9"/>
        <w:rPr>
          <w:rFonts w:hint="eastAsia"/>
          <w:color w:val="auto"/>
          <w:lang w:eastAsia="zh-CN"/>
        </w:rPr>
      </w:pPr>
      <w:r>
        <w:rPr>
          <w:rFonts w:hint="eastAsia"/>
          <w:color w:val="auto"/>
          <w:lang w:eastAsia="zh-CN"/>
        </w:rPr>
        <w:drawing>
          <wp:inline distT="0" distB="0" distL="114300" distR="114300">
            <wp:extent cx="5286375" cy="7703820"/>
            <wp:effectExtent l="0" t="0" r="9525" b="11430"/>
            <wp:docPr id="17" name="图片 17" descr="西宁市城中区总寨塬智能温室园区道路和排水工程项目(1)_01"/>
            <wp:cNvGraphicFramePr/>
            <a:graphic xmlns:a="http://schemas.openxmlformats.org/drawingml/2006/main">
              <a:graphicData uri="http://schemas.openxmlformats.org/drawingml/2006/picture">
                <pic:pic xmlns:pic="http://schemas.openxmlformats.org/drawingml/2006/picture">
                  <pic:nvPicPr>
                    <pic:cNvPr id="17" name="图片 17" descr="西宁市城中区总寨塬智能温室园区道路和排水工程项目(1)_01"/>
                    <pic:cNvPicPr/>
                  </pic:nvPicPr>
                  <pic:blipFill>
                    <a:blip r:embed="rId204"/>
                    <a:stretch>
                      <a:fillRect/>
                    </a:stretch>
                  </pic:blipFill>
                  <pic:spPr>
                    <a:xfrm>
                      <a:off x="0" y="0"/>
                      <a:ext cx="5286375" cy="7703820"/>
                    </a:xfrm>
                    <a:prstGeom prst="rect">
                      <a:avLst/>
                    </a:prstGeom>
                  </pic:spPr>
                </pic:pic>
              </a:graphicData>
            </a:graphic>
          </wp:inline>
        </w:drawing>
      </w:r>
    </w:p>
    <w:p>
      <w:pPr>
        <w:keepNext/>
        <w:keepLines/>
        <w:pageBreakBefore w:val="0"/>
        <w:widowControl w:val="0"/>
        <w:kinsoku/>
        <w:wordWrap/>
        <w:overflowPunct/>
        <w:topLinePunct w:val="0"/>
        <w:autoSpaceDE/>
        <w:autoSpaceDN/>
        <w:bidi w:val="0"/>
        <w:adjustRightInd/>
        <w:snapToGrid/>
        <w:spacing w:before="0" w:line="720" w:lineRule="auto"/>
        <w:ind w:left="0" w:leftChars="0" w:firstLine="0" w:firstLineChars="0"/>
        <w:jc w:val="both"/>
        <w:textAlignment w:val="auto"/>
        <w:outlineLvl w:val="0"/>
        <w:rPr>
          <w:rFonts w:hint="eastAsia"/>
          <w:color w:val="auto"/>
          <w:lang w:eastAsia="zh-CN"/>
        </w:rPr>
        <w:sectPr>
          <w:pgSz w:w="11906" w:h="16838"/>
          <w:pgMar w:top="2098" w:right="1474" w:bottom="1984" w:left="1587" w:header="680" w:footer="992" w:gutter="0"/>
          <w:pgBorders>
            <w:top w:val="none" w:sz="0" w:space="0"/>
            <w:left w:val="none" w:sz="0" w:space="0"/>
            <w:bottom w:val="none" w:sz="0" w:space="0"/>
            <w:right w:val="none" w:sz="0" w:space="0"/>
          </w:pgBorders>
          <w:pgNumType w:fmt="numberInDash"/>
          <w:cols w:space="425" w:num="1"/>
          <w:docGrid w:type="lines" w:linePitch="312" w:charSpace="0"/>
        </w:sectPr>
      </w:pPr>
      <w:bookmarkStart w:id="1168" w:name="_Toc29442"/>
      <w:bookmarkStart w:id="1169" w:name="_Toc19941"/>
      <w:r>
        <w:rPr>
          <w:rFonts w:hint="eastAsia"/>
          <w:color w:val="auto"/>
          <w:lang w:eastAsia="zh-CN"/>
        </w:rPr>
        <w:drawing>
          <wp:inline distT="0" distB="0" distL="114300" distR="114300">
            <wp:extent cx="5292090" cy="7634605"/>
            <wp:effectExtent l="0" t="0" r="3810" b="4445"/>
            <wp:docPr id="18" name="图片 18" descr="西宁市城中区总寨塬智能温室园区道路和排水工程项目_00"/>
            <wp:cNvGraphicFramePr/>
            <a:graphic xmlns:a="http://schemas.openxmlformats.org/drawingml/2006/main">
              <a:graphicData uri="http://schemas.openxmlformats.org/drawingml/2006/picture">
                <pic:pic xmlns:pic="http://schemas.openxmlformats.org/drawingml/2006/picture">
                  <pic:nvPicPr>
                    <pic:cNvPr id="18" name="图片 18" descr="西宁市城中区总寨塬智能温室园区道路和排水工程项目_00"/>
                    <pic:cNvPicPr/>
                  </pic:nvPicPr>
                  <pic:blipFill>
                    <a:blip r:embed="rId205"/>
                    <a:stretch>
                      <a:fillRect/>
                    </a:stretch>
                  </pic:blipFill>
                  <pic:spPr>
                    <a:xfrm>
                      <a:off x="0" y="0"/>
                      <a:ext cx="5292090" cy="7634605"/>
                    </a:xfrm>
                    <a:prstGeom prst="rect">
                      <a:avLst/>
                    </a:prstGeom>
                  </pic:spPr>
                </pic:pic>
              </a:graphicData>
            </a:graphic>
          </wp:inline>
        </w:drawing>
      </w:r>
      <w:r>
        <w:rPr>
          <w:rFonts w:hint="eastAsia"/>
          <w:color w:val="auto"/>
          <w:lang w:eastAsia="zh-CN"/>
        </w:rPr>
        <w:drawing>
          <wp:inline distT="0" distB="0" distL="114300" distR="114300">
            <wp:extent cx="5292090" cy="7703820"/>
            <wp:effectExtent l="0" t="0" r="3810" b="11430"/>
            <wp:docPr id="19" name="图片 19" descr="西宁市城中区总寨塬智能温室园区道路和排水工程项目_01"/>
            <wp:cNvGraphicFramePr/>
            <a:graphic xmlns:a="http://schemas.openxmlformats.org/drawingml/2006/main">
              <a:graphicData uri="http://schemas.openxmlformats.org/drawingml/2006/picture">
                <pic:pic xmlns:pic="http://schemas.openxmlformats.org/drawingml/2006/picture">
                  <pic:nvPicPr>
                    <pic:cNvPr id="19" name="图片 19" descr="西宁市城中区总寨塬智能温室园区道路和排水工程项目_01"/>
                    <pic:cNvPicPr/>
                  </pic:nvPicPr>
                  <pic:blipFill>
                    <a:blip r:embed="rId206"/>
                    <a:stretch>
                      <a:fillRect/>
                    </a:stretch>
                  </pic:blipFill>
                  <pic:spPr>
                    <a:xfrm>
                      <a:off x="0" y="0"/>
                      <a:ext cx="5292090" cy="7703820"/>
                    </a:xfrm>
                    <a:prstGeom prst="rect">
                      <a:avLst/>
                    </a:prstGeom>
                  </pic:spPr>
                </pic:pic>
              </a:graphicData>
            </a:graphic>
          </wp:inline>
        </w:drawing>
      </w:r>
      <w:bookmarkEnd w:id="1168"/>
      <w:bookmarkEnd w:id="1169"/>
    </w:p>
    <w:p>
      <w:pPr>
        <w:keepNext/>
        <w:keepLines/>
        <w:pageBreakBefore w:val="0"/>
        <w:widowControl w:val="0"/>
        <w:kinsoku/>
        <w:wordWrap/>
        <w:overflowPunct/>
        <w:topLinePunct w:val="0"/>
        <w:autoSpaceDE/>
        <w:autoSpaceDN/>
        <w:bidi w:val="0"/>
        <w:adjustRightInd/>
        <w:snapToGrid/>
        <w:spacing w:before="0" w:line="720" w:lineRule="auto"/>
        <w:ind w:left="0" w:leftChars="0" w:firstLine="0" w:firstLineChars="0"/>
        <w:jc w:val="both"/>
        <w:textAlignment w:val="auto"/>
        <w:outlineLvl w:val="0"/>
        <w:rPr>
          <w:rFonts w:hint="eastAsia"/>
          <w:color w:val="auto"/>
          <w:lang w:val="en-US" w:eastAsia="zh-CN"/>
        </w:rPr>
        <w:sectPr>
          <w:pgSz w:w="11906" w:h="16838"/>
          <w:pgMar w:top="2098" w:right="1474" w:bottom="1984" w:left="1587" w:header="680" w:footer="992" w:gutter="0"/>
          <w:pgBorders>
            <w:top w:val="none" w:sz="0" w:space="0"/>
            <w:left w:val="none" w:sz="0" w:space="0"/>
            <w:bottom w:val="none" w:sz="0" w:space="0"/>
            <w:right w:val="none" w:sz="0" w:space="0"/>
          </w:pgBorders>
          <w:pgNumType w:fmt="numberInDash"/>
          <w:cols w:space="425" w:num="1"/>
          <w:docGrid w:type="lines" w:linePitch="312" w:charSpace="0"/>
        </w:sectPr>
      </w:pPr>
      <w:bookmarkStart w:id="1170" w:name="_Toc20558"/>
      <w:bookmarkStart w:id="1171" w:name="_Toc28172"/>
      <w:r>
        <w:rPr>
          <w:rFonts w:hint="eastAsia"/>
          <w:color w:val="auto"/>
          <w:lang w:eastAsia="zh-CN"/>
        </w:rPr>
        <w:drawing>
          <wp:inline distT="0" distB="0" distL="114300" distR="114300">
            <wp:extent cx="5292090" cy="7703820"/>
            <wp:effectExtent l="0" t="0" r="3810" b="11430"/>
            <wp:docPr id="20" name="图片 20" descr="西宁市城中区总寨塬智能温室园区道路和排水工程项目(7)_00"/>
            <wp:cNvGraphicFramePr/>
            <a:graphic xmlns:a="http://schemas.openxmlformats.org/drawingml/2006/main">
              <a:graphicData uri="http://schemas.openxmlformats.org/drawingml/2006/picture">
                <pic:pic xmlns:pic="http://schemas.openxmlformats.org/drawingml/2006/picture">
                  <pic:nvPicPr>
                    <pic:cNvPr id="20" name="图片 20" descr="西宁市城中区总寨塬智能温室园区道路和排水工程项目(7)_00"/>
                    <pic:cNvPicPr/>
                  </pic:nvPicPr>
                  <pic:blipFill>
                    <a:blip r:embed="rId207"/>
                    <a:stretch>
                      <a:fillRect/>
                    </a:stretch>
                  </pic:blipFill>
                  <pic:spPr>
                    <a:xfrm>
                      <a:off x="0" y="0"/>
                      <a:ext cx="5292090" cy="7703820"/>
                    </a:xfrm>
                    <a:prstGeom prst="rect">
                      <a:avLst/>
                    </a:prstGeom>
                  </pic:spPr>
                </pic:pic>
              </a:graphicData>
            </a:graphic>
          </wp:inline>
        </w:drawing>
      </w:r>
      <w:r>
        <w:rPr>
          <w:rFonts w:hint="eastAsia"/>
          <w:color w:val="auto"/>
          <w:lang w:eastAsia="zh-CN"/>
        </w:rPr>
        <w:drawing>
          <wp:inline distT="0" distB="0" distL="114300" distR="114300">
            <wp:extent cx="5292090" cy="7703820"/>
            <wp:effectExtent l="0" t="0" r="3810" b="11430"/>
            <wp:docPr id="365" name="图片 365" descr="西宁市城中区总寨塬智能温室园区道路和排水工程项目(7)_01"/>
            <wp:cNvGraphicFramePr/>
            <a:graphic xmlns:a="http://schemas.openxmlformats.org/drawingml/2006/main">
              <a:graphicData uri="http://schemas.openxmlformats.org/drawingml/2006/picture">
                <pic:pic xmlns:pic="http://schemas.openxmlformats.org/drawingml/2006/picture">
                  <pic:nvPicPr>
                    <pic:cNvPr id="365" name="图片 365" descr="西宁市城中区总寨塬智能温室园区道路和排水工程项目(7)_01"/>
                    <pic:cNvPicPr/>
                  </pic:nvPicPr>
                  <pic:blipFill>
                    <a:blip r:embed="rId208"/>
                    <a:stretch>
                      <a:fillRect/>
                    </a:stretch>
                  </pic:blipFill>
                  <pic:spPr>
                    <a:xfrm>
                      <a:off x="0" y="0"/>
                      <a:ext cx="5292090" cy="7703820"/>
                    </a:xfrm>
                    <a:prstGeom prst="rect">
                      <a:avLst/>
                    </a:prstGeom>
                  </pic:spPr>
                </pic:pic>
              </a:graphicData>
            </a:graphic>
          </wp:inline>
        </w:drawing>
      </w:r>
      <w:r>
        <w:rPr>
          <w:rFonts w:hint="eastAsia"/>
          <w:color w:val="auto"/>
          <w:lang w:eastAsia="zh-CN"/>
        </w:rPr>
        <w:drawing>
          <wp:inline distT="0" distB="0" distL="114300" distR="114300">
            <wp:extent cx="5292090" cy="7703820"/>
            <wp:effectExtent l="0" t="0" r="3810" b="11430"/>
            <wp:docPr id="27" name="图片 27" descr="西宁市城中区总寨塬智能温室园区道路和排水工程项目(6)_01"/>
            <wp:cNvGraphicFramePr/>
            <a:graphic xmlns:a="http://schemas.openxmlformats.org/drawingml/2006/main">
              <a:graphicData uri="http://schemas.openxmlformats.org/drawingml/2006/picture">
                <pic:pic xmlns:pic="http://schemas.openxmlformats.org/drawingml/2006/picture">
                  <pic:nvPicPr>
                    <pic:cNvPr id="27" name="图片 27" descr="西宁市城中区总寨塬智能温室园区道路和排水工程项目(6)_01"/>
                    <pic:cNvPicPr/>
                  </pic:nvPicPr>
                  <pic:blipFill>
                    <a:blip r:embed="rId209"/>
                    <a:stretch>
                      <a:fillRect/>
                    </a:stretch>
                  </pic:blipFill>
                  <pic:spPr>
                    <a:xfrm>
                      <a:off x="0" y="0"/>
                      <a:ext cx="5292090" cy="7703820"/>
                    </a:xfrm>
                    <a:prstGeom prst="rect">
                      <a:avLst/>
                    </a:prstGeom>
                  </pic:spPr>
                </pic:pic>
              </a:graphicData>
            </a:graphic>
          </wp:inline>
        </w:drawing>
      </w:r>
      <w:r>
        <w:rPr>
          <w:rFonts w:hint="eastAsia"/>
          <w:color w:val="auto"/>
          <w:lang w:eastAsia="zh-CN"/>
        </w:rPr>
        <w:drawing>
          <wp:inline distT="0" distB="0" distL="114300" distR="114300">
            <wp:extent cx="5292090" cy="7703820"/>
            <wp:effectExtent l="0" t="0" r="3810" b="11430"/>
            <wp:docPr id="28" name="图片 28" descr="西宁市城中区总寨塬智能温室园区道路和排水工程项目(6)_02"/>
            <wp:cNvGraphicFramePr/>
            <a:graphic xmlns:a="http://schemas.openxmlformats.org/drawingml/2006/main">
              <a:graphicData uri="http://schemas.openxmlformats.org/drawingml/2006/picture">
                <pic:pic xmlns:pic="http://schemas.openxmlformats.org/drawingml/2006/picture">
                  <pic:nvPicPr>
                    <pic:cNvPr id="28" name="图片 28" descr="西宁市城中区总寨塬智能温室园区道路和排水工程项目(6)_02"/>
                    <pic:cNvPicPr/>
                  </pic:nvPicPr>
                  <pic:blipFill>
                    <a:blip r:embed="rId210"/>
                    <a:stretch>
                      <a:fillRect/>
                    </a:stretch>
                  </pic:blipFill>
                  <pic:spPr>
                    <a:xfrm>
                      <a:off x="0" y="0"/>
                      <a:ext cx="5292090" cy="7703820"/>
                    </a:xfrm>
                    <a:prstGeom prst="rect">
                      <a:avLst/>
                    </a:prstGeom>
                  </pic:spPr>
                </pic:pic>
              </a:graphicData>
            </a:graphic>
          </wp:inline>
        </w:drawing>
      </w:r>
      <w:bookmarkEnd w:id="1170"/>
      <w:bookmarkEnd w:id="1171"/>
    </w:p>
    <w:p>
      <w:pPr>
        <w:keepNext/>
        <w:keepLines/>
        <w:pageBreakBefore w:val="0"/>
        <w:widowControl w:val="0"/>
        <w:kinsoku/>
        <w:wordWrap/>
        <w:overflowPunct/>
        <w:topLinePunct w:val="0"/>
        <w:autoSpaceDE/>
        <w:autoSpaceDN/>
        <w:bidi w:val="0"/>
        <w:adjustRightInd/>
        <w:snapToGrid/>
        <w:spacing w:before="0" w:line="720" w:lineRule="auto"/>
        <w:ind w:left="0" w:leftChars="0" w:firstLine="0" w:firstLineChars="0"/>
        <w:jc w:val="both"/>
        <w:textAlignment w:val="auto"/>
        <w:outlineLvl w:val="0"/>
        <w:rPr>
          <w:rFonts w:hint="eastAsia"/>
          <w:color w:val="auto"/>
          <w:lang w:val="en-US" w:eastAsia="zh-CN"/>
        </w:rPr>
        <w:sectPr>
          <w:pgSz w:w="11906" w:h="16838"/>
          <w:pgMar w:top="2098" w:right="1474" w:bottom="1984" w:left="1587" w:header="680" w:footer="992" w:gutter="0"/>
          <w:pgBorders>
            <w:top w:val="none" w:sz="0" w:space="0"/>
            <w:left w:val="none" w:sz="0" w:space="0"/>
            <w:bottom w:val="none" w:sz="0" w:space="0"/>
            <w:right w:val="none" w:sz="0" w:space="0"/>
          </w:pgBorders>
          <w:pgNumType w:fmt="numberInDash"/>
          <w:cols w:space="425" w:num="1"/>
          <w:docGrid w:type="lines" w:linePitch="312" w:charSpace="0"/>
        </w:sectPr>
      </w:pPr>
      <w:bookmarkStart w:id="1172" w:name="_Toc11812"/>
      <w:bookmarkStart w:id="1173" w:name="_Toc6320"/>
      <w:r>
        <w:rPr>
          <w:rFonts w:hint="eastAsia"/>
          <w:color w:val="auto"/>
          <w:lang w:eastAsia="zh-CN"/>
        </w:rPr>
        <w:drawing>
          <wp:inline distT="0" distB="0" distL="114300" distR="114300">
            <wp:extent cx="5292090" cy="7703820"/>
            <wp:effectExtent l="0" t="0" r="3810" b="11430"/>
            <wp:docPr id="371" name="图片 371" descr="西宁市城中区总寨塬智能温室园区道路和排水工程项目(6)_00"/>
            <wp:cNvGraphicFramePr/>
            <a:graphic xmlns:a="http://schemas.openxmlformats.org/drawingml/2006/main">
              <a:graphicData uri="http://schemas.openxmlformats.org/drawingml/2006/picture">
                <pic:pic xmlns:pic="http://schemas.openxmlformats.org/drawingml/2006/picture">
                  <pic:nvPicPr>
                    <pic:cNvPr id="371" name="图片 371" descr="西宁市城中区总寨塬智能温室园区道路和排水工程项目(6)_00"/>
                    <pic:cNvPicPr/>
                  </pic:nvPicPr>
                  <pic:blipFill>
                    <a:blip r:embed="rId211"/>
                    <a:stretch>
                      <a:fillRect/>
                    </a:stretch>
                  </pic:blipFill>
                  <pic:spPr>
                    <a:xfrm>
                      <a:off x="0" y="0"/>
                      <a:ext cx="5292090" cy="7703820"/>
                    </a:xfrm>
                    <a:prstGeom prst="rect">
                      <a:avLst/>
                    </a:prstGeom>
                  </pic:spPr>
                </pic:pic>
              </a:graphicData>
            </a:graphic>
          </wp:inline>
        </w:drawing>
      </w:r>
      <w:r>
        <w:rPr>
          <w:rFonts w:hint="eastAsia"/>
          <w:color w:val="auto"/>
          <w:lang w:eastAsia="zh-CN"/>
        </w:rPr>
        <w:drawing>
          <wp:inline distT="0" distB="0" distL="114300" distR="114300">
            <wp:extent cx="5292090" cy="7703820"/>
            <wp:effectExtent l="0" t="0" r="3810" b="11430"/>
            <wp:docPr id="372" name="图片 372" descr="C. 对提高抵御能力影啊一般_00"/>
            <wp:cNvGraphicFramePr/>
            <a:graphic xmlns:a="http://schemas.openxmlformats.org/drawingml/2006/main">
              <a:graphicData uri="http://schemas.openxmlformats.org/drawingml/2006/picture">
                <pic:pic xmlns:pic="http://schemas.openxmlformats.org/drawingml/2006/picture">
                  <pic:nvPicPr>
                    <pic:cNvPr id="372" name="图片 372" descr="C. 对提高抵御能力影啊一般_00"/>
                    <pic:cNvPicPr/>
                  </pic:nvPicPr>
                  <pic:blipFill>
                    <a:blip r:embed="rId212"/>
                    <a:stretch>
                      <a:fillRect/>
                    </a:stretch>
                  </pic:blipFill>
                  <pic:spPr>
                    <a:xfrm>
                      <a:off x="0" y="0"/>
                      <a:ext cx="5292090" cy="7703820"/>
                    </a:xfrm>
                    <a:prstGeom prst="rect">
                      <a:avLst/>
                    </a:prstGeom>
                  </pic:spPr>
                </pic:pic>
              </a:graphicData>
            </a:graphic>
          </wp:inline>
        </w:drawing>
      </w:r>
      <w:r>
        <w:rPr>
          <w:rFonts w:hint="eastAsia"/>
          <w:color w:val="auto"/>
          <w:lang w:eastAsia="zh-CN"/>
        </w:rPr>
        <w:drawing>
          <wp:inline distT="0" distB="0" distL="114300" distR="114300">
            <wp:extent cx="5292090" cy="7703820"/>
            <wp:effectExtent l="0" t="0" r="3810" b="11430"/>
            <wp:docPr id="22" name="图片 22" descr="西宁市城中区总寨塬智能温室园区道路和排水工程项目(4)_00"/>
            <wp:cNvGraphicFramePr/>
            <a:graphic xmlns:a="http://schemas.openxmlformats.org/drawingml/2006/main">
              <a:graphicData uri="http://schemas.openxmlformats.org/drawingml/2006/picture">
                <pic:pic xmlns:pic="http://schemas.openxmlformats.org/drawingml/2006/picture">
                  <pic:nvPicPr>
                    <pic:cNvPr id="22" name="图片 22" descr="西宁市城中区总寨塬智能温室园区道路和排水工程项目(4)_00"/>
                    <pic:cNvPicPr/>
                  </pic:nvPicPr>
                  <pic:blipFill>
                    <a:blip r:embed="rId213"/>
                    <a:stretch>
                      <a:fillRect/>
                    </a:stretch>
                  </pic:blipFill>
                  <pic:spPr>
                    <a:xfrm>
                      <a:off x="0" y="0"/>
                      <a:ext cx="5292090" cy="7703820"/>
                    </a:xfrm>
                    <a:prstGeom prst="rect">
                      <a:avLst/>
                    </a:prstGeom>
                  </pic:spPr>
                </pic:pic>
              </a:graphicData>
            </a:graphic>
          </wp:inline>
        </w:drawing>
      </w:r>
      <w:r>
        <w:rPr>
          <w:rFonts w:hint="eastAsia"/>
          <w:color w:val="auto"/>
          <w:lang w:eastAsia="zh-CN"/>
        </w:rPr>
        <w:drawing>
          <wp:inline distT="0" distB="0" distL="114300" distR="114300">
            <wp:extent cx="5292090" cy="7703820"/>
            <wp:effectExtent l="0" t="0" r="3810" b="11430"/>
            <wp:docPr id="373" name="图片 373" descr="西宁市城中区总寨塬智能温室园区道路和排水工程项目(4)_01"/>
            <wp:cNvGraphicFramePr/>
            <a:graphic xmlns:a="http://schemas.openxmlformats.org/drawingml/2006/main">
              <a:graphicData uri="http://schemas.openxmlformats.org/drawingml/2006/picture">
                <pic:pic xmlns:pic="http://schemas.openxmlformats.org/drawingml/2006/picture">
                  <pic:nvPicPr>
                    <pic:cNvPr id="373" name="图片 373" descr="西宁市城中区总寨塬智能温室园区道路和排水工程项目(4)_01"/>
                    <pic:cNvPicPr/>
                  </pic:nvPicPr>
                  <pic:blipFill>
                    <a:blip r:embed="rId214"/>
                    <a:stretch>
                      <a:fillRect/>
                    </a:stretch>
                  </pic:blipFill>
                  <pic:spPr>
                    <a:xfrm>
                      <a:off x="0" y="0"/>
                      <a:ext cx="5292090" cy="7703820"/>
                    </a:xfrm>
                    <a:prstGeom prst="rect">
                      <a:avLst/>
                    </a:prstGeom>
                  </pic:spPr>
                </pic:pic>
              </a:graphicData>
            </a:graphic>
          </wp:inline>
        </w:drawing>
      </w:r>
      <w:bookmarkEnd w:id="1172"/>
      <w:bookmarkEnd w:id="1173"/>
    </w:p>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textAlignment w:val="auto"/>
        <w:rPr>
          <w:rFonts w:hint="eastAsia"/>
          <w:color w:val="auto"/>
          <w:lang w:eastAsia="zh-CN"/>
        </w:rPr>
        <w:sectPr>
          <w:pgSz w:w="11906" w:h="16838"/>
          <w:pgMar w:top="2098" w:right="1474" w:bottom="1984" w:left="1587" w:header="851" w:footer="992" w:gutter="0"/>
          <w:pgNumType w:fmt="numberInDash"/>
          <w:cols w:space="425" w:num="1"/>
          <w:docGrid w:type="lines" w:linePitch="312" w:charSpace="0"/>
        </w:sectPr>
      </w:pPr>
      <w:r>
        <w:rPr>
          <w:rFonts w:hint="eastAsia"/>
          <w:color w:val="auto"/>
          <w:lang w:eastAsia="zh-CN"/>
        </w:rPr>
        <w:drawing>
          <wp:anchor distT="0" distB="0" distL="114300" distR="114300" simplePos="0" relativeHeight="251679744" behindDoc="0" locked="0" layoutInCell="1" allowOverlap="1">
            <wp:simplePos x="0" y="0"/>
            <wp:positionH relativeFrom="column">
              <wp:posOffset>-67945</wp:posOffset>
            </wp:positionH>
            <wp:positionV relativeFrom="paragraph">
              <wp:posOffset>120015</wp:posOffset>
            </wp:positionV>
            <wp:extent cx="5292090" cy="7703820"/>
            <wp:effectExtent l="0" t="0" r="3810" b="11430"/>
            <wp:wrapSquare wrapText="bothSides"/>
            <wp:docPr id="374" name="图片 374" descr="西宁市城中区总寨塬智能温室园区道路和排水工程项目(4)_02"/>
            <wp:cNvGraphicFramePr/>
            <a:graphic xmlns:a="http://schemas.openxmlformats.org/drawingml/2006/main">
              <a:graphicData uri="http://schemas.openxmlformats.org/drawingml/2006/picture">
                <pic:pic xmlns:pic="http://schemas.openxmlformats.org/drawingml/2006/picture">
                  <pic:nvPicPr>
                    <pic:cNvPr id="374" name="图片 374" descr="西宁市城中区总寨塬智能温室园区道路和排水工程项目(4)_02"/>
                    <pic:cNvPicPr/>
                  </pic:nvPicPr>
                  <pic:blipFill>
                    <a:blip r:embed="rId215"/>
                    <a:stretch>
                      <a:fillRect/>
                    </a:stretch>
                  </pic:blipFill>
                  <pic:spPr>
                    <a:xfrm>
                      <a:off x="0" y="0"/>
                      <a:ext cx="5292090" cy="7703820"/>
                    </a:xfrm>
                    <a:prstGeom prst="rect">
                      <a:avLst/>
                    </a:prstGeom>
                  </pic:spPr>
                </pic:pic>
              </a:graphicData>
            </a:graphic>
          </wp:anchor>
        </w:drawing>
      </w:r>
    </w:p>
    <w:p>
      <w:pPr>
        <w:keepNext/>
        <w:keepLines/>
        <w:pageBreakBefore w:val="0"/>
        <w:widowControl w:val="0"/>
        <w:kinsoku/>
        <w:wordWrap/>
        <w:overflowPunct/>
        <w:topLinePunct w:val="0"/>
        <w:autoSpaceDE/>
        <w:autoSpaceDN/>
        <w:bidi w:val="0"/>
        <w:adjustRightInd/>
        <w:snapToGrid/>
        <w:spacing w:before="0" w:line="576" w:lineRule="exact"/>
        <w:ind w:left="0" w:leftChars="0" w:firstLine="0" w:firstLineChars="0"/>
        <w:jc w:val="both"/>
        <w:textAlignment w:val="auto"/>
        <w:outlineLvl w:val="0"/>
        <w:rPr>
          <w:rFonts w:hint="eastAsia"/>
          <w:color w:val="auto"/>
          <w:lang w:val="en-US" w:eastAsia="zh-CN"/>
        </w:rPr>
        <w:sectPr>
          <w:pgSz w:w="11906" w:h="16838"/>
          <w:pgMar w:top="2098" w:right="1474" w:bottom="1984" w:left="1587" w:header="680"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color w:val="auto"/>
          <w:lang w:eastAsia="zh-CN"/>
        </w:rPr>
        <w:drawing>
          <wp:anchor distT="0" distB="0" distL="114300" distR="114300" simplePos="0" relativeHeight="251678720" behindDoc="0" locked="0" layoutInCell="1" allowOverlap="1">
            <wp:simplePos x="0" y="0"/>
            <wp:positionH relativeFrom="column">
              <wp:posOffset>30480</wp:posOffset>
            </wp:positionH>
            <wp:positionV relativeFrom="paragraph">
              <wp:posOffset>133350</wp:posOffset>
            </wp:positionV>
            <wp:extent cx="5292090" cy="7703820"/>
            <wp:effectExtent l="0" t="0" r="3810" b="11430"/>
            <wp:wrapSquare wrapText="bothSides"/>
            <wp:docPr id="375" name="图片 375" descr="西宁市城中区总寨塬智能温室园区道路和排水工程项目(4)_03"/>
            <wp:cNvGraphicFramePr/>
            <a:graphic xmlns:a="http://schemas.openxmlformats.org/drawingml/2006/main">
              <a:graphicData uri="http://schemas.openxmlformats.org/drawingml/2006/picture">
                <pic:pic xmlns:pic="http://schemas.openxmlformats.org/drawingml/2006/picture">
                  <pic:nvPicPr>
                    <pic:cNvPr id="375" name="图片 375" descr="西宁市城中区总寨塬智能温室园区道路和排水工程项目(4)_03"/>
                    <pic:cNvPicPr/>
                  </pic:nvPicPr>
                  <pic:blipFill>
                    <a:blip r:embed="rId216"/>
                    <a:stretch>
                      <a:fillRect/>
                    </a:stretch>
                  </pic:blipFill>
                  <pic:spPr>
                    <a:xfrm>
                      <a:off x="0" y="0"/>
                      <a:ext cx="5292090" cy="7703820"/>
                    </a:xfrm>
                    <a:prstGeom prst="rect">
                      <a:avLst/>
                    </a:prstGeom>
                  </pic:spPr>
                </pic:pic>
              </a:graphicData>
            </a:graphic>
          </wp:anchor>
        </w:drawing>
      </w:r>
    </w:p>
    <w:p>
      <w:pPr>
        <w:keepNext/>
        <w:keepLines/>
        <w:pageBreakBefore w:val="0"/>
        <w:widowControl w:val="0"/>
        <w:kinsoku/>
        <w:wordWrap/>
        <w:overflowPunct/>
        <w:topLinePunct w:val="0"/>
        <w:autoSpaceDE/>
        <w:autoSpaceDN/>
        <w:bidi w:val="0"/>
        <w:adjustRightInd/>
        <w:snapToGrid/>
        <w:spacing w:before="0" w:line="720" w:lineRule="auto"/>
        <w:ind w:left="0" w:leftChars="0" w:firstLine="0" w:firstLineChars="0"/>
        <w:jc w:val="both"/>
        <w:textAlignment w:val="auto"/>
        <w:outlineLvl w:val="0"/>
        <w:rPr>
          <w:rFonts w:hint="default" w:ascii="楷体" w:hAnsi="楷体" w:eastAsia="楷体" w:cs="楷体"/>
          <w:b/>
          <w:bCs/>
          <w:color w:val="auto"/>
          <w:kern w:val="2"/>
          <w:sz w:val="32"/>
          <w:szCs w:val="24"/>
          <w:lang w:val="en-US" w:eastAsia="zh-CN" w:bidi="ar-SA"/>
        </w:rPr>
      </w:pPr>
      <w:bookmarkStart w:id="1174" w:name="_Toc13691"/>
      <w:bookmarkStart w:id="1175" w:name="_Toc3462"/>
      <w:r>
        <w:rPr>
          <w:rFonts w:hint="eastAsia" w:ascii="楷体" w:hAnsi="楷体" w:eastAsia="楷体" w:cs="楷体"/>
          <w:b/>
          <w:bCs/>
          <w:color w:val="auto"/>
          <w:kern w:val="2"/>
          <w:sz w:val="32"/>
          <w:szCs w:val="24"/>
          <w:lang w:val="en-US" w:eastAsia="zh-CN" w:bidi="ar-SA"/>
        </w:rPr>
        <w:t>附件4：主评人资质</w:t>
      </w:r>
      <w:bookmarkEnd w:id="1174"/>
      <w:bookmarkEnd w:id="1175"/>
    </w:p>
    <w:p>
      <w:pPr>
        <w:pageBreakBefore w:val="0"/>
        <w:overflowPunct/>
        <w:topLinePunct w:val="0"/>
        <w:bidi w:val="0"/>
        <w:spacing w:line="720" w:lineRule="auto"/>
        <w:ind w:left="0" w:leftChars="0" w:firstLine="0" w:firstLineChars="0"/>
        <w:rPr>
          <w:rFonts w:hint="eastAsia" w:cs="Times New Roman"/>
          <w:color w:val="auto"/>
        </w:rPr>
      </w:pPr>
      <w:r>
        <w:rPr>
          <w:rFonts w:hint="eastAsia" w:cs="Times New Roman"/>
          <w:lang w:eastAsia="zh-CN"/>
        </w:rPr>
        <w:drawing>
          <wp:inline distT="0" distB="0" distL="114300" distR="114300">
            <wp:extent cx="5273040" cy="7315200"/>
            <wp:effectExtent l="0" t="0" r="3810" b="0"/>
            <wp:docPr id="26" name="图片 26" descr="中级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中级证书"/>
                    <pic:cNvPicPr>
                      <a:picLocks noChangeAspect="1"/>
                    </pic:cNvPicPr>
                  </pic:nvPicPr>
                  <pic:blipFill>
                    <a:blip r:embed="rId109"/>
                    <a:stretch>
                      <a:fillRect/>
                    </a:stretch>
                  </pic:blipFill>
                  <pic:spPr>
                    <a:xfrm rot="10800000">
                      <a:off x="0" y="0"/>
                      <a:ext cx="5273040" cy="7315200"/>
                    </a:xfrm>
                    <a:prstGeom prst="rect">
                      <a:avLst/>
                    </a:prstGeom>
                  </pic:spPr>
                </pic:pic>
              </a:graphicData>
            </a:graphic>
          </wp:inline>
        </w:drawing>
      </w:r>
    </w:p>
    <w:p>
      <w:pPr>
        <w:pageBreakBefore w:val="0"/>
        <w:overflowPunct/>
        <w:topLinePunct w:val="0"/>
        <w:bidi w:val="0"/>
        <w:spacing w:line="576" w:lineRule="exact"/>
        <w:ind w:left="0" w:leftChars="0"/>
        <w:rPr>
          <w:rFonts w:hint="default"/>
          <w:lang w:val="en-US" w:eastAsia="zh-CN"/>
        </w:rPr>
        <w:sectPr>
          <w:pgSz w:w="11906" w:h="16838"/>
          <w:pgMar w:top="2098" w:right="1474" w:bottom="1984" w:left="1587" w:header="680" w:footer="992" w:gutter="0"/>
          <w:pgBorders>
            <w:top w:val="none" w:sz="0" w:space="0"/>
            <w:left w:val="none" w:sz="0" w:space="0"/>
            <w:bottom w:val="none" w:sz="0" w:space="0"/>
            <w:right w:val="none" w:sz="0" w:space="0"/>
          </w:pgBorders>
          <w:pgNumType w:fmt="numberInDash"/>
          <w:cols w:space="425" w:num="1"/>
          <w:docGrid w:type="lines" w:linePitch="312" w:charSpace="0"/>
        </w:sectPr>
      </w:pPr>
    </w:p>
    <w:p>
      <w:pPr>
        <w:pStyle w:val="4"/>
        <w:keepNext w:val="0"/>
        <w:keepLines w:val="0"/>
        <w:pageBreakBefore w:val="0"/>
        <w:widowControl w:val="0"/>
        <w:shd w:val="clear" w:color="auto" w:fill="auto"/>
        <w:kinsoku/>
        <w:wordWrap/>
        <w:overflowPunct/>
        <w:topLinePunct w:val="0"/>
        <w:autoSpaceDE/>
        <w:autoSpaceDN/>
        <w:bidi w:val="0"/>
        <w:adjustRightInd w:val="0"/>
        <w:snapToGrid w:val="0"/>
        <w:spacing w:line="576" w:lineRule="exact"/>
        <w:ind w:left="0" w:leftChars="0" w:firstLine="0" w:firstLineChars="0"/>
        <w:textAlignment w:val="auto"/>
        <w:rPr>
          <w:rFonts w:hint="eastAsia" w:ascii="楷体" w:hAnsi="楷体" w:eastAsia="楷体" w:cs="楷体"/>
          <w:b/>
          <w:bCs/>
          <w:color w:val="000000" w:themeColor="text1"/>
          <w:sz w:val="32"/>
          <w:szCs w:val="24"/>
          <w:lang w:val="en-US" w:eastAsia="zh-CN"/>
          <w14:textFill>
            <w14:solidFill>
              <w14:schemeClr w14:val="tx1"/>
            </w14:solidFill>
          </w14:textFill>
        </w:rPr>
      </w:pPr>
      <w:bookmarkStart w:id="1176" w:name="_Toc10565"/>
      <w:r>
        <w:rPr>
          <w:rFonts w:hint="eastAsia" w:ascii="楷体" w:hAnsi="楷体" w:eastAsia="楷体" w:cs="楷体"/>
          <w:b/>
          <w:bCs/>
          <w:color w:val="000000" w:themeColor="text1"/>
          <w:sz w:val="32"/>
          <w:szCs w:val="24"/>
          <w:lang w:val="en-US" w:eastAsia="zh-CN"/>
          <w14:textFill>
            <w14:solidFill>
              <w14:schemeClr w14:val="tx1"/>
            </w14:solidFill>
          </w14:textFill>
        </w:rPr>
        <w:t>附件</w:t>
      </w:r>
      <w:r>
        <w:rPr>
          <w:rFonts w:hint="eastAsia" w:ascii="楷体" w:hAnsi="楷体" w:cs="楷体"/>
          <w:b/>
          <w:bCs/>
          <w:color w:val="000000" w:themeColor="text1"/>
          <w:sz w:val="32"/>
          <w:szCs w:val="24"/>
          <w:lang w:val="en-US" w:eastAsia="zh-CN"/>
          <w14:textFill>
            <w14:solidFill>
              <w14:schemeClr w14:val="tx1"/>
            </w14:solidFill>
          </w14:textFill>
        </w:rPr>
        <w:t>四</w:t>
      </w:r>
      <w:r>
        <w:rPr>
          <w:rFonts w:hint="eastAsia" w:ascii="楷体" w:hAnsi="楷体" w:eastAsia="楷体" w:cs="楷体"/>
          <w:b/>
          <w:bCs/>
          <w:color w:val="000000" w:themeColor="text1"/>
          <w:sz w:val="32"/>
          <w:szCs w:val="24"/>
          <w:lang w:val="en-US" w:eastAsia="zh-CN"/>
          <w14:textFill>
            <w14:solidFill>
              <w14:schemeClr w14:val="tx1"/>
            </w14:solidFill>
          </w14:textFill>
        </w:rPr>
        <w:t xml:space="preserve"> 西宁市城中区前营街幼儿园建设项目绩效评价报告</w:t>
      </w:r>
      <w:bookmarkEnd w:id="1176"/>
    </w:p>
    <w:p>
      <w:pPr>
        <w:pageBreakBefore w:val="0"/>
        <w:overflowPunct/>
        <w:topLinePunct w:val="0"/>
        <w:bidi w:val="0"/>
        <w:spacing w:line="576" w:lineRule="exact"/>
        <w:ind w:left="0" w:leftChars="0"/>
        <w:rPr>
          <w:rFonts w:cs="Times New Roman"/>
        </w:rPr>
      </w:pPr>
    </w:p>
    <w:p>
      <w:pPr>
        <w:pageBreakBefore w:val="0"/>
        <w:overflowPunct/>
        <w:topLinePunct w:val="0"/>
        <w:bidi w:val="0"/>
        <w:spacing w:line="576" w:lineRule="exact"/>
        <w:ind w:left="0" w:leftChars="0"/>
        <w:rPr>
          <w:rFonts w:cs="Times New Roman"/>
        </w:rPr>
      </w:pPr>
    </w:p>
    <w:p>
      <w:pPr>
        <w:pageBreakBefore w:val="0"/>
        <w:overflowPunct/>
        <w:topLinePunct w:val="0"/>
        <w:bidi w:val="0"/>
        <w:spacing w:line="576" w:lineRule="exact"/>
        <w:ind w:left="0" w:leftChars="0" w:firstLine="0" w:firstLineChars="0"/>
        <w:jc w:val="center"/>
        <w:rPr>
          <w:rFonts w:hint="eastAsia" w:ascii="方正小标宋简体" w:hAnsi="方正小标宋简体" w:eastAsia="方正小标宋简体" w:cs="方正小标宋简体"/>
          <w:b/>
          <w:sz w:val="52"/>
          <w:szCs w:val="52"/>
          <w:lang w:val="en-US" w:eastAsia="zh-CN"/>
        </w:rPr>
      </w:pPr>
      <w:r>
        <w:rPr>
          <w:rFonts w:hint="eastAsia" w:ascii="方正小标宋简体" w:hAnsi="方正小标宋简体" w:eastAsia="方正小标宋简体" w:cs="方正小标宋简体"/>
          <w:b/>
          <w:sz w:val="52"/>
          <w:szCs w:val="52"/>
          <w:lang w:val="en-US" w:eastAsia="zh-CN"/>
        </w:rPr>
        <w:t>西宁市城中区前营街幼儿园建设</w:t>
      </w:r>
    </w:p>
    <w:p>
      <w:pPr>
        <w:pageBreakBefore w:val="0"/>
        <w:overflowPunct/>
        <w:topLinePunct w:val="0"/>
        <w:bidi w:val="0"/>
        <w:spacing w:line="576" w:lineRule="exact"/>
        <w:ind w:left="0" w:leftChars="0"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sz w:val="52"/>
          <w:szCs w:val="52"/>
        </w:rPr>
        <w:t>项目绩效评价报告</w:t>
      </w:r>
    </w:p>
    <w:p>
      <w:pPr>
        <w:pageBreakBefore w:val="0"/>
        <w:overflowPunct/>
        <w:topLinePunct w:val="0"/>
        <w:bidi w:val="0"/>
        <w:spacing w:line="576" w:lineRule="exact"/>
        <w:ind w:left="0" w:leftChars="0"/>
        <w:rPr>
          <w:rFonts w:cs="Times New Roman"/>
        </w:rPr>
      </w:pPr>
    </w:p>
    <w:p>
      <w:pPr>
        <w:pageBreakBefore w:val="0"/>
        <w:overflowPunct/>
        <w:topLinePunct w:val="0"/>
        <w:bidi w:val="0"/>
        <w:spacing w:line="576" w:lineRule="exact"/>
        <w:ind w:left="0" w:leftChars="0"/>
        <w:rPr>
          <w:rFonts w:cs="Times New Roman"/>
        </w:rPr>
      </w:pPr>
    </w:p>
    <w:p>
      <w:pPr>
        <w:pageBreakBefore w:val="0"/>
        <w:overflowPunct/>
        <w:topLinePunct w:val="0"/>
        <w:bidi w:val="0"/>
        <w:spacing w:line="576" w:lineRule="exact"/>
        <w:ind w:left="0" w:leftChars="0"/>
        <w:rPr>
          <w:rFonts w:cs="Times New Roman"/>
        </w:rPr>
      </w:pPr>
    </w:p>
    <w:p>
      <w:pPr>
        <w:pageBreakBefore w:val="0"/>
        <w:overflowPunct/>
        <w:topLinePunct w:val="0"/>
        <w:bidi w:val="0"/>
        <w:spacing w:line="576" w:lineRule="exact"/>
        <w:ind w:left="0" w:leftChars="0"/>
        <w:rPr>
          <w:rFonts w:cs="Times New Roman"/>
        </w:rPr>
      </w:pPr>
    </w:p>
    <w:p>
      <w:pPr>
        <w:pageBreakBefore w:val="0"/>
        <w:overflowPunct/>
        <w:topLinePunct w:val="0"/>
        <w:bidi w:val="0"/>
        <w:spacing w:line="576" w:lineRule="exact"/>
        <w:ind w:left="0" w:leftChars="0"/>
        <w:rPr>
          <w:rFonts w:cs="Times New Roman"/>
        </w:rPr>
      </w:pPr>
    </w:p>
    <w:p>
      <w:pPr>
        <w:pageBreakBefore w:val="0"/>
        <w:overflowPunct/>
        <w:topLinePunct w:val="0"/>
        <w:bidi w:val="0"/>
        <w:spacing w:line="576" w:lineRule="exact"/>
        <w:ind w:left="0" w:leftChars="0"/>
        <w:rPr>
          <w:rFonts w:cs="Times New Roman"/>
        </w:rPr>
      </w:pPr>
    </w:p>
    <w:p>
      <w:pPr>
        <w:pageBreakBefore w:val="0"/>
        <w:overflowPunct/>
        <w:topLinePunct w:val="0"/>
        <w:bidi w:val="0"/>
        <w:spacing w:line="576" w:lineRule="exact"/>
        <w:ind w:left="2240" w:leftChars="100" w:hanging="1920" w:hangingChars="600"/>
        <w:jc w:val="both"/>
        <w:rPr>
          <w:rFonts w:hint="default" w:hAnsi="仿宋" w:cs="仿宋"/>
          <w:color w:val="auto"/>
          <w:szCs w:val="32"/>
          <w:u w:val="single"/>
          <w:lang w:val="en-US" w:eastAsia="zh-CN"/>
        </w:rPr>
      </w:pPr>
      <w:r>
        <w:rPr>
          <w:rFonts w:hint="eastAsia" w:hAnsi="仿宋" w:cs="仿宋"/>
          <w:color w:val="auto"/>
          <w:szCs w:val="32"/>
        </w:rPr>
        <w:t>项</w:t>
      </w:r>
      <w:r>
        <w:rPr>
          <w:rFonts w:hint="eastAsia" w:hAnsi="仿宋" w:cs="仿宋"/>
          <w:color w:val="auto"/>
          <w:szCs w:val="32"/>
          <w:lang w:val="en-US" w:eastAsia="zh-CN"/>
        </w:rPr>
        <w:t xml:space="preserve"> </w:t>
      </w:r>
      <w:r>
        <w:rPr>
          <w:rFonts w:hint="eastAsia" w:hAnsi="仿宋" w:cs="仿宋"/>
          <w:color w:val="auto"/>
          <w:szCs w:val="32"/>
        </w:rPr>
        <w:t>目</w:t>
      </w:r>
      <w:r>
        <w:rPr>
          <w:rFonts w:hint="eastAsia" w:hAnsi="仿宋" w:cs="仿宋"/>
          <w:color w:val="auto"/>
          <w:szCs w:val="32"/>
          <w:lang w:val="en-US" w:eastAsia="zh-CN"/>
        </w:rPr>
        <w:t xml:space="preserve"> </w:t>
      </w:r>
      <w:r>
        <w:rPr>
          <w:rFonts w:hint="eastAsia" w:hAnsi="仿宋" w:cs="仿宋"/>
          <w:color w:val="auto"/>
          <w:szCs w:val="32"/>
        </w:rPr>
        <w:t>名</w:t>
      </w:r>
      <w:r>
        <w:rPr>
          <w:rFonts w:hint="eastAsia" w:hAnsi="仿宋" w:cs="仿宋"/>
          <w:color w:val="auto"/>
          <w:szCs w:val="32"/>
          <w:lang w:val="en-US" w:eastAsia="zh-CN"/>
        </w:rPr>
        <w:t xml:space="preserve"> </w:t>
      </w:r>
      <w:r>
        <w:rPr>
          <w:rFonts w:hint="eastAsia" w:hAnsi="仿宋" w:cs="仿宋"/>
          <w:color w:val="auto"/>
          <w:szCs w:val="32"/>
        </w:rPr>
        <w:t>称：</w:t>
      </w:r>
      <w:r>
        <w:rPr>
          <w:rFonts w:hint="eastAsia" w:hAnsi="仿宋" w:cs="仿宋"/>
          <w:color w:val="auto"/>
          <w:szCs w:val="32"/>
          <w:u w:val="single"/>
          <w:lang w:eastAsia="zh-CN"/>
        </w:rPr>
        <w:t>西宁市城中区前营街幼儿园建设项目</w:t>
      </w:r>
    </w:p>
    <w:p>
      <w:pPr>
        <w:pageBreakBefore w:val="0"/>
        <w:overflowPunct/>
        <w:topLinePunct w:val="0"/>
        <w:bidi w:val="0"/>
        <w:spacing w:line="576" w:lineRule="exact"/>
        <w:ind w:left="2240" w:leftChars="100" w:hanging="1920" w:hangingChars="600"/>
        <w:jc w:val="both"/>
        <w:rPr>
          <w:rFonts w:hint="default" w:hAnsi="仿宋" w:cs="仿宋"/>
          <w:color w:val="auto"/>
          <w:szCs w:val="32"/>
          <w:u w:val="single"/>
          <w:lang w:val="en-US" w:eastAsia="zh-CN"/>
        </w:rPr>
      </w:pPr>
      <w:r>
        <w:rPr>
          <w:rFonts w:hint="eastAsia" w:hAnsi="仿宋" w:cs="仿宋"/>
          <w:color w:val="auto"/>
          <w:szCs w:val="32"/>
        </w:rPr>
        <w:t>项目主管部门：</w:t>
      </w:r>
      <w:r>
        <w:rPr>
          <w:rFonts w:hint="eastAsia" w:hAnsi="仿宋" w:cs="仿宋"/>
          <w:color w:val="auto"/>
          <w:szCs w:val="32"/>
          <w:u w:val="single"/>
          <w:lang w:eastAsia="zh-CN"/>
        </w:rPr>
        <w:t>西宁市城中区教育局</w:t>
      </w:r>
      <w:r>
        <w:rPr>
          <w:rFonts w:hint="eastAsia" w:hAnsi="仿宋" w:cs="仿宋"/>
          <w:color w:val="auto"/>
          <w:szCs w:val="32"/>
          <w:u w:val="single"/>
          <w:lang w:val="en-US" w:eastAsia="zh-CN"/>
        </w:rPr>
        <w:t xml:space="preserve">             </w:t>
      </w:r>
    </w:p>
    <w:p>
      <w:pPr>
        <w:pageBreakBefore w:val="0"/>
        <w:overflowPunct/>
        <w:topLinePunct w:val="0"/>
        <w:bidi w:val="0"/>
        <w:spacing w:line="576" w:lineRule="exact"/>
        <w:ind w:left="0" w:leftChars="0" w:firstLine="320" w:firstLineChars="100"/>
        <w:jc w:val="both"/>
        <w:rPr>
          <w:rFonts w:hint="default" w:hAnsi="仿宋" w:eastAsia="仿宋_GB2312" w:cs="仿宋"/>
          <w:color w:val="auto"/>
          <w:szCs w:val="32"/>
          <w:u w:val="single"/>
          <w:lang w:val="en-US" w:eastAsia="zh-CN"/>
        </w:rPr>
      </w:pPr>
      <w:r>
        <w:rPr>
          <w:rFonts w:hint="eastAsia" w:hAnsi="仿宋" w:cs="仿宋"/>
          <w:color w:val="auto"/>
          <w:szCs w:val="32"/>
        </w:rPr>
        <w:t>评价实施部门：</w:t>
      </w:r>
      <w:r>
        <w:rPr>
          <w:rFonts w:hint="eastAsia" w:hAnsi="仿宋" w:cs="仿宋"/>
          <w:color w:val="auto"/>
          <w:szCs w:val="32"/>
          <w:u w:val="single"/>
          <w:lang w:val="en-US" w:eastAsia="zh-CN"/>
        </w:rPr>
        <w:t xml:space="preserve">西宁市城中区财政局             </w:t>
      </w:r>
    </w:p>
    <w:p>
      <w:pPr>
        <w:pageBreakBefore w:val="0"/>
        <w:overflowPunct/>
        <w:topLinePunct w:val="0"/>
        <w:bidi w:val="0"/>
        <w:spacing w:line="576" w:lineRule="exact"/>
        <w:ind w:left="2240" w:leftChars="100" w:hanging="1920" w:hangingChars="600"/>
        <w:jc w:val="both"/>
        <w:rPr>
          <w:rFonts w:hint="default" w:hAnsi="仿宋" w:eastAsia="仿宋_GB2312" w:cs="仿宋"/>
          <w:color w:val="auto"/>
          <w:szCs w:val="32"/>
          <w:u w:val="single"/>
          <w:lang w:val="en-US" w:eastAsia="zh-CN"/>
        </w:rPr>
      </w:pPr>
      <w:bookmarkStart w:id="1338" w:name="_GoBack"/>
      <w:bookmarkEnd w:id="1338"/>
      <w:r>
        <w:rPr>
          <w:rFonts w:hint="eastAsia" w:hAnsi="仿宋" w:cs="仿宋"/>
          <w:color w:val="auto"/>
          <w:szCs w:val="32"/>
        </w:rPr>
        <w:t>评价机构名称：</w:t>
      </w:r>
      <w:r>
        <w:rPr>
          <w:rFonts w:hint="eastAsia" w:hAnsi="仿宋" w:cs="仿宋"/>
          <w:color w:val="auto"/>
          <w:szCs w:val="32"/>
          <w:u w:val="single"/>
          <w:lang w:eastAsia="zh-CN"/>
        </w:rPr>
        <w:t>甘肃政泽绩效管理咨询服务有限公司</w:t>
      </w:r>
    </w:p>
    <w:p>
      <w:pPr>
        <w:pageBreakBefore w:val="0"/>
        <w:overflowPunct/>
        <w:topLinePunct w:val="0"/>
        <w:bidi w:val="0"/>
        <w:spacing w:line="576" w:lineRule="exact"/>
        <w:ind w:left="0" w:leftChars="0" w:firstLine="0" w:firstLineChars="0"/>
        <w:rPr>
          <w:rFonts w:hint="eastAsia" w:cs="仿宋_GB2312"/>
          <w:szCs w:val="32"/>
        </w:rPr>
      </w:pPr>
    </w:p>
    <w:p>
      <w:pPr>
        <w:pageBreakBefore w:val="0"/>
        <w:overflowPunct/>
        <w:topLinePunct w:val="0"/>
        <w:bidi w:val="0"/>
        <w:spacing w:line="576" w:lineRule="exact"/>
        <w:ind w:left="0" w:leftChars="0"/>
        <w:rPr>
          <w:rFonts w:cs="Times New Roman"/>
        </w:rPr>
      </w:pPr>
    </w:p>
    <w:p>
      <w:pPr>
        <w:pageBreakBefore w:val="0"/>
        <w:overflowPunct/>
        <w:topLinePunct w:val="0"/>
        <w:bidi w:val="0"/>
        <w:spacing w:line="576" w:lineRule="exact"/>
        <w:ind w:left="0" w:leftChars="0"/>
        <w:rPr>
          <w:rFonts w:cs="Times New Roman"/>
        </w:rPr>
      </w:pPr>
    </w:p>
    <w:p>
      <w:pPr>
        <w:pageBreakBefore w:val="0"/>
        <w:overflowPunct/>
        <w:topLinePunct w:val="0"/>
        <w:bidi w:val="0"/>
        <w:spacing w:line="576" w:lineRule="exact"/>
        <w:ind w:left="0" w:leftChars="0"/>
        <w:rPr>
          <w:rFonts w:cs="Times New Roman"/>
        </w:rPr>
      </w:pPr>
    </w:p>
    <w:p>
      <w:pPr>
        <w:pageBreakBefore w:val="0"/>
        <w:overflowPunct/>
        <w:topLinePunct w:val="0"/>
        <w:bidi w:val="0"/>
        <w:spacing w:line="576" w:lineRule="exact"/>
        <w:ind w:left="0" w:leftChars="0"/>
        <w:rPr>
          <w:rFonts w:cs="Times New Roman"/>
        </w:rPr>
      </w:pPr>
    </w:p>
    <w:p>
      <w:pPr>
        <w:pageBreakBefore w:val="0"/>
        <w:overflowPunct/>
        <w:topLinePunct w:val="0"/>
        <w:bidi w:val="0"/>
        <w:spacing w:line="576" w:lineRule="exact"/>
        <w:ind w:left="0" w:leftChars="0"/>
        <w:rPr>
          <w:rFonts w:hint="eastAsia" w:cs="Times New Roman"/>
          <w:lang w:eastAsia="zh-CN"/>
        </w:rPr>
      </w:pPr>
    </w:p>
    <w:p>
      <w:pPr>
        <w:pageBreakBefore w:val="0"/>
        <w:overflowPunct/>
        <w:topLinePunct w:val="0"/>
        <w:bidi w:val="0"/>
        <w:spacing w:line="576" w:lineRule="exact"/>
        <w:ind w:left="0" w:leftChars="0"/>
        <w:rPr>
          <w:rFonts w:ascii="Times New Roman" w:hAnsi="Times New Roman" w:eastAsia="黑体" w:cs="Times New Roman"/>
          <w:b/>
          <w:bCs/>
          <w:sz w:val="44"/>
          <w:szCs w:val="44"/>
        </w:rPr>
        <w:sectPr>
          <w:headerReference r:id="rId56" w:type="default"/>
          <w:footerReference r:id="rId58" w:type="default"/>
          <w:headerReference r:id="rId57" w:type="even"/>
          <w:footerReference r:id="rId59" w:type="even"/>
          <w:pgSz w:w="11906" w:h="16838"/>
          <w:pgMar w:top="2098" w:right="1474" w:bottom="1984" w:left="1587"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仿宋_GB2312" w:hAnsi="仿宋_GB2312" w:eastAsia="仿宋_GB2312" w:cs="仿宋_GB2312"/>
          <w:b/>
          <w:bCs/>
          <w:sz w:val="24"/>
          <w:szCs w:val="24"/>
        </w:rPr>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ascii="Times New Roman" w:hAnsi="Times New Roman" w:eastAsia="黑体" w:cs="Times New Roman"/>
          <w:b/>
          <w:bCs/>
          <w:sz w:val="44"/>
          <w:szCs w:val="44"/>
        </w:rPr>
      </w:pPr>
      <w:r>
        <w:rPr>
          <w:rFonts w:ascii="Times New Roman" w:hAnsi="Times New Roman" w:eastAsia="黑体" w:cs="Times New Roman"/>
          <w:b/>
          <w:bCs/>
          <w:sz w:val="44"/>
          <w:szCs w:val="44"/>
        </w:rPr>
        <w:t>摘</w:t>
      </w:r>
      <w:r>
        <w:rPr>
          <w:rFonts w:hint="eastAsia" w:ascii="Times New Roman" w:hAnsi="Times New Roman" w:eastAsia="黑体" w:cs="Times New Roman"/>
          <w:b/>
          <w:bCs/>
          <w:sz w:val="44"/>
          <w:szCs w:val="44"/>
          <w:lang w:val="en-US" w:eastAsia="zh-CN"/>
        </w:rPr>
        <w:t xml:space="preserve">  </w:t>
      </w:r>
      <w:r>
        <w:rPr>
          <w:rFonts w:ascii="Times New Roman" w:hAnsi="Times New Roman" w:eastAsia="黑体" w:cs="Times New Roman"/>
          <w:b/>
          <w:bCs/>
          <w:sz w:val="44"/>
          <w:szCs w:val="44"/>
        </w:rPr>
        <w:t>要</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Times New Roman"/>
          <w:sz w:val="24"/>
          <w:szCs w:val="21"/>
          <w:lang w:eastAsia="zh-CN"/>
        </w:rPr>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cs="Times New Roman"/>
          <w:color w:val="auto"/>
          <w:highlight w:val="none"/>
        </w:rPr>
      </w:pPr>
      <w:r>
        <w:rPr>
          <w:rFonts w:hint="eastAsia" w:cs="Times New Roman"/>
          <w:color w:val="auto"/>
          <w:highlight w:val="none"/>
          <w:lang w:val="en-US" w:eastAsia="zh-CN"/>
        </w:rPr>
        <w:t>为加强重点专项资金管理，提高财政资金使用效益，</w:t>
      </w:r>
      <w:r>
        <w:rPr>
          <w:rFonts w:hint="eastAsia" w:cs="Times New Roman"/>
          <w:color w:val="auto"/>
          <w:highlight w:val="none"/>
        </w:rPr>
        <w:t>根据</w:t>
      </w:r>
      <w:r>
        <w:rPr>
          <w:rFonts w:hint="eastAsia" w:ascii="仿宋_GB2312" w:eastAsia="仿宋_GB2312" w:cs="Times New Roman"/>
          <w:bCs/>
          <w:color w:val="auto"/>
          <w:sz w:val="32"/>
          <w:szCs w:val="32"/>
        </w:rPr>
        <w:t>《中共青海省委青海省人民政府关于全面实施预算绩效管理的实施意见》（青发</w:t>
      </w:r>
      <w:r>
        <w:rPr>
          <w:rFonts w:hint="default" w:ascii="Times New Roman" w:hAnsi="Times New Roman" w:eastAsia="仿宋_GB2312" w:cs="Times New Roman"/>
          <w:bCs/>
          <w:color w:val="auto"/>
          <w:sz w:val="32"/>
          <w:szCs w:val="32"/>
        </w:rPr>
        <w:t>〔2019〕11</w:t>
      </w:r>
      <w:r>
        <w:rPr>
          <w:rFonts w:hint="eastAsia" w:ascii="仿宋_GB2312" w:eastAsia="仿宋_GB2312" w:cs="Times New Roman"/>
          <w:bCs/>
          <w:color w:val="auto"/>
          <w:sz w:val="32"/>
          <w:szCs w:val="32"/>
        </w:rPr>
        <w:t>号）</w:t>
      </w:r>
      <w:r>
        <w:rPr>
          <w:rFonts w:hint="default" w:cs="Times New Roman"/>
          <w:bCs/>
          <w:color w:val="auto"/>
          <w:sz w:val="32"/>
          <w:szCs w:val="32"/>
        </w:rPr>
        <w:t>、</w:t>
      </w:r>
      <w:r>
        <w:rPr>
          <w:rFonts w:hint="eastAsia" w:cs="Times New Roman"/>
          <w:color w:val="auto"/>
          <w:highlight w:val="none"/>
          <w:lang w:val="en-US" w:eastAsia="zh-CN"/>
        </w:rPr>
        <w:t>《城中区全面实施预算绩效管理办法》（城中党</w:t>
      </w:r>
      <w:r>
        <w:rPr>
          <w:rFonts w:hint="eastAsia" w:ascii="Times New Roman" w:hAnsi="Times New Roman" w:eastAsia="仿宋_GB2312" w:cs="Times New Roman"/>
          <w:bCs/>
          <w:color w:val="auto"/>
          <w:sz w:val="32"/>
          <w:szCs w:val="32"/>
        </w:rPr>
        <w:t>〔20</w:t>
      </w:r>
      <w:r>
        <w:rPr>
          <w:rFonts w:hint="eastAsia" w:ascii="Times New Roman" w:hAnsi="Times New Roman" w:eastAsia="仿宋_GB2312" w:cs="Times New Roman"/>
          <w:bCs/>
          <w:color w:val="auto"/>
          <w:sz w:val="32"/>
          <w:szCs w:val="32"/>
          <w:lang w:val="en-US" w:eastAsia="zh-CN"/>
        </w:rPr>
        <w:t>20</w:t>
      </w:r>
      <w:r>
        <w:rPr>
          <w:rFonts w:hint="eastAsia" w:ascii="Times New Roman" w:hAnsi="Times New Roman" w:eastAsia="仿宋_GB2312" w:cs="Times New Roman"/>
          <w:bCs/>
          <w:color w:val="auto"/>
          <w:sz w:val="32"/>
          <w:szCs w:val="32"/>
        </w:rPr>
        <w:t>〕</w:t>
      </w:r>
      <w:r>
        <w:rPr>
          <w:rFonts w:hint="eastAsia" w:ascii="Times New Roman" w:hAnsi="Times New Roman" w:eastAsia="仿宋_GB2312" w:cs="Times New Roman"/>
          <w:bCs/>
          <w:color w:val="auto"/>
          <w:sz w:val="32"/>
          <w:szCs w:val="32"/>
          <w:lang w:val="en-US" w:eastAsia="zh-CN"/>
        </w:rPr>
        <w:t>6号</w:t>
      </w:r>
      <w:r>
        <w:rPr>
          <w:rFonts w:hint="eastAsia" w:cs="Times New Roman"/>
          <w:color w:val="auto"/>
          <w:highlight w:val="none"/>
          <w:lang w:val="en-US" w:eastAsia="zh-CN"/>
        </w:rPr>
        <w:t>）文件精神，</w:t>
      </w:r>
      <w:r>
        <w:rPr>
          <w:rFonts w:hint="eastAsia" w:hAnsi="仿宋" w:cs="Times New Roman"/>
          <w:sz w:val="32"/>
          <w:szCs w:val="32"/>
          <w:lang w:eastAsia="zh-CN"/>
        </w:rPr>
        <w:t>西宁市城中区财政局委托</w:t>
      </w:r>
      <w:r>
        <w:rPr>
          <w:rFonts w:hint="eastAsia" w:cs="Times New Roman"/>
          <w:color w:val="auto"/>
          <w:highlight w:val="none"/>
        </w:rPr>
        <w:t>第三方机构对</w:t>
      </w:r>
      <w:r>
        <w:rPr>
          <w:rFonts w:hint="eastAsia" w:ascii="仿宋_GB2312" w:eastAsia="仿宋_GB2312" w:cs="Times New Roman"/>
          <w:bCs/>
          <w:color w:val="auto"/>
          <w:sz w:val="32"/>
          <w:szCs w:val="32"/>
          <w:lang w:val="en-US" w:eastAsia="zh-CN"/>
        </w:rPr>
        <w:t>西宁市</w:t>
      </w:r>
      <w:r>
        <w:rPr>
          <w:rFonts w:hint="eastAsia" w:cs="Times New Roman"/>
          <w:color w:val="auto"/>
          <w:highlight w:val="none"/>
          <w:lang w:val="en-US" w:eastAsia="zh-CN"/>
        </w:rPr>
        <w:t>城中区前营街幼儿园建设项目</w:t>
      </w:r>
      <w:r>
        <w:rPr>
          <w:rFonts w:hint="eastAsia" w:cs="Times New Roman"/>
          <w:color w:val="auto"/>
          <w:highlight w:val="none"/>
        </w:rPr>
        <w:t>开展了绩效评价。</w:t>
      </w:r>
    </w:p>
    <w:p>
      <w:pPr>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right="0" w:firstLine="640" w:firstLineChars="200"/>
        <w:textAlignment w:val="auto"/>
        <w:rPr>
          <w:rFonts w:hint="eastAsia" w:ascii="仿宋_GB2312" w:hAnsi="仿宋_GB2312" w:cs="仿宋_GB2312"/>
          <w:sz w:val="32"/>
          <w:szCs w:val="32"/>
          <w:lang w:eastAsia="zh-CN"/>
        </w:rPr>
      </w:pPr>
      <w:r>
        <w:rPr>
          <w:rFonts w:hint="eastAsia" w:ascii="仿宋_GB2312" w:hAnsi="仿宋_GB2312" w:eastAsia="仿宋_GB2312" w:cs="仿宋_GB2312"/>
          <w:kern w:val="2"/>
          <w:sz w:val="32"/>
          <w:szCs w:val="22"/>
          <w:lang w:val="en-US" w:eastAsia="zh-CN" w:bidi="ar-SA"/>
        </w:rPr>
        <w:t>本次绩效评价</w:t>
      </w:r>
      <w:r>
        <w:rPr>
          <w:rFonts w:hint="eastAsia" w:ascii="仿宋_GB2312" w:hAnsi="仿宋_GB2312" w:eastAsia="仿宋_GB2312" w:cs="仿宋_GB2312"/>
          <w:sz w:val="32"/>
          <w:szCs w:val="32"/>
        </w:rPr>
        <w:t>运用科学、规范、合理的评价方法、评价指标体系和评价标准，</w:t>
      </w:r>
      <w:r>
        <w:rPr>
          <w:rFonts w:hint="eastAsia" w:ascii="仿宋_GB2312" w:hAnsi="仿宋_GB2312" w:eastAsia="仿宋_GB2312" w:cs="仿宋_GB2312"/>
          <w:kern w:val="2"/>
          <w:sz w:val="32"/>
          <w:szCs w:val="22"/>
          <w:lang w:val="en-US" w:eastAsia="zh-CN" w:bidi="ar-SA"/>
        </w:rPr>
        <w:t>重点围绕</w:t>
      </w:r>
      <w:r>
        <w:rPr>
          <w:rFonts w:hint="eastAsia" w:cs="Times New Roman"/>
          <w:color w:val="auto"/>
          <w:highlight w:val="none"/>
          <w:lang w:val="en-US" w:eastAsia="zh-CN"/>
        </w:rPr>
        <w:t>西宁市城中区前营街幼儿园建设及投入运营情况</w:t>
      </w:r>
      <w:r>
        <w:rPr>
          <w:rFonts w:hint="eastAsia" w:ascii="仿宋_GB2312" w:hAnsi="仿宋_GB2312" w:eastAsia="仿宋_GB2312" w:cs="仿宋_GB2312"/>
          <w:kern w:val="2"/>
          <w:sz w:val="32"/>
          <w:szCs w:val="22"/>
          <w:lang w:val="en-US" w:eastAsia="zh-CN" w:bidi="ar-SA"/>
        </w:rPr>
        <w:t>，分别从决策、过程、产出和效益四个方面，综合分析该项目绩效目标设定的合理性和可衡量性，预算编制的合理性和科学性，</w:t>
      </w:r>
      <w:r>
        <w:rPr>
          <w:rFonts w:hint="eastAsia" w:ascii="仿宋_GB2312" w:hAnsi="仿宋_GB2312" w:cs="仿宋_GB2312"/>
          <w:kern w:val="2"/>
          <w:sz w:val="32"/>
          <w:szCs w:val="22"/>
          <w:lang w:val="en-US" w:eastAsia="zh-CN" w:bidi="ar-SA"/>
        </w:rPr>
        <w:t>项目管理与资金</w:t>
      </w:r>
      <w:r>
        <w:rPr>
          <w:rFonts w:hint="eastAsia" w:ascii="仿宋_GB2312" w:hAnsi="仿宋_GB2312" w:eastAsia="仿宋_GB2312" w:cs="仿宋_GB2312"/>
          <w:kern w:val="2"/>
          <w:sz w:val="32"/>
          <w:szCs w:val="22"/>
          <w:lang w:val="en-US" w:eastAsia="zh-CN" w:bidi="ar-SA"/>
        </w:rPr>
        <w:t>管理</w:t>
      </w:r>
      <w:r>
        <w:rPr>
          <w:rFonts w:hint="eastAsia" w:ascii="仿宋_GB2312" w:hAnsi="仿宋_GB2312" w:cs="仿宋_GB2312"/>
          <w:kern w:val="2"/>
          <w:sz w:val="32"/>
          <w:szCs w:val="22"/>
          <w:lang w:val="en-US" w:eastAsia="zh-CN" w:bidi="ar-SA"/>
        </w:rPr>
        <w:t>的完整性</w:t>
      </w:r>
      <w:r>
        <w:rPr>
          <w:rFonts w:hint="eastAsia" w:ascii="仿宋_GB2312" w:hAnsi="仿宋_GB2312" w:eastAsia="仿宋_GB2312" w:cs="仿宋_GB2312"/>
          <w:kern w:val="2"/>
          <w:sz w:val="32"/>
          <w:szCs w:val="22"/>
          <w:lang w:val="en-US" w:eastAsia="zh-CN" w:bidi="ar-SA"/>
        </w:rPr>
        <w:t>和有效性，</w:t>
      </w:r>
      <w:r>
        <w:rPr>
          <w:rFonts w:hint="eastAsia" w:ascii="仿宋_GB2312" w:hAnsi="仿宋_GB2312" w:cs="仿宋_GB2312"/>
          <w:kern w:val="2"/>
          <w:sz w:val="32"/>
          <w:szCs w:val="22"/>
          <w:lang w:val="en-US" w:eastAsia="zh-CN" w:bidi="ar-SA"/>
        </w:rPr>
        <w:t>招投标、合同、施工管理、工程监理、项目验收</w:t>
      </w:r>
      <w:r>
        <w:rPr>
          <w:rFonts w:hint="eastAsia" w:cs="仿宋_GB2312"/>
          <w:kern w:val="2"/>
          <w:sz w:val="32"/>
          <w:szCs w:val="22"/>
          <w:lang w:val="en-US" w:eastAsia="zh-CN" w:bidi="ar-SA"/>
        </w:rPr>
        <w:t>结算</w:t>
      </w:r>
      <w:r>
        <w:rPr>
          <w:rFonts w:hint="eastAsia" w:ascii="仿宋_GB2312" w:hAnsi="仿宋_GB2312" w:cs="仿宋_GB2312"/>
          <w:kern w:val="2"/>
          <w:sz w:val="32"/>
          <w:szCs w:val="22"/>
          <w:lang w:val="en-US" w:eastAsia="zh-CN" w:bidi="ar-SA"/>
        </w:rPr>
        <w:t>的</w:t>
      </w:r>
      <w:r>
        <w:rPr>
          <w:rFonts w:hint="eastAsia" w:ascii="仿宋_GB2312" w:hAnsi="仿宋_GB2312" w:eastAsia="仿宋_GB2312" w:cs="仿宋_GB2312"/>
          <w:kern w:val="2"/>
          <w:sz w:val="32"/>
          <w:szCs w:val="22"/>
          <w:lang w:val="en-US" w:eastAsia="zh-CN" w:bidi="ar-SA"/>
        </w:rPr>
        <w:t>合规性和</w:t>
      </w:r>
      <w:r>
        <w:rPr>
          <w:rFonts w:hint="eastAsia" w:ascii="仿宋_GB2312" w:hAnsi="仿宋_GB2312" w:cs="仿宋_GB2312"/>
          <w:kern w:val="2"/>
          <w:sz w:val="32"/>
          <w:szCs w:val="22"/>
          <w:lang w:val="en-US" w:eastAsia="zh-CN" w:bidi="ar-SA"/>
        </w:rPr>
        <w:t>健全性</w:t>
      </w:r>
      <w:r>
        <w:rPr>
          <w:rFonts w:hint="eastAsia" w:ascii="仿宋_GB2312" w:hAnsi="仿宋_GB2312" w:eastAsia="仿宋_GB2312" w:cs="仿宋_GB2312"/>
          <w:kern w:val="2"/>
          <w:sz w:val="32"/>
          <w:szCs w:val="22"/>
          <w:lang w:val="en-US" w:eastAsia="zh-CN" w:bidi="ar-SA"/>
        </w:rPr>
        <w:t>，以及项目产出和</w:t>
      </w:r>
      <w:r>
        <w:rPr>
          <w:rFonts w:hint="eastAsia" w:cs="仿宋_GB2312"/>
          <w:kern w:val="2"/>
          <w:sz w:val="32"/>
          <w:szCs w:val="22"/>
          <w:lang w:val="en-US" w:eastAsia="zh-CN" w:bidi="ar-SA"/>
        </w:rPr>
        <w:t>投入运营</w:t>
      </w:r>
      <w:r>
        <w:rPr>
          <w:rFonts w:hint="eastAsia" w:ascii="仿宋_GB2312" w:hAnsi="仿宋_GB2312" w:eastAsia="仿宋_GB2312" w:cs="仿宋_GB2312"/>
          <w:kern w:val="2"/>
          <w:sz w:val="32"/>
          <w:szCs w:val="22"/>
          <w:lang w:val="en-US" w:eastAsia="zh-CN" w:bidi="ar-SA"/>
        </w:rPr>
        <w:t>效益情况。在此基础上，总结亮点和经验，分析问题和不足，找出原因并提出合理的意见建议，</w:t>
      </w:r>
      <w:r>
        <w:rPr>
          <w:rFonts w:hint="eastAsia" w:ascii="仿宋_GB2312" w:hAnsi="仿宋_GB2312" w:cs="仿宋_GB2312"/>
          <w:sz w:val="32"/>
          <w:szCs w:val="32"/>
          <w:lang w:eastAsia="zh-CN"/>
        </w:rPr>
        <w:t>作为财政局今后项目调整的重要依据，进一步优化资金分配，完善机制创设，提高资金效能。</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cs="Times New Roman"/>
          <w:color w:val="auto"/>
          <w:highlight w:val="none"/>
          <w:lang w:val="en-US" w:eastAsia="zh-CN"/>
        </w:rPr>
      </w:pPr>
      <w:r>
        <w:rPr>
          <w:rFonts w:hint="eastAsia" w:cs="仿宋_GB2312"/>
          <w:color w:val="auto"/>
          <w:szCs w:val="32"/>
          <w:lang w:eastAsia="zh-CN"/>
        </w:rPr>
        <w:t>绩效评价工作组通过核查项目</w:t>
      </w:r>
      <w:r>
        <w:rPr>
          <w:rFonts w:hint="eastAsia" w:cs="仿宋_GB2312"/>
          <w:color w:val="auto"/>
          <w:szCs w:val="32"/>
        </w:rPr>
        <w:t>资料</w:t>
      </w:r>
      <w:r>
        <w:rPr>
          <w:rFonts w:hint="eastAsia" w:cs="仿宋_GB2312"/>
          <w:color w:val="auto"/>
          <w:szCs w:val="32"/>
          <w:lang w:eastAsia="zh-CN"/>
        </w:rPr>
        <w:t>，实地调研、问询答疑</w:t>
      </w:r>
      <w:r>
        <w:rPr>
          <w:rFonts w:hint="eastAsia" w:cs="仿宋_GB2312"/>
          <w:color w:val="auto"/>
          <w:szCs w:val="32"/>
        </w:rPr>
        <w:t>，结合问卷调查</w:t>
      </w:r>
      <w:r>
        <w:rPr>
          <w:rFonts w:hint="eastAsia" w:cs="仿宋_GB2312"/>
          <w:color w:val="auto"/>
          <w:szCs w:val="32"/>
          <w:lang w:eastAsia="zh-CN"/>
        </w:rPr>
        <w:t>及</w:t>
      </w:r>
      <w:r>
        <w:rPr>
          <w:rFonts w:hint="eastAsia" w:cs="仿宋_GB2312"/>
          <w:color w:val="auto"/>
          <w:szCs w:val="32"/>
        </w:rPr>
        <w:t>访谈</w:t>
      </w:r>
      <w:r>
        <w:rPr>
          <w:rFonts w:hint="eastAsia" w:cs="仿宋_GB2312"/>
          <w:color w:val="auto"/>
          <w:szCs w:val="32"/>
          <w:lang w:val="en-US" w:eastAsia="zh-CN"/>
        </w:rPr>
        <w:t>分析结果，严格按</w:t>
      </w:r>
      <w:r>
        <w:rPr>
          <w:rFonts w:hint="eastAsia" w:cs="仿宋_GB2312"/>
          <w:color w:val="auto"/>
          <w:szCs w:val="32"/>
          <w:highlight w:val="none"/>
          <w:lang w:val="en-US" w:eastAsia="zh-CN"/>
        </w:rPr>
        <w:t>照</w:t>
      </w:r>
      <w:r>
        <w:rPr>
          <w:rFonts w:hint="eastAsia" w:cs="Times New Roman"/>
          <w:color w:val="auto"/>
          <w:highlight w:val="none"/>
          <w:lang w:val="en-US" w:eastAsia="zh-CN"/>
        </w:rPr>
        <w:t>项目绩效评价指标体系评分标准</w:t>
      </w:r>
      <w:r>
        <w:rPr>
          <w:rFonts w:hint="eastAsia" w:cs="仿宋_GB2312"/>
          <w:color w:val="auto"/>
          <w:szCs w:val="32"/>
          <w:highlight w:val="none"/>
        </w:rPr>
        <w:t>进行量化打分，综合评价得分</w:t>
      </w:r>
      <w:r>
        <w:rPr>
          <w:rFonts w:hint="eastAsia" w:ascii="Times New Roman" w:hAnsi="Times New Roman" w:eastAsia="仿宋_GB2312" w:cs="Times New Roman"/>
          <w:bCs/>
          <w:color w:val="auto"/>
          <w:sz w:val="32"/>
          <w:szCs w:val="32"/>
        </w:rPr>
        <w:t>为</w:t>
      </w:r>
      <w:r>
        <w:rPr>
          <w:rFonts w:hint="eastAsia" w:ascii="Times New Roman" w:hAnsi="Times New Roman" w:eastAsia="仿宋_GB2312" w:cs="Times New Roman"/>
          <w:bCs/>
          <w:color w:val="auto"/>
          <w:sz w:val="32"/>
          <w:szCs w:val="32"/>
          <w:lang w:val="en-US" w:eastAsia="zh-CN"/>
        </w:rPr>
        <w:t>86.85</w:t>
      </w:r>
      <w:r>
        <w:rPr>
          <w:rFonts w:hint="eastAsia" w:cs="Times New Roman"/>
          <w:b/>
          <w:bCs/>
          <w:color w:val="auto"/>
          <w:highlight w:val="none"/>
          <w:lang w:val="en-US" w:eastAsia="zh-CN"/>
        </w:rPr>
        <w:t>分</w:t>
      </w:r>
      <w:r>
        <w:rPr>
          <w:rFonts w:hint="eastAsia" w:cs="Times New Roman"/>
          <w:color w:val="auto"/>
          <w:highlight w:val="none"/>
          <w:lang w:val="en-US" w:eastAsia="zh-CN"/>
        </w:rPr>
        <w:t>，根据《财政部关于印发&lt;项目支出绩效评价管理办法&gt;的通知》（财</w:t>
      </w:r>
      <w:r>
        <w:rPr>
          <w:rFonts w:hint="eastAsia" w:ascii="仿宋_GB2312" w:eastAsia="仿宋_GB2312" w:cs="Times New Roman"/>
          <w:bCs/>
          <w:color w:val="auto"/>
          <w:sz w:val="32"/>
          <w:szCs w:val="32"/>
          <w:lang w:val="en-US" w:eastAsia="zh-CN"/>
        </w:rPr>
        <w:t>预</w:t>
      </w:r>
      <w:r>
        <w:rPr>
          <w:rFonts w:hint="eastAsia" w:ascii="Times New Roman" w:hAnsi="Times New Roman" w:eastAsia="仿宋_GB2312" w:cs="Times New Roman"/>
          <w:bCs/>
          <w:color w:val="auto"/>
          <w:sz w:val="32"/>
          <w:szCs w:val="32"/>
          <w:lang w:val="en-US" w:eastAsia="zh-CN"/>
        </w:rPr>
        <w:t>〔2020〕10号）</w:t>
      </w:r>
      <w:r>
        <w:rPr>
          <w:rFonts w:hint="eastAsia" w:cs="Times New Roman"/>
          <w:color w:val="auto"/>
          <w:highlight w:val="none"/>
          <w:lang w:val="en-US" w:eastAsia="zh-CN"/>
        </w:rPr>
        <w:t>规定，绩效评价结果等级为</w:t>
      </w:r>
      <w:r>
        <w:rPr>
          <w:rFonts w:hint="eastAsia" w:cs="Times New Roman"/>
          <w:b/>
          <w:bCs/>
          <w:color w:val="auto"/>
          <w:highlight w:val="none"/>
          <w:lang w:val="en-US" w:eastAsia="zh-CN"/>
        </w:rPr>
        <w:t>：良。</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cs="Times New Roman"/>
          <w:color w:val="auto"/>
          <w:highlight w:val="none"/>
          <w:lang w:val="en-US" w:eastAsia="zh-CN"/>
        </w:rPr>
      </w:pPr>
      <w:r>
        <w:rPr>
          <w:rFonts w:hint="eastAsia" w:cs="仿宋_GB2312"/>
          <w:b/>
          <w:bCs/>
          <w:color w:val="auto"/>
          <w:kern w:val="2"/>
          <w:sz w:val="32"/>
          <w:szCs w:val="24"/>
          <w:highlight w:val="none"/>
          <w:lang w:val="en-US" w:eastAsia="zh-CN" w:bidi="ar-SA"/>
        </w:rPr>
        <w:t>总体认为</w:t>
      </w:r>
      <w:r>
        <w:rPr>
          <w:rFonts w:hint="eastAsia" w:cs="仿宋_GB2312"/>
          <w:color w:val="auto"/>
          <w:kern w:val="2"/>
          <w:sz w:val="32"/>
          <w:szCs w:val="24"/>
          <w:highlight w:val="none"/>
          <w:lang w:val="en-US" w:eastAsia="zh-CN" w:bidi="ar-SA"/>
        </w:rPr>
        <w:t>：</w:t>
      </w:r>
      <w:r>
        <w:rPr>
          <w:rFonts w:hint="eastAsia" w:cs="Times New Roman"/>
          <w:color w:val="auto"/>
          <w:highlight w:val="none"/>
          <w:lang w:val="en-US" w:eastAsia="zh-CN"/>
        </w:rPr>
        <w:t>西宁市城中区前营街幼儿园建设项目立项依据充分、程序规范，项目相关制度健全，项目招投标、合同、管理规范，项目工程计划建设内容按照预期目标已全部完成，资金使用效益显著。西宁市城中区前营街幼儿园的投入运营切实改善了西宁市城中区学前教育整体规模不足、幼儿园布局不合理的现状，保障了儿童均能就近接受高质量的学前教育，提高了学前教育质量和水平，在校教师及家长对项目实施效果的满意度和认可度较高。但仍存在以下问题：</w:t>
      </w:r>
      <w:r>
        <w:rPr>
          <w:rFonts w:hint="eastAsia" w:cs="Times New Roman"/>
          <w:b/>
          <w:bCs/>
          <w:color w:val="auto"/>
          <w:highlight w:val="none"/>
          <w:lang w:val="en-US" w:eastAsia="zh-CN"/>
        </w:rPr>
        <w:t>一是</w:t>
      </w:r>
      <w:r>
        <w:rPr>
          <w:rFonts w:hint="eastAsia" w:cs="Times New Roman"/>
          <w:color w:val="auto"/>
          <w:highlight w:val="none"/>
          <w:lang w:val="en-US" w:eastAsia="zh-CN"/>
        </w:rPr>
        <w:t>绩效指标编制水平不足；</w:t>
      </w:r>
      <w:r>
        <w:rPr>
          <w:rFonts w:hint="eastAsia" w:cs="Times New Roman"/>
          <w:b/>
          <w:bCs/>
          <w:color w:val="auto"/>
          <w:highlight w:val="none"/>
          <w:lang w:val="en-US" w:eastAsia="zh-CN"/>
        </w:rPr>
        <w:t>二是</w:t>
      </w:r>
      <w:r>
        <w:rPr>
          <w:rFonts w:hint="eastAsia" w:cs="Times New Roman"/>
          <w:color w:val="auto"/>
          <w:highlight w:val="none"/>
          <w:lang w:val="en-US" w:eastAsia="zh-CN"/>
        </w:rPr>
        <w:t>存在“边施工边补手续”的现象；</w:t>
      </w:r>
      <w:r>
        <w:rPr>
          <w:rFonts w:hint="eastAsia" w:cs="Times New Roman"/>
          <w:b/>
          <w:bCs/>
          <w:color w:val="auto"/>
          <w:highlight w:val="none"/>
          <w:lang w:val="en-US" w:eastAsia="zh-CN"/>
        </w:rPr>
        <w:t>三是</w:t>
      </w:r>
      <w:r>
        <w:rPr>
          <w:rFonts w:hint="eastAsia" w:cs="Times New Roman"/>
          <w:color w:val="auto"/>
          <w:highlight w:val="none"/>
          <w:lang w:val="en-US" w:eastAsia="zh-CN"/>
        </w:rPr>
        <w:t>项目资产交付使用手续尚未办理；</w:t>
      </w:r>
      <w:r>
        <w:rPr>
          <w:rFonts w:hint="eastAsia" w:cs="Times New Roman"/>
          <w:b/>
          <w:bCs/>
          <w:color w:val="auto"/>
          <w:highlight w:val="none"/>
          <w:lang w:val="en-US" w:eastAsia="zh-CN"/>
        </w:rPr>
        <w:t>四是</w:t>
      </w:r>
      <w:r>
        <w:rPr>
          <w:rFonts w:hint="eastAsia" w:cs="Times New Roman"/>
          <w:color w:val="auto"/>
          <w:highlight w:val="none"/>
          <w:lang w:val="en-US" w:eastAsia="zh-CN"/>
        </w:rPr>
        <w:t>项目完工、竣工结算审核不及时；</w:t>
      </w:r>
      <w:r>
        <w:rPr>
          <w:rFonts w:hint="eastAsia" w:cs="Times New Roman"/>
          <w:b/>
          <w:bCs/>
          <w:color w:val="auto"/>
          <w:highlight w:val="none"/>
          <w:lang w:val="en-US" w:eastAsia="zh-CN"/>
        </w:rPr>
        <w:t>五是</w:t>
      </w:r>
      <w:r>
        <w:rPr>
          <w:rFonts w:hint="eastAsia" w:cs="Times New Roman"/>
          <w:color w:val="auto"/>
          <w:highlight w:val="none"/>
          <w:lang w:val="en-US" w:eastAsia="zh-CN"/>
        </w:rPr>
        <w:t>项目实际投资超项目批复资金8.84%，成本控制较差。</w:t>
      </w:r>
    </w:p>
    <w:p>
      <w:pPr>
        <w:pageBreakBefore w:val="0"/>
        <w:overflowPunct/>
        <w:topLinePunct w:val="0"/>
        <w:bidi w:val="0"/>
        <w:spacing w:line="576" w:lineRule="exact"/>
        <w:ind w:left="0" w:leftChars="0"/>
        <w:rPr>
          <w:rFonts w:hint="eastAsia" w:cs="Times New Roman"/>
          <w:color w:val="auto"/>
          <w:highlight w:val="none"/>
          <w:lang w:val="en-US" w:eastAsia="zh-CN"/>
        </w:rPr>
      </w:pPr>
      <w:r>
        <w:rPr>
          <w:rFonts w:hint="eastAsia" w:cs="Times New Roman"/>
          <w:color w:val="auto"/>
          <w:highlight w:val="none"/>
          <w:lang w:val="en-US" w:eastAsia="zh-CN"/>
        </w:rPr>
        <w:br w:type="page"/>
      </w:r>
    </w:p>
    <w:p>
      <w:pPr>
        <w:pageBreakBefore w:val="0"/>
        <w:numPr>
          <w:ilvl w:val="0"/>
          <w:numId w:val="0"/>
        </w:numPr>
        <w:overflowPunct/>
        <w:topLinePunct w:val="0"/>
        <w:bidi w:val="0"/>
        <w:spacing w:line="576" w:lineRule="exact"/>
        <w:ind w:left="0" w:leftChars="0" w:firstLine="0" w:firstLineChars="0"/>
        <w:jc w:val="center"/>
        <w:rPr>
          <w:rFonts w:hint="eastAsia" w:ascii="Calibri" w:hAnsi="Calibri" w:eastAsia="宋体" w:cs="Times New Roman"/>
          <w:b/>
          <w:bCs/>
          <w:sz w:val="36"/>
          <w:szCs w:val="36"/>
          <w:lang w:val="en-US" w:eastAsia="zh-CN"/>
        </w:rPr>
      </w:pPr>
      <w:r>
        <w:rPr>
          <w:rFonts w:hint="eastAsia" w:ascii="Calibri" w:hAnsi="Calibri" w:eastAsia="宋体" w:cs="Times New Roman"/>
          <w:b/>
          <w:bCs/>
          <w:sz w:val="36"/>
          <w:szCs w:val="36"/>
          <w:lang w:val="en-US" w:eastAsia="zh-CN"/>
        </w:rPr>
        <w:t>项目绩效评价结论表</w:t>
      </w:r>
    </w:p>
    <w:tbl>
      <w:tblPr>
        <w:tblStyle w:val="14"/>
        <w:tblW w:w="87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2184"/>
        <w:gridCol w:w="1813"/>
        <w:gridCol w:w="2228"/>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86"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项</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基</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本</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情</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b/>
                <w:bCs/>
                <w:kern w:val="2"/>
                <w:sz w:val="28"/>
                <w:szCs w:val="28"/>
                <w:lang w:val="en-US" w:eastAsia="zh-CN" w:bidi="ar-SA"/>
              </w:rPr>
              <w:t>况</w:t>
            </w: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项目名称</w:t>
            </w:r>
          </w:p>
        </w:tc>
        <w:tc>
          <w:tcPr>
            <w:tcW w:w="5661"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西宁市城中区前营街幼儿园建设项目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主管单位</w:t>
            </w:r>
          </w:p>
        </w:tc>
        <w:tc>
          <w:tcPr>
            <w:tcW w:w="5661"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西宁市城中区教育局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实施单位</w:t>
            </w:r>
          </w:p>
        </w:tc>
        <w:tc>
          <w:tcPr>
            <w:tcW w:w="5661"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西宁市城中区教育局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项目起止时间</w:t>
            </w:r>
          </w:p>
        </w:tc>
        <w:tc>
          <w:tcPr>
            <w:tcW w:w="5661"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2012年至2021年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委托评价单位</w:t>
            </w:r>
          </w:p>
        </w:tc>
        <w:tc>
          <w:tcPr>
            <w:tcW w:w="5661"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仿宋_GB2312" w:cs="宋体"/>
                <w:b w:val="0"/>
                <w:bCs w:val="0"/>
                <w:sz w:val="24"/>
                <w:szCs w:val="24"/>
                <w:vertAlign w:val="baseline"/>
                <w:lang w:val="en-US" w:eastAsia="zh-CN"/>
              </w:rPr>
            </w:pPr>
            <w:r>
              <w:rPr>
                <w:rFonts w:hint="eastAsia" w:ascii="宋体" w:hAnsi="宋体" w:eastAsia="宋体" w:cs="宋体"/>
                <w:sz w:val="24"/>
                <w:lang w:eastAsia="zh-CN"/>
              </w:rPr>
              <w:t>西宁市城中区财政局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项目属性</w:t>
            </w:r>
          </w:p>
        </w:tc>
        <w:tc>
          <w:tcPr>
            <w:tcW w:w="5661"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1440" w:firstLineChars="60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□新增项目   ☑延续项目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项目类型</w:t>
            </w:r>
          </w:p>
        </w:tc>
        <w:tc>
          <w:tcPr>
            <w:tcW w:w="5661"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☑经济建设类   □社会文教类</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□国防建设类   □行政管理类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exact"/>
        </w:trPr>
        <w:tc>
          <w:tcPr>
            <w:tcW w:w="88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8"/>
                <w:szCs w:val="28"/>
                <w:vertAlign w:val="baseline"/>
                <w:lang w:val="en-US" w:eastAsia="zh-CN"/>
              </w:rPr>
            </w:pPr>
            <w:r>
              <w:rPr>
                <w:rFonts w:hint="eastAsia" w:ascii="宋体" w:hAnsi="宋体" w:eastAsia="宋体" w:cs="宋体"/>
                <w:b/>
                <w:bCs/>
                <w:sz w:val="28"/>
                <w:szCs w:val="28"/>
                <w:vertAlign w:val="baseline"/>
                <w:lang w:val="en-US" w:eastAsia="zh-CN"/>
              </w:rPr>
              <w:t>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情</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8"/>
                <w:szCs w:val="28"/>
                <w:vertAlign w:val="baseline"/>
                <w:lang w:val="en-US" w:eastAsia="zh-CN"/>
              </w:rPr>
              <w:t>况</w:t>
            </w: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计划投资资金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（万元）</w:t>
            </w:r>
          </w:p>
        </w:tc>
        <w:tc>
          <w:tcPr>
            <w:tcW w:w="181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1787</w:t>
            </w:r>
          </w:p>
        </w:tc>
        <w:tc>
          <w:tcPr>
            <w:tcW w:w="22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实际到位资金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（万元）</w:t>
            </w:r>
          </w:p>
        </w:tc>
        <w:tc>
          <w:tcPr>
            <w:tcW w:w="16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1850.74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其中：中央财政</w:t>
            </w:r>
          </w:p>
        </w:tc>
        <w:tc>
          <w:tcPr>
            <w:tcW w:w="181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516</w:t>
            </w:r>
          </w:p>
        </w:tc>
        <w:tc>
          <w:tcPr>
            <w:tcW w:w="22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其中：中央财政</w:t>
            </w:r>
          </w:p>
        </w:tc>
        <w:tc>
          <w:tcPr>
            <w:tcW w:w="16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516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省级财政</w:t>
            </w:r>
          </w:p>
        </w:tc>
        <w:tc>
          <w:tcPr>
            <w:tcW w:w="181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2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省级财政</w:t>
            </w:r>
          </w:p>
        </w:tc>
        <w:tc>
          <w:tcPr>
            <w:tcW w:w="16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市县财政</w:t>
            </w:r>
          </w:p>
        </w:tc>
        <w:tc>
          <w:tcPr>
            <w:tcW w:w="181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1271</w:t>
            </w:r>
          </w:p>
        </w:tc>
        <w:tc>
          <w:tcPr>
            <w:tcW w:w="22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市县财政</w:t>
            </w:r>
          </w:p>
        </w:tc>
        <w:tc>
          <w:tcPr>
            <w:tcW w:w="16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1334.74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实际完成投资资金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（万元）</w:t>
            </w:r>
          </w:p>
        </w:tc>
        <w:tc>
          <w:tcPr>
            <w:tcW w:w="181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1945.16</w:t>
            </w:r>
          </w:p>
        </w:tc>
        <w:tc>
          <w:tcPr>
            <w:tcW w:w="22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超计划投资资金（万元）</w:t>
            </w:r>
          </w:p>
        </w:tc>
        <w:tc>
          <w:tcPr>
            <w:tcW w:w="16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158.16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累计支出资金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kern w:val="2"/>
                <w:sz w:val="24"/>
                <w:szCs w:val="24"/>
                <w:vertAlign w:val="baseline"/>
                <w:lang w:val="en-US" w:eastAsia="zh-CN" w:bidi="ar-SA"/>
              </w:rPr>
            </w:pPr>
            <w:r>
              <w:rPr>
                <w:rFonts w:hint="eastAsia" w:ascii="宋体" w:hAnsi="宋体" w:eastAsia="宋体" w:cs="宋体"/>
                <w:b/>
                <w:bCs/>
                <w:color w:val="auto"/>
                <w:sz w:val="24"/>
                <w:szCs w:val="24"/>
                <w:vertAlign w:val="baseline"/>
                <w:lang w:val="en-US" w:eastAsia="zh-CN"/>
              </w:rPr>
              <w:t>（万元）</w:t>
            </w:r>
          </w:p>
        </w:tc>
        <w:tc>
          <w:tcPr>
            <w:tcW w:w="181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kern w:val="2"/>
                <w:sz w:val="24"/>
                <w:szCs w:val="24"/>
                <w:vertAlign w:val="baseline"/>
                <w:lang w:val="en-US" w:eastAsia="zh-CN" w:bidi="ar-SA"/>
              </w:rPr>
              <w:t>1843.65</w:t>
            </w:r>
          </w:p>
        </w:tc>
        <w:tc>
          <w:tcPr>
            <w:tcW w:w="22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项目缺口资金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kern w:val="2"/>
                <w:sz w:val="24"/>
                <w:szCs w:val="24"/>
                <w:vertAlign w:val="baseline"/>
                <w:lang w:val="en-US" w:eastAsia="zh-CN" w:bidi="ar-SA"/>
              </w:rPr>
            </w:pPr>
            <w:r>
              <w:rPr>
                <w:rFonts w:hint="eastAsia" w:ascii="宋体" w:hAnsi="宋体" w:eastAsia="宋体" w:cs="宋体"/>
                <w:b/>
                <w:bCs/>
                <w:color w:val="auto"/>
                <w:sz w:val="24"/>
                <w:szCs w:val="24"/>
                <w:vertAlign w:val="baseline"/>
                <w:lang w:val="en-US" w:eastAsia="zh-CN"/>
              </w:rPr>
              <w:t>（万元）</w:t>
            </w:r>
          </w:p>
        </w:tc>
        <w:tc>
          <w:tcPr>
            <w:tcW w:w="16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color w:val="auto"/>
                <w:kern w:val="2"/>
                <w:sz w:val="24"/>
                <w:szCs w:val="24"/>
                <w:vertAlign w:val="baseline"/>
                <w:lang w:val="en-US" w:eastAsia="zh-CN" w:bidi="ar-SA"/>
              </w:rPr>
            </w:pPr>
            <w:r>
              <w:rPr>
                <w:rFonts w:hint="eastAsia" w:ascii="宋体" w:hAnsi="宋体" w:eastAsia="宋体" w:cs="宋体"/>
                <w:b w:val="0"/>
                <w:bCs w:val="0"/>
                <w:color w:val="auto"/>
                <w:kern w:val="2"/>
                <w:sz w:val="24"/>
                <w:szCs w:val="24"/>
                <w:vertAlign w:val="baseline"/>
                <w:lang w:val="en-US" w:eastAsia="zh-CN" w:bidi="ar-SA"/>
              </w:rPr>
              <w:t>94.42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预算执行率</w:t>
            </w:r>
          </w:p>
        </w:tc>
        <w:tc>
          <w:tcPr>
            <w:tcW w:w="5661"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99.62%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8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绩</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完</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情</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况</w:t>
            </w:r>
          </w:p>
        </w:tc>
        <w:tc>
          <w:tcPr>
            <w:tcW w:w="3997"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预期绩效目标</w:t>
            </w:r>
          </w:p>
        </w:tc>
        <w:tc>
          <w:tcPr>
            <w:tcW w:w="3848"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实际完成目标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7"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p>
        </w:tc>
        <w:tc>
          <w:tcPr>
            <w:tcW w:w="3997"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both"/>
              <w:textAlignment w:val="auto"/>
              <w:rPr>
                <w:rFonts w:hint="default" w:ascii="宋体" w:hAnsi="宋体" w:eastAsia="宋体" w:cs="宋体"/>
                <w:b/>
                <w:bCs/>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根据《西宁市城乡规划和建设局关于&lt;城中区前营街幼儿园建设项目初步设计&gt;的批复》，城中区教育局计划在城中区法院以北，原玉井巷小学院内建设城中区前营街幼儿园，总建筑面积4981.55平方米。前营街幼儿园建设完成投入运营后，可改善西宁市城中区学前教育整体规模不足、幼儿园布局不合理的现状，保障儿童均能就近接受高质量的学前教育，提高学前教育质量和水平。</w:t>
            </w:r>
          </w:p>
        </w:tc>
        <w:tc>
          <w:tcPr>
            <w:tcW w:w="3848" w:type="dxa"/>
            <w:gridSpan w:val="2"/>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前营街幼儿园于2018年3月15日开工建设，于2020年6月23日进行了预验收，项目已全部完工。2020年7月27日，城中区教育局组织城中区发展改革和工业信息化局、项目设计、勘察、监理、施工单位对项目进行了竣工验收，于2020年9月投入使用；2020年12月，青海华翼会计师事务所有限公司对项目进行了工程决算审核；2021年6月，城中区审计局对项目进行了审计。截至2021年11月，项目资产交付使用手续正在办理中。</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both"/>
              <w:textAlignment w:val="auto"/>
              <w:rPr>
                <w:rFonts w:hint="default" w:ascii="宋体" w:hAnsi="宋体" w:eastAsia="宋体" w:cs="宋体"/>
                <w:b w:val="0"/>
                <w:bCs w:val="0"/>
                <w:color w:val="auto"/>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8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项</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目</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价</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8"/>
                <w:szCs w:val="28"/>
                <w:vertAlign w:val="baseline"/>
                <w:lang w:val="en-US" w:eastAsia="zh-CN"/>
              </w:rPr>
            </w:pPr>
            <w:r>
              <w:rPr>
                <w:rFonts w:hint="eastAsia" w:ascii="宋体" w:hAnsi="宋体" w:eastAsia="宋体" w:cs="宋体"/>
                <w:b/>
                <w:bCs/>
                <w:sz w:val="28"/>
                <w:szCs w:val="28"/>
                <w:vertAlign w:val="baseline"/>
                <w:lang w:val="en-US" w:eastAsia="zh-CN"/>
              </w:rPr>
              <w:t>情</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8"/>
                <w:szCs w:val="28"/>
                <w:vertAlign w:val="baseline"/>
                <w:lang w:val="en-US" w:eastAsia="zh-CN"/>
              </w:rPr>
              <w:t>况</w:t>
            </w: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评价得分</w:t>
            </w:r>
          </w:p>
        </w:tc>
        <w:tc>
          <w:tcPr>
            <w:tcW w:w="181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ascii="宋体" w:hAnsi="宋体" w:eastAsia="宋体" w:cs="宋体"/>
                <w:b/>
                <w:bCs/>
                <w:sz w:val="24"/>
                <w:szCs w:val="24"/>
                <w:vertAlign w:val="baseline"/>
                <w:lang w:val="en-US" w:eastAsia="zh-CN"/>
              </w:rPr>
            </w:pPr>
            <w:r>
              <w:rPr>
                <w:rFonts w:hint="eastAsia" w:ascii="宋体" w:hAnsi="宋体" w:eastAsia="宋体" w:cs="宋体"/>
                <w:b/>
                <w:bCs/>
                <w:sz w:val="24"/>
                <w:szCs w:val="24"/>
                <w:highlight w:val="none"/>
                <w:vertAlign w:val="baseline"/>
                <w:lang w:val="en-US" w:eastAsia="zh-CN"/>
              </w:rPr>
              <w:t>86.85</w:t>
            </w:r>
          </w:p>
        </w:tc>
        <w:tc>
          <w:tcPr>
            <w:tcW w:w="22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评价等级</w:t>
            </w:r>
          </w:p>
        </w:tc>
        <w:tc>
          <w:tcPr>
            <w:tcW w:w="162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9"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评价结论</w:t>
            </w:r>
          </w:p>
        </w:tc>
        <w:tc>
          <w:tcPr>
            <w:tcW w:w="5661"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西宁市城中区前营街幼儿园建设项目立项依据充分、程序规范，项目相关制度健全，项目招投标、合同、管理规范，项目工程计划建设内容按照预期目标已全部完成，资金使用效益显著。西宁市城中区前营街幼儿园的投入运营切实改善了西宁市城中区学前教育整体规模不足、幼儿园布局不合理的现状，保障了儿童均能就近接受高质量的学前教育，提高了学前教育质量和水平，在校教师及家长对项目实施效果的满意度和认可度较高。但仍存在绩效指标编制水平不足；存在“边施工边补手续”的现象；项目资产交付使用手续尚未办理；项目完工、竣工结算审核不及时；项目实际投资超项目批复资金8.84%，成本控制较差等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6"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经验及做法</w:t>
            </w:r>
          </w:p>
        </w:tc>
        <w:tc>
          <w:tcPr>
            <w:tcW w:w="5661"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1.项目实施精准，效益发挥显著（详见45-46页）；</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2.严格执行档案管理制度，档案管理规范（详见46页）</w:t>
            </w:r>
            <w:r>
              <w:rPr>
                <w:rFonts w:hint="eastAsia" w:eastAsia="宋体" w:cs="Times New Roman"/>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8"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color w:val="auto"/>
                <w:sz w:val="24"/>
                <w:szCs w:val="24"/>
                <w:vertAlign w:val="baseline"/>
                <w:lang w:val="en-US" w:eastAsia="zh-CN"/>
              </w:rPr>
            </w:pPr>
            <w:r>
              <w:rPr>
                <w:rFonts w:hint="eastAsia" w:ascii="宋体" w:hAnsi="宋体" w:eastAsia="宋体" w:cs="宋体"/>
                <w:b/>
                <w:bCs/>
                <w:color w:val="auto"/>
                <w:sz w:val="24"/>
                <w:szCs w:val="24"/>
                <w:vertAlign w:val="baseline"/>
                <w:lang w:val="en-US" w:eastAsia="zh-CN"/>
              </w:rPr>
              <w:t>存在问题</w:t>
            </w:r>
          </w:p>
        </w:tc>
        <w:tc>
          <w:tcPr>
            <w:tcW w:w="5661"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1.绩效指标编制水平</w:t>
            </w:r>
            <w:r>
              <w:rPr>
                <w:rFonts w:hint="eastAsia" w:ascii="宋体" w:hAnsi="宋体" w:eastAsia="宋体" w:cs="宋体"/>
                <w:b w:val="0"/>
                <w:bCs w:val="0"/>
                <w:color w:val="auto"/>
                <w:sz w:val="24"/>
                <w:szCs w:val="24"/>
                <w:highlight w:val="none"/>
                <w:vertAlign w:val="baseline"/>
                <w:lang w:val="en-US" w:eastAsia="zh-CN"/>
              </w:rPr>
              <w:t>不足</w:t>
            </w:r>
            <w:r>
              <w:rPr>
                <w:rFonts w:hint="eastAsia" w:ascii="宋体" w:hAnsi="宋体" w:eastAsia="宋体" w:cs="宋体"/>
                <w:b w:val="0"/>
                <w:bCs w:val="0"/>
                <w:sz w:val="24"/>
                <w:szCs w:val="24"/>
                <w:highlight w:val="none"/>
                <w:vertAlign w:val="baseline"/>
                <w:lang w:val="en-US" w:eastAsia="zh-CN"/>
              </w:rPr>
              <w:t>（详见46页）</w:t>
            </w:r>
            <w:r>
              <w:rPr>
                <w:rFonts w:hint="eastAsia" w:ascii="宋体" w:hAnsi="宋体" w:eastAsia="宋体" w:cs="宋体"/>
                <w:b w:val="0"/>
                <w:bCs w:val="0"/>
                <w:color w:val="auto"/>
                <w:sz w:val="24"/>
                <w:szCs w:val="24"/>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2.存在“边施工边补手续”的现象</w:t>
            </w:r>
            <w:r>
              <w:rPr>
                <w:rFonts w:hint="eastAsia" w:ascii="宋体" w:hAnsi="宋体" w:eastAsia="宋体" w:cs="宋体"/>
                <w:b w:val="0"/>
                <w:bCs w:val="0"/>
                <w:sz w:val="24"/>
                <w:szCs w:val="24"/>
                <w:vertAlign w:val="baseline"/>
                <w:lang w:val="en-US" w:eastAsia="zh-CN"/>
              </w:rPr>
              <w:t>（详见47页）</w:t>
            </w:r>
            <w:r>
              <w:rPr>
                <w:rFonts w:hint="eastAsia" w:ascii="宋体" w:hAnsi="宋体" w:eastAsia="宋体" w:cs="宋体"/>
                <w:b w:val="0"/>
                <w:bCs w:val="0"/>
                <w:color w:val="auto"/>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3.项目资产交付使用手续尚未办理</w:t>
            </w:r>
            <w:r>
              <w:rPr>
                <w:rFonts w:hint="eastAsia" w:ascii="宋体" w:hAnsi="宋体" w:eastAsia="宋体" w:cs="宋体"/>
                <w:b w:val="0"/>
                <w:bCs w:val="0"/>
                <w:sz w:val="24"/>
                <w:szCs w:val="24"/>
                <w:vertAlign w:val="baseline"/>
                <w:lang w:val="en-US" w:eastAsia="zh-CN"/>
              </w:rPr>
              <w:t>（详见47页）</w:t>
            </w:r>
            <w:r>
              <w:rPr>
                <w:rFonts w:hint="eastAsia" w:ascii="宋体" w:hAnsi="宋体" w:eastAsia="宋体" w:cs="宋体"/>
                <w:b w:val="0"/>
                <w:bCs w:val="0"/>
                <w:color w:val="auto"/>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4.项目完工、竣工结算审核不及时</w:t>
            </w:r>
            <w:r>
              <w:rPr>
                <w:rFonts w:hint="eastAsia" w:ascii="宋体" w:hAnsi="宋体" w:eastAsia="宋体" w:cs="宋体"/>
                <w:b w:val="0"/>
                <w:bCs w:val="0"/>
                <w:sz w:val="24"/>
                <w:szCs w:val="24"/>
                <w:vertAlign w:val="baseline"/>
                <w:lang w:val="en-US" w:eastAsia="zh-CN"/>
              </w:rPr>
              <w:t>（详见47-48页）</w:t>
            </w:r>
            <w:r>
              <w:rPr>
                <w:rFonts w:hint="eastAsia" w:ascii="宋体" w:hAnsi="宋体" w:eastAsia="宋体" w:cs="宋体"/>
                <w:b w:val="0"/>
                <w:bCs w:val="0"/>
                <w:color w:val="auto"/>
                <w:sz w:val="24"/>
                <w:szCs w:val="24"/>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5.项目实际投资超项目批复资金8.84%，成本控制较差</w:t>
            </w:r>
            <w:r>
              <w:rPr>
                <w:rFonts w:hint="eastAsia" w:ascii="宋体" w:hAnsi="宋体" w:eastAsia="宋体" w:cs="宋体"/>
                <w:b w:val="0"/>
                <w:bCs w:val="0"/>
                <w:sz w:val="24"/>
                <w:szCs w:val="24"/>
                <w:vertAlign w:val="baseline"/>
                <w:lang w:val="en-US" w:eastAsia="zh-CN"/>
              </w:rPr>
              <w:t>（详见48-49页）</w:t>
            </w:r>
            <w:r>
              <w:rPr>
                <w:rFonts w:hint="eastAsia" w:ascii="宋体" w:hAnsi="宋体" w:eastAsia="宋体" w:cs="宋体"/>
                <w:b w:val="0"/>
                <w:bCs w:val="0"/>
                <w:color w:val="auto"/>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3" w:hRule="exact"/>
        </w:trPr>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val="0"/>
                <w:bCs w:val="0"/>
                <w:sz w:val="24"/>
                <w:szCs w:val="24"/>
                <w:vertAlign w:val="baseline"/>
                <w:lang w:val="en-US" w:eastAsia="zh-CN"/>
              </w:rPr>
            </w:pPr>
          </w:p>
        </w:tc>
        <w:tc>
          <w:tcPr>
            <w:tcW w:w="218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宋体" w:hAnsi="宋体" w:eastAsia="宋体" w:cs="宋体"/>
                <w:b/>
                <w:bCs/>
                <w:sz w:val="24"/>
                <w:szCs w:val="24"/>
                <w:highlight w:val="none"/>
                <w:vertAlign w:val="baseline"/>
                <w:lang w:val="en-US" w:eastAsia="zh-CN"/>
              </w:rPr>
            </w:pPr>
            <w:r>
              <w:rPr>
                <w:rFonts w:hint="eastAsia" w:ascii="宋体" w:hAnsi="宋体" w:eastAsia="宋体" w:cs="宋体"/>
                <w:b/>
                <w:bCs/>
                <w:sz w:val="24"/>
                <w:szCs w:val="24"/>
                <w:highlight w:val="none"/>
                <w:vertAlign w:val="baseline"/>
                <w:lang w:val="en-US" w:eastAsia="zh-CN"/>
              </w:rPr>
              <w:t>相关建议</w:t>
            </w:r>
          </w:p>
        </w:tc>
        <w:tc>
          <w:tcPr>
            <w:tcW w:w="5661" w:type="dxa"/>
            <w:gridSpan w:val="3"/>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1.优化预算绩效管理，提高指标编制水平</w:t>
            </w:r>
            <w:r>
              <w:rPr>
                <w:rFonts w:hint="eastAsia" w:ascii="宋体" w:hAnsi="宋体" w:eastAsia="宋体" w:cs="宋体"/>
                <w:b w:val="0"/>
                <w:bCs w:val="0"/>
                <w:sz w:val="24"/>
                <w:szCs w:val="24"/>
                <w:highlight w:val="none"/>
                <w:vertAlign w:val="baseline"/>
                <w:lang w:val="en-US" w:eastAsia="zh-CN"/>
              </w:rPr>
              <w:t>（详见49页）</w:t>
            </w:r>
            <w:r>
              <w:rPr>
                <w:rFonts w:hint="eastAsia" w:ascii="宋体" w:hAnsi="宋体" w:eastAsia="宋体" w:cs="宋体"/>
                <w:b w:val="0"/>
                <w:bCs w:val="0"/>
                <w:color w:val="auto"/>
                <w:sz w:val="24"/>
                <w:szCs w:val="24"/>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2.严格建设手续，规范项目建设流程</w:t>
            </w:r>
            <w:r>
              <w:rPr>
                <w:rFonts w:hint="eastAsia" w:ascii="宋体" w:hAnsi="宋体" w:eastAsia="宋体" w:cs="宋体"/>
                <w:b w:val="0"/>
                <w:bCs w:val="0"/>
                <w:sz w:val="24"/>
                <w:szCs w:val="24"/>
                <w:highlight w:val="none"/>
                <w:vertAlign w:val="baseline"/>
                <w:lang w:val="en-US" w:eastAsia="zh-CN"/>
              </w:rPr>
              <w:t>（详见49-50页）</w:t>
            </w:r>
            <w:r>
              <w:rPr>
                <w:rFonts w:hint="eastAsia" w:ascii="宋体" w:hAnsi="宋体" w:eastAsia="宋体" w:cs="宋体"/>
                <w:b w:val="0"/>
                <w:bCs w:val="0"/>
                <w:color w:val="auto"/>
                <w:sz w:val="24"/>
                <w:szCs w:val="24"/>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3.尽早办理项目资产交付使用手续</w:t>
            </w:r>
            <w:r>
              <w:rPr>
                <w:rFonts w:hint="eastAsia" w:ascii="宋体" w:hAnsi="宋体" w:eastAsia="宋体" w:cs="宋体"/>
                <w:b w:val="0"/>
                <w:bCs w:val="0"/>
                <w:sz w:val="24"/>
                <w:szCs w:val="24"/>
                <w:highlight w:val="none"/>
                <w:vertAlign w:val="baseline"/>
                <w:lang w:val="en-US" w:eastAsia="zh-CN"/>
              </w:rPr>
              <w:t>（详见50页）</w:t>
            </w:r>
            <w:r>
              <w:rPr>
                <w:rFonts w:hint="eastAsia" w:ascii="宋体" w:hAnsi="宋体" w:eastAsia="宋体" w:cs="宋体"/>
                <w:b w:val="0"/>
                <w:bCs w:val="0"/>
                <w:color w:val="auto"/>
                <w:sz w:val="24"/>
                <w:szCs w:val="24"/>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4.加快项目实施进度，及时进行竣工决算审核</w:t>
            </w:r>
            <w:r>
              <w:rPr>
                <w:rFonts w:hint="eastAsia" w:ascii="宋体" w:hAnsi="宋体" w:eastAsia="宋体" w:cs="宋体"/>
                <w:b w:val="0"/>
                <w:bCs w:val="0"/>
                <w:sz w:val="24"/>
                <w:szCs w:val="24"/>
                <w:highlight w:val="none"/>
                <w:vertAlign w:val="baseline"/>
                <w:lang w:val="en-US" w:eastAsia="zh-CN"/>
              </w:rPr>
              <w:t>（详见50-51页）</w:t>
            </w:r>
            <w:r>
              <w:rPr>
                <w:rFonts w:hint="eastAsia" w:ascii="宋体" w:hAnsi="宋体" w:eastAsia="宋体" w:cs="宋体"/>
                <w:b w:val="0"/>
                <w:bCs w:val="0"/>
                <w:color w:val="auto"/>
                <w:sz w:val="24"/>
                <w:szCs w:val="24"/>
                <w:highlight w:val="none"/>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5严格执行批复的建设规模与资金额度，有效控制项目成本</w:t>
            </w:r>
            <w:r>
              <w:rPr>
                <w:rFonts w:hint="eastAsia" w:ascii="宋体" w:hAnsi="宋体" w:eastAsia="宋体" w:cs="宋体"/>
                <w:b w:val="0"/>
                <w:bCs w:val="0"/>
                <w:sz w:val="24"/>
                <w:szCs w:val="24"/>
                <w:highlight w:val="none"/>
                <w:vertAlign w:val="baseline"/>
                <w:lang w:val="en-US" w:eastAsia="zh-CN"/>
              </w:rPr>
              <w:t>（详见51页）</w:t>
            </w:r>
            <w:r>
              <w:rPr>
                <w:rFonts w:hint="eastAsia" w:ascii="宋体" w:hAnsi="宋体" w:eastAsia="宋体" w:cs="宋体"/>
                <w:b w:val="0"/>
                <w:bCs w:val="0"/>
                <w:color w:val="auto"/>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4" w:hRule="exact"/>
        </w:trPr>
        <w:tc>
          <w:tcPr>
            <w:tcW w:w="8731" w:type="dxa"/>
            <w:gridSpan w:val="5"/>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评价机构（盖章）：</w:t>
            </w:r>
            <w:r>
              <w:rPr>
                <w:rFonts w:hint="eastAsia" w:ascii="宋体" w:hAnsi="宋体" w:eastAsia="宋体" w:cs="宋体"/>
                <w:b w:val="0"/>
                <w:bCs w:val="0"/>
                <w:sz w:val="24"/>
                <w:szCs w:val="24"/>
                <w:vertAlign w:val="baseline"/>
                <w:lang w:val="en-US" w:eastAsia="zh-CN"/>
              </w:rPr>
              <w:t>甘肃政泽绩效管理咨询服务有限公司</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bCs/>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主评人（签字）：</w:t>
            </w:r>
            <w:r>
              <w:rPr>
                <w:rFonts w:hint="eastAsia" w:ascii="宋体" w:hAnsi="宋体" w:eastAsia="宋体" w:cs="宋体"/>
                <w:b w:val="0"/>
                <w:bCs w:val="0"/>
                <w:sz w:val="24"/>
                <w:szCs w:val="24"/>
                <w:vertAlign w:val="baseline"/>
                <w:lang w:val="en-US" w:eastAsia="zh-CN"/>
              </w:rPr>
              <w:t>王守成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0" w:firstLineChars="0"/>
              <w:jc w:val="left"/>
              <w:textAlignment w:val="auto"/>
              <w:rPr>
                <w:rFonts w:hint="eastAsia" w:ascii="宋体" w:hAnsi="宋体" w:eastAsia="宋体" w:cs="宋体"/>
                <w:b/>
                <w:bCs/>
                <w:sz w:val="24"/>
                <w:szCs w:val="24"/>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2409" w:firstLineChars="1000"/>
              <w:jc w:val="center"/>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bCs/>
                <w:sz w:val="24"/>
                <w:szCs w:val="24"/>
                <w:vertAlign w:val="baseline"/>
                <w:lang w:val="en-US" w:eastAsia="zh-CN"/>
              </w:rPr>
              <w:t>评价日期：2021年11月30日</w:t>
            </w:r>
          </w:p>
        </w:tc>
      </w:tr>
    </w:tbl>
    <w:p>
      <w:pPr>
        <w:pageBreakBefore w:val="0"/>
        <w:overflowPunct/>
        <w:topLinePunct w:val="0"/>
        <w:bidi w:val="0"/>
        <w:spacing w:line="576" w:lineRule="exact"/>
        <w:ind w:left="0" w:leftChars="0" w:firstLine="0" w:firstLineChars="0"/>
        <w:jc w:val="center"/>
        <w:rPr>
          <w:rFonts w:hint="eastAsia" w:ascii="黑体" w:hAnsi="黑体" w:eastAsia="黑体" w:cs="黑体"/>
          <w:b/>
          <w:bCs/>
          <w:sz w:val="44"/>
          <w:szCs w:val="44"/>
        </w:rPr>
        <w:sectPr>
          <w:headerReference r:id="rId60" w:type="default"/>
          <w:footerReference r:id="rId62" w:type="default"/>
          <w:headerReference r:id="rId61" w:type="even"/>
          <w:footerReference r:id="rId63" w:type="even"/>
          <w:pgSz w:w="11906" w:h="16838"/>
          <w:pgMar w:top="2098" w:right="1474" w:bottom="1984" w:left="1587"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仿宋_GB2312" w:hAnsi="仿宋_GB2312" w:eastAsia="仿宋_GB2312" w:cs="仿宋_GB2312"/>
          <w:b/>
          <w:bCs/>
          <w:sz w:val="24"/>
          <w:szCs w:val="24"/>
        </w:rPr>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黑体" w:hAnsi="黑体" w:eastAsia="黑体" w:cs="黑体"/>
          <w:b/>
          <w:bCs/>
          <w:sz w:val="44"/>
          <w:szCs w:val="44"/>
        </w:rPr>
      </w:pPr>
      <w:r>
        <w:rPr>
          <w:rFonts w:hint="eastAsia" w:ascii="黑体" w:hAnsi="黑体" w:eastAsia="黑体" w:cs="黑体"/>
          <w:b/>
          <w:bCs/>
          <w:sz w:val="44"/>
          <w:szCs w:val="44"/>
        </w:rPr>
        <w:t>目</w:t>
      </w:r>
      <w:r>
        <w:rPr>
          <w:rFonts w:hint="eastAsia" w:ascii="黑体" w:hAnsi="黑体" w:eastAsia="黑体" w:cs="黑体"/>
          <w:b/>
          <w:bCs/>
          <w:sz w:val="44"/>
          <w:szCs w:val="44"/>
          <w:lang w:val="en-US" w:eastAsia="zh-CN"/>
        </w:rPr>
        <w:t xml:space="preserve">  </w:t>
      </w:r>
      <w:r>
        <w:rPr>
          <w:rFonts w:hint="eastAsia" w:ascii="黑体" w:hAnsi="黑体" w:eastAsia="黑体" w:cs="黑体"/>
          <w:b/>
          <w:bCs/>
          <w:sz w:val="44"/>
          <w:szCs w:val="44"/>
        </w:rPr>
        <w:t>录</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cs="Times New Roman"/>
          <w:sz w:val="24"/>
          <w:szCs w:val="21"/>
        </w:rPr>
      </w:pP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320" w:firstLineChars="100"/>
        <w:jc w:val="both"/>
        <w:textAlignment w:val="auto"/>
        <w:rPr>
          <w:rFonts w:hint="eastAsia" w:ascii="黑体" w:hAnsi="黑体" w:eastAsia="黑体" w:cs="黑体"/>
          <w:b/>
          <w:bCs/>
          <w:kern w:val="2"/>
          <w:sz w:val="28"/>
          <w:szCs w:val="28"/>
          <w:lang w:val="en-US" w:eastAsia="zh-CN" w:bidi="ar-SA"/>
        </w:rPr>
      </w:pPr>
      <w:r>
        <w:rPr>
          <w:rFonts w:ascii="仿宋_GB2312" w:hAnsi="仿宋_GB2312" w:eastAsia="仿宋_GB2312" w:cs="Times New Roman"/>
          <w:kern w:val="2"/>
          <w:sz w:val="32"/>
          <w:szCs w:val="24"/>
          <w:lang w:val="en-US" w:eastAsia="zh-CN" w:bidi="ar-SA"/>
        </w:rPr>
        <w:fldChar w:fldCharType="begin"/>
      </w:r>
      <w:r>
        <w:rPr>
          <w:rFonts w:ascii="仿宋_GB2312" w:hAnsi="仿宋_GB2312" w:eastAsia="仿宋_GB2312" w:cs="Times New Roman"/>
          <w:kern w:val="2"/>
          <w:sz w:val="32"/>
          <w:szCs w:val="24"/>
          <w:lang w:val="en-US" w:eastAsia="zh-CN" w:bidi="ar-SA"/>
        </w:rPr>
        <w:instrText xml:space="preserve">TOC \o "1-2" \h \u </w:instrText>
      </w:r>
      <w:r>
        <w:rPr>
          <w:rFonts w:ascii="仿宋_GB2312" w:hAnsi="仿宋_GB2312" w:eastAsia="仿宋_GB2312" w:cs="Times New Roman"/>
          <w:kern w:val="2"/>
          <w:sz w:val="32"/>
          <w:szCs w:val="24"/>
          <w:lang w:val="en-US" w:eastAsia="zh-CN" w:bidi="ar-SA"/>
        </w:rPr>
        <w:fldChar w:fldCharType="separate"/>
      </w: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HYPERLINK \l _Toc2781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zh-CN" w:eastAsia="zh-CN" w:bidi="ar-SA"/>
        </w:rPr>
        <w:t>一、项目基本情况</w:t>
      </w:r>
      <w:r>
        <w:rPr>
          <w:rFonts w:hint="eastAsia" w:ascii="黑体" w:hAnsi="黑体" w:eastAsia="黑体" w:cs="黑体"/>
          <w:b/>
          <w:bCs/>
          <w:kern w:val="2"/>
          <w:sz w:val="28"/>
          <w:szCs w:val="28"/>
          <w:lang w:val="en-US" w:eastAsia="zh-CN" w:bidi="ar-SA"/>
        </w:rPr>
        <w:tab/>
      </w: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PAGEREF _Toc2781 \h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en-US" w:eastAsia="zh-CN" w:bidi="ar-SA"/>
        </w:rPr>
        <w:t>248</w:t>
      </w:r>
      <w:r>
        <w:rPr>
          <w:rFonts w:hint="eastAsia" w:ascii="黑体" w:hAnsi="黑体" w:eastAsia="黑体" w:cs="黑体"/>
          <w:b/>
          <w:bCs/>
          <w:kern w:val="2"/>
          <w:sz w:val="28"/>
          <w:szCs w:val="28"/>
          <w:lang w:val="en-US" w:eastAsia="zh-CN" w:bidi="ar-SA"/>
        </w:rPr>
        <w:fldChar w:fldCharType="end"/>
      </w:r>
      <w:r>
        <w:rPr>
          <w:rFonts w:hint="eastAsia" w:ascii="黑体" w:hAnsi="黑体" w:eastAsia="黑体" w:cs="黑体"/>
          <w:b/>
          <w:bCs/>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_Toc11345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（一）项目立项背景</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_Toc11345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248</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_Toc23944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（二）项目计划内容及实施情况</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_Toc23944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249</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_Toc2719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（三）项目资金情况</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_Toc2719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251</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bCs/>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_Toc31960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（四）项目组织管理</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_Toc31960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253</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562" w:firstLineChars="200"/>
        <w:jc w:val="both"/>
        <w:textAlignment w:val="auto"/>
        <w:rPr>
          <w:rFonts w:hint="eastAsia" w:ascii="黑体" w:hAnsi="黑体" w:eastAsia="黑体" w:cs="黑体"/>
          <w:b/>
          <w:bCs/>
          <w:kern w:val="2"/>
          <w:sz w:val="28"/>
          <w:szCs w:val="28"/>
          <w:lang w:val="en-US" w:eastAsia="zh-CN" w:bidi="ar-SA"/>
        </w:rPr>
      </w:pP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HYPERLINK \l _Toc18080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zh-CN" w:eastAsia="zh-CN" w:bidi="ar-SA"/>
        </w:rPr>
        <w:t>二、项目绩效目标</w:t>
      </w:r>
      <w:r>
        <w:rPr>
          <w:rFonts w:hint="eastAsia" w:ascii="黑体" w:hAnsi="黑体" w:eastAsia="黑体" w:cs="黑体"/>
          <w:b/>
          <w:bCs/>
          <w:kern w:val="2"/>
          <w:sz w:val="28"/>
          <w:szCs w:val="28"/>
          <w:lang w:val="en-US" w:eastAsia="zh-CN" w:bidi="ar-SA"/>
        </w:rPr>
        <w:tab/>
      </w: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PAGEREF _Toc18080 \h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en-US" w:eastAsia="zh-CN" w:bidi="ar-SA"/>
        </w:rPr>
        <w:t>254</w:t>
      </w:r>
      <w:r>
        <w:rPr>
          <w:rFonts w:hint="eastAsia" w:ascii="黑体" w:hAnsi="黑体" w:eastAsia="黑体" w:cs="黑体"/>
          <w:b/>
          <w:bCs/>
          <w:kern w:val="2"/>
          <w:sz w:val="28"/>
          <w:szCs w:val="28"/>
          <w:lang w:val="en-US" w:eastAsia="zh-CN" w:bidi="ar-SA"/>
        </w:rPr>
        <w:fldChar w:fldCharType="end"/>
      </w:r>
      <w:r>
        <w:rPr>
          <w:rFonts w:hint="eastAsia" w:ascii="黑体" w:hAnsi="黑体" w:eastAsia="黑体" w:cs="黑体"/>
          <w:b/>
          <w:bCs/>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562" w:firstLineChars="200"/>
        <w:jc w:val="both"/>
        <w:textAlignment w:val="auto"/>
        <w:rPr>
          <w:rFonts w:hint="eastAsia" w:ascii="黑体" w:hAnsi="黑体" w:eastAsia="黑体" w:cs="黑体"/>
          <w:b/>
          <w:bCs/>
          <w:kern w:val="2"/>
          <w:sz w:val="28"/>
          <w:szCs w:val="28"/>
          <w:lang w:val="en-US" w:eastAsia="zh-CN" w:bidi="ar-SA"/>
        </w:rPr>
      </w:pP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HYPERLINK \l _Toc8475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zh-CN" w:eastAsia="zh-CN" w:bidi="ar-SA"/>
        </w:rPr>
        <w:t>三、评价基本情况</w:t>
      </w:r>
      <w:r>
        <w:rPr>
          <w:rFonts w:hint="eastAsia" w:ascii="黑体" w:hAnsi="黑体" w:eastAsia="黑体" w:cs="黑体"/>
          <w:b/>
          <w:bCs/>
          <w:kern w:val="2"/>
          <w:sz w:val="28"/>
          <w:szCs w:val="28"/>
          <w:lang w:val="en-US" w:eastAsia="zh-CN" w:bidi="ar-SA"/>
        </w:rPr>
        <w:tab/>
      </w: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PAGEREF _Toc8475 \h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en-US" w:eastAsia="zh-CN" w:bidi="ar-SA"/>
        </w:rPr>
        <w:t>254</w:t>
      </w:r>
      <w:r>
        <w:rPr>
          <w:rFonts w:hint="eastAsia" w:ascii="黑体" w:hAnsi="黑体" w:eastAsia="黑体" w:cs="黑体"/>
          <w:b/>
          <w:bCs/>
          <w:kern w:val="2"/>
          <w:sz w:val="28"/>
          <w:szCs w:val="28"/>
          <w:lang w:val="en-US" w:eastAsia="zh-CN" w:bidi="ar-SA"/>
        </w:rPr>
        <w:fldChar w:fldCharType="end"/>
      </w:r>
      <w:r>
        <w:rPr>
          <w:rFonts w:hint="eastAsia" w:ascii="黑体" w:hAnsi="黑体" w:eastAsia="黑体" w:cs="黑体"/>
          <w:b/>
          <w:bCs/>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_Toc24227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（一）绩效评价目的</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_Toc24227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254</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_Toc8658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（二）绩效评价对象</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_Toc8658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255</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_Toc31973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（三）绩效评价依据</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_Toc31973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255</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_Toc30204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（四）评价原则、评价方法</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_Toc30204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256</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_Toc17209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（五）绩效评价指标体系</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_Toc17209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257</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_Toc27560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（六）评价人员组成</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_Toc27560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260</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bCs/>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_Toc21715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（七）绩效评价工作过程</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_Toc21715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166</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562" w:firstLineChars="200"/>
        <w:jc w:val="both"/>
        <w:textAlignment w:val="auto"/>
        <w:rPr>
          <w:rFonts w:hint="eastAsia" w:ascii="黑体" w:hAnsi="黑体" w:eastAsia="黑体" w:cs="黑体"/>
          <w:b/>
          <w:bCs/>
          <w:kern w:val="2"/>
          <w:sz w:val="28"/>
          <w:szCs w:val="28"/>
          <w:lang w:val="en-US" w:eastAsia="zh-CN" w:bidi="ar-SA"/>
        </w:rPr>
      </w:pP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HYPERLINK \l _Toc31004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zh-CN" w:eastAsia="zh-CN" w:bidi="ar-SA"/>
        </w:rPr>
        <w:t>四、评价结论及分析</w:t>
      </w:r>
      <w:r>
        <w:rPr>
          <w:rFonts w:hint="eastAsia" w:ascii="黑体" w:hAnsi="黑体" w:eastAsia="黑体" w:cs="黑体"/>
          <w:b/>
          <w:bCs/>
          <w:kern w:val="2"/>
          <w:sz w:val="28"/>
          <w:szCs w:val="28"/>
          <w:lang w:val="en-US" w:eastAsia="zh-CN" w:bidi="ar-SA"/>
        </w:rPr>
        <w:tab/>
      </w: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PAGEREF _Toc31004 \h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en-US" w:eastAsia="zh-CN" w:bidi="ar-SA"/>
        </w:rPr>
        <w:t>264</w:t>
      </w:r>
      <w:r>
        <w:rPr>
          <w:rFonts w:hint="eastAsia" w:ascii="黑体" w:hAnsi="黑体" w:eastAsia="黑体" w:cs="黑体"/>
          <w:b/>
          <w:bCs/>
          <w:kern w:val="2"/>
          <w:sz w:val="28"/>
          <w:szCs w:val="28"/>
          <w:lang w:val="en-US" w:eastAsia="zh-CN" w:bidi="ar-SA"/>
        </w:rPr>
        <w:fldChar w:fldCharType="end"/>
      </w:r>
      <w:r>
        <w:rPr>
          <w:rFonts w:hint="eastAsia" w:ascii="黑体" w:hAnsi="黑体" w:eastAsia="黑体" w:cs="黑体"/>
          <w:b/>
          <w:bCs/>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_Toc5977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（一）评价评分</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_Toc5977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264</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bCs/>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_Toc23561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（二）综合评价情况及评价结论</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_Toc23561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266</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562" w:firstLineChars="200"/>
        <w:jc w:val="both"/>
        <w:textAlignment w:val="auto"/>
        <w:rPr>
          <w:rFonts w:hint="eastAsia" w:ascii="黑体" w:hAnsi="黑体" w:eastAsia="黑体" w:cs="黑体"/>
          <w:b/>
          <w:bCs/>
          <w:kern w:val="2"/>
          <w:sz w:val="28"/>
          <w:szCs w:val="28"/>
          <w:lang w:val="en-US" w:eastAsia="zh-CN" w:bidi="ar-SA"/>
        </w:rPr>
      </w:pP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HYPERLINK \l _Toc11700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zh-CN" w:eastAsia="zh-CN" w:bidi="ar-SA"/>
        </w:rPr>
        <w:t>五、绩效评价指标分析</w:t>
      </w:r>
      <w:r>
        <w:rPr>
          <w:rFonts w:hint="eastAsia" w:ascii="黑体" w:hAnsi="黑体" w:eastAsia="黑体" w:cs="黑体"/>
          <w:b/>
          <w:bCs/>
          <w:kern w:val="2"/>
          <w:sz w:val="28"/>
          <w:szCs w:val="28"/>
          <w:lang w:val="en-US" w:eastAsia="zh-CN" w:bidi="ar-SA"/>
        </w:rPr>
        <w:tab/>
      </w: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PAGEREF _Toc11700 \h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en-US" w:eastAsia="zh-CN" w:bidi="ar-SA"/>
        </w:rPr>
        <w:t>267</w:t>
      </w:r>
      <w:r>
        <w:rPr>
          <w:rFonts w:hint="eastAsia" w:ascii="黑体" w:hAnsi="黑体" w:eastAsia="黑体" w:cs="黑体"/>
          <w:b/>
          <w:bCs/>
          <w:kern w:val="2"/>
          <w:sz w:val="28"/>
          <w:szCs w:val="28"/>
          <w:lang w:val="en-US" w:eastAsia="zh-CN" w:bidi="ar-SA"/>
        </w:rPr>
        <w:fldChar w:fldCharType="end"/>
      </w:r>
      <w:r>
        <w:rPr>
          <w:rFonts w:hint="eastAsia" w:ascii="黑体" w:hAnsi="黑体" w:eastAsia="黑体" w:cs="黑体"/>
          <w:b/>
          <w:bCs/>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_Toc8112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（一）项目决策情况</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_Toc8112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267</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_Toc567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（二）项目过程情况</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_Toc567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271</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_Toc10466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zh-CN" w:eastAsia="zh-CN" w:bidi="ar-SA"/>
        </w:rPr>
        <w:t>（三）项目产出情况</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_Toc10466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280</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bCs/>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_Toc8971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highlight w:val="none"/>
          <w:lang w:val="en-US" w:eastAsia="zh-CN" w:bidi="ar-SA"/>
        </w:rPr>
        <w:t>（四）项目效益情况</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_Toc8971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285</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562" w:firstLineChars="200"/>
        <w:jc w:val="both"/>
        <w:textAlignment w:val="auto"/>
        <w:rPr>
          <w:rFonts w:hint="eastAsia" w:ascii="黑体" w:hAnsi="黑体" w:eastAsia="黑体" w:cs="黑体"/>
          <w:b/>
          <w:bCs/>
          <w:kern w:val="2"/>
          <w:sz w:val="28"/>
          <w:szCs w:val="28"/>
          <w:lang w:val="en-US" w:eastAsia="zh-CN" w:bidi="ar-SA"/>
        </w:rPr>
      </w:pP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HYPERLINK \l _Toc7998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zh-CN" w:eastAsia="zh-CN" w:bidi="ar-SA"/>
        </w:rPr>
        <w:t>六、项目主要经验及做法</w:t>
      </w:r>
      <w:r>
        <w:rPr>
          <w:rFonts w:hint="eastAsia" w:ascii="黑体" w:hAnsi="黑体" w:eastAsia="黑体" w:cs="黑体"/>
          <w:b/>
          <w:bCs/>
          <w:kern w:val="2"/>
          <w:sz w:val="28"/>
          <w:szCs w:val="28"/>
          <w:lang w:val="en-US" w:eastAsia="zh-CN" w:bidi="ar-SA"/>
        </w:rPr>
        <w:tab/>
      </w: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PAGEREF _Toc7998 \h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en-US" w:eastAsia="zh-CN" w:bidi="ar-SA"/>
        </w:rPr>
        <w:t>292</w:t>
      </w:r>
      <w:r>
        <w:rPr>
          <w:rFonts w:hint="eastAsia" w:ascii="黑体" w:hAnsi="黑体" w:eastAsia="黑体" w:cs="黑体"/>
          <w:b/>
          <w:bCs/>
          <w:kern w:val="2"/>
          <w:sz w:val="28"/>
          <w:szCs w:val="28"/>
          <w:lang w:val="en-US" w:eastAsia="zh-CN" w:bidi="ar-SA"/>
        </w:rPr>
        <w:fldChar w:fldCharType="end"/>
      </w:r>
      <w:r>
        <w:rPr>
          <w:rFonts w:hint="eastAsia" w:ascii="黑体" w:hAnsi="黑体" w:eastAsia="黑体" w:cs="黑体"/>
          <w:b/>
          <w:bCs/>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562" w:firstLineChars="200"/>
        <w:jc w:val="both"/>
        <w:textAlignment w:val="auto"/>
        <w:rPr>
          <w:rFonts w:hint="eastAsia" w:ascii="黑体" w:hAnsi="黑体" w:eastAsia="黑体" w:cs="黑体"/>
          <w:b/>
          <w:bCs/>
          <w:kern w:val="2"/>
          <w:sz w:val="28"/>
          <w:szCs w:val="28"/>
          <w:lang w:val="en-US" w:eastAsia="zh-CN" w:bidi="ar-SA"/>
        </w:rPr>
      </w:pP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HYPERLINK \l _Toc2829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zh-CN" w:eastAsia="zh-CN" w:bidi="ar-SA"/>
        </w:rPr>
        <w:t>七、存在的问题及原因分析</w:t>
      </w:r>
      <w:r>
        <w:rPr>
          <w:rFonts w:hint="eastAsia" w:ascii="黑体" w:hAnsi="黑体" w:eastAsia="黑体" w:cs="黑体"/>
          <w:b/>
          <w:bCs/>
          <w:kern w:val="2"/>
          <w:sz w:val="28"/>
          <w:szCs w:val="28"/>
          <w:lang w:val="en-US" w:eastAsia="zh-CN" w:bidi="ar-SA"/>
        </w:rPr>
        <w:tab/>
      </w: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PAGEREF _Toc2829 \h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en-US" w:eastAsia="zh-CN" w:bidi="ar-SA"/>
        </w:rPr>
        <w:t>293</w:t>
      </w:r>
      <w:r>
        <w:rPr>
          <w:rFonts w:hint="eastAsia" w:ascii="黑体" w:hAnsi="黑体" w:eastAsia="黑体" w:cs="黑体"/>
          <w:b/>
          <w:bCs/>
          <w:kern w:val="2"/>
          <w:sz w:val="28"/>
          <w:szCs w:val="28"/>
          <w:lang w:val="en-US" w:eastAsia="zh-CN" w:bidi="ar-SA"/>
        </w:rPr>
        <w:fldChar w:fldCharType="end"/>
      </w:r>
      <w:r>
        <w:rPr>
          <w:rFonts w:hint="eastAsia" w:ascii="黑体" w:hAnsi="黑体" w:eastAsia="黑体" w:cs="黑体"/>
          <w:b/>
          <w:bCs/>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562" w:firstLineChars="200"/>
        <w:jc w:val="both"/>
        <w:textAlignment w:val="auto"/>
        <w:rPr>
          <w:rFonts w:hint="eastAsia" w:ascii="黑体" w:hAnsi="黑体" w:eastAsia="黑体" w:cs="黑体"/>
          <w:b/>
          <w:bCs/>
          <w:kern w:val="2"/>
          <w:sz w:val="28"/>
          <w:szCs w:val="28"/>
          <w:lang w:val="en-US" w:eastAsia="zh-CN" w:bidi="ar-SA"/>
        </w:rPr>
      </w:pP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HYPERLINK \l _Toc1306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zh-CN" w:eastAsia="zh-CN" w:bidi="ar-SA"/>
        </w:rPr>
        <w:t>八、有关建议</w:t>
      </w:r>
      <w:r>
        <w:rPr>
          <w:rFonts w:hint="eastAsia" w:ascii="黑体" w:hAnsi="黑体" w:eastAsia="黑体" w:cs="黑体"/>
          <w:b/>
          <w:bCs/>
          <w:kern w:val="2"/>
          <w:sz w:val="28"/>
          <w:szCs w:val="28"/>
          <w:lang w:val="en-US" w:eastAsia="zh-CN" w:bidi="ar-SA"/>
        </w:rPr>
        <w:tab/>
      </w: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PAGEREF _Toc1306 \h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en-US" w:eastAsia="zh-CN" w:bidi="ar-SA"/>
        </w:rPr>
        <w:t>296</w:t>
      </w:r>
      <w:r>
        <w:rPr>
          <w:rFonts w:hint="eastAsia" w:ascii="黑体" w:hAnsi="黑体" w:eastAsia="黑体" w:cs="黑体"/>
          <w:b/>
          <w:bCs/>
          <w:kern w:val="2"/>
          <w:sz w:val="28"/>
          <w:szCs w:val="28"/>
          <w:lang w:val="en-US" w:eastAsia="zh-CN" w:bidi="ar-SA"/>
        </w:rPr>
        <w:fldChar w:fldCharType="end"/>
      </w:r>
      <w:r>
        <w:rPr>
          <w:rFonts w:hint="eastAsia" w:ascii="黑体" w:hAnsi="黑体" w:eastAsia="黑体" w:cs="黑体"/>
          <w:b/>
          <w:bCs/>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562" w:firstLineChars="200"/>
        <w:jc w:val="both"/>
        <w:textAlignment w:val="auto"/>
        <w:rPr>
          <w:rFonts w:hint="eastAsia" w:ascii="黑体" w:hAnsi="黑体" w:eastAsia="黑体" w:cs="黑体"/>
          <w:b/>
          <w:bCs/>
          <w:kern w:val="2"/>
          <w:sz w:val="28"/>
          <w:szCs w:val="28"/>
          <w:lang w:val="en-US" w:eastAsia="zh-CN" w:bidi="ar-SA"/>
        </w:rPr>
      </w:pP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HYPERLINK \l _Toc632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zh-CN" w:eastAsia="zh-CN" w:bidi="ar-SA"/>
        </w:rPr>
        <w:t>九、需要说明的问题</w:t>
      </w:r>
      <w:r>
        <w:rPr>
          <w:rFonts w:hint="eastAsia" w:ascii="黑体" w:hAnsi="黑体" w:eastAsia="黑体" w:cs="黑体"/>
          <w:b/>
          <w:bCs/>
          <w:kern w:val="2"/>
          <w:sz w:val="28"/>
          <w:szCs w:val="28"/>
          <w:lang w:val="en-US" w:eastAsia="zh-CN" w:bidi="ar-SA"/>
        </w:rPr>
        <w:tab/>
      </w: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PAGEREF _Toc632 \h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en-US" w:eastAsia="zh-CN" w:bidi="ar-SA"/>
        </w:rPr>
        <w:t>298</w:t>
      </w:r>
      <w:r>
        <w:rPr>
          <w:rFonts w:hint="eastAsia" w:ascii="黑体" w:hAnsi="黑体" w:eastAsia="黑体" w:cs="黑体"/>
          <w:b/>
          <w:bCs/>
          <w:kern w:val="2"/>
          <w:sz w:val="28"/>
          <w:szCs w:val="28"/>
          <w:lang w:val="en-US" w:eastAsia="zh-CN" w:bidi="ar-SA"/>
        </w:rPr>
        <w:fldChar w:fldCharType="end"/>
      </w:r>
      <w:r>
        <w:rPr>
          <w:rFonts w:hint="eastAsia" w:ascii="黑体" w:hAnsi="黑体" w:eastAsia="黑体" w:cs="黑体"/>
          <w:b/>
          <w:bCs/>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562" w:firstLineChars="200"/>
        <w:jc w:val="both"/>
        <w:textAlignment w:val="auto"/>
        <w:rPr>
          <w:rFonts w:hint="eastAsia" w:ascii="黑体" w:hAnsi="黑体" w:eastAsia="黑体" w:cs="黑体"/>
          <w:b/>
          <w:bCs/>
          <w:kern w:val="2"/>
          <w:sz w:val="28"/>
          <w:szCs w:val="28"/>
          <w:lang w:val="en-US" w:eastAsia="zh-CN" w:bidi="ar-SA"/>
        </w:rPr>
      </w:pP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HYPERLINK \l _Toc7160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en-US" w:eastAsia="zh-CN" w:bidi="ar-SA"/>
        </w:rPr>
        <w:t>十、附件</w:t>
      </w:r>
      <w:r>
        <w:rPr>
          <w:rFonts w:hint="eastAsia" w:ascii="黑体" w:hAnsi="黑体" w:eastAsia="黑体" w:cs="黑体"/>
          <w:b/>
          <w:bCs/>
          <w:kern w:val="2"/>
          <w:sz w:val="28"/>
          <w:szCs w:val="28"/>
          <w:lang w:val="en-US" w:eastAsia="zh-CN" w:bidi="ar-SA"/>
        </w:rPr>
        <w:tab/>
      </w:r>
      <w:r>
        <w:rPr>
          <w:rFonts w:hint="eastAsia" w:ascii="黑体" w:hAnsi="黑体" w:eastAsia="黑体" w:cs="黑体"/>
          <w:b/>
          <w:bCs/>
          <w:kern w:val="2"/>
          <w:sz w:val="28"/>
          <w:szCs w:val="28"/>
          <w:lang w:val="en-US" w:eastAsia="zh-CN" w:bidi="ar-SA"/>
        </w:rPr>
        <w:fldChar w:fldCharType="begin"/>
      </w:r>
      <w:r>
        <w:rPr>
          <w:rFonts w:hint="eastAsia" w:ascii="黑体" w:hAnsi="黑体" w:eastAsia="黑体" w:cs="黑体"/>
          <w:b/>
          <w:bCs/>
          <w:kern w:val="2"/>
          <w:sz w:val="28"/>
          <w:szCs w:val="28"/>
          <w:lang w:val="en-US" w:eastAsia="zh-CN" w:bidi="ar-SA"/>
        </w:rPr>
        <w:instrText xml:space="preserve"> PAGEREF _Toc7160 \h </w:instrText>
      </w:r>
      <w:r>
        <w:rPr>
          <w:rFonts w:hint="eastAsia" w:ascii="黑体" w:hAnsi="黑体" w:eastAsia="黑体" w:cs="黑体"/>
          <w:b/>
          <w:bCs/>
          <w:kern w:val="2"/>
          <w:sz w:val="28"/>
          <w:szCs w:val="28"/>
          <w:lang w:val="en-US" w:eastAsia="zh-CN" w:bidi="ar-SA"/>
        </w:rPr>
        <w:fldChar w:fldCharType="separate"/>
      </w:r>
      <w:r>
        <w:rPr>
          <w:rFonts w:hint="eastAsia" w:ascii="黑体" w:hAnsi="黑体" w:eastAsia="黑体" w:cs="黑体"/>
          <w:b/>
          <w:bCs/>
          <w:kern w:val="2"/>
          <w:sz w:val="28"/>
          <w:szCs w:val="28"/>
          <w:lang w:val="en-US" w:eastAsia="zh-CN" w:bidi="ar-SA"/>
        </w:rPr>
        <w:t>298</w:t>
      </w:r>
      <w:r>
        <w:rPr>
          <w:rFonts w:hint="eastAsia" w:ascii="黑体" w:hAnsi="黑体" w:eastAsia="黑体" w:cs="黑体"/>
          <w:b/>
          <w:bCs/>
          <w:kern w:val="2"/>
          <w:sz w:val="28"/>
          <w:szCs w:val="28"/>
          <w:lang w:val="en-US" w:eastAsia="zh-CN" w:bidi="ar-SA"/>
        </w:rPr>
        <w:fldChar w:fldCharType="end"/>
      </w:r>
      <w:r>
        <w:rPr>
          <w:rFonts w:hint="eastAsia" w:ascii="黑体" w:hAnsi="黑体" w:eastAsia="黑体" w:cs="黑体"/>
          <w:b/>
          <w:bCs/>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_Toc24090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附件1：绩效评价指标体系</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_Toc24090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299</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hint="eastAsia" w:ascii="黑体" w:hAnsi="黑体" w:eastAsia="黑体" w:cs="黑体"/>
          <w:b w:val="0"/>
          <w:bCs w:val="0"/>
          <w:kern w:val="2"/>
          <w:sz w:val="28"/>
          <w:szCs w:val="28"/>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_Toc24960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附件2：调查问卷统计情况</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_Toc24960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308</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keepNext w:val="0"/>
        <w:keepLines w:val="0"/>
        <w:pageBreakBefore w:val="0"/>
        <w:widowControl w:val="0"/>
        <w:tabs>
          <w:tab w:val="right" w:leader="dot" w:pos="8306"/>
        </w:tabs>
        <w:kinsoku/>
        <w:wordWrap/>
        <w:overflowPunct/>
        <w:topLinePunct w:val="0"/>
        <w:autoSpaceDE/>
        <w:autoSpaceDN/>
        <w:bidi w:val="0"/>
        <w:adjustRightInd w:val="0"/>
        <w:snapToGrid w:val="0"/>
        <w:spacing w:line="576" w:lineRule="exact"/>
        <w:ind w:left="0" w:leftChars="0" w:firstLine="840" w:firstLineChars="300"/>
        <w:jc w:val="both"/>
        <w:textAlignment w:val="auto"/>
        <w:rPr>
          <w:rFonts w:ascii="仿宋_GB2312" w:hAnsi="仿宋_GB2312" w:eastAsia="仿宋_GB2312" w:cs="Times New Roman"/>
          <w:kern w:val="2"/>
          <w:sz w:val="32"/>
          <w:szCs w:val="24"/>
          <w:lang w:val="en-US" w:eastAsia="zh-CN" w:bidi="ar-SA"/>
        </w:rPr>
      </w:pP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HYPERLINK \l _Toc22749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附件3：主评人资质</w:t>
      </w:r>
      <w:r>
        <w:rPr>
          <w:rFonts w:hint="eastAsia" w:ascii="黑体" w:hAnsi="黑体" w:eastAsia="黑体" w:cs="黑体"/>
          <w:b w:val="0"/>
          <w:bCs w:val="0"/>
          <w:kern w:val="2"/>
          <w:sz w:val="28"/>
          <w:szCs w:val="28"/>
          <w:lang w:val="en-US" w:eastAsia="zh-CN" w:bidi="ar-SA"/>
        </w:rPr>
        <w:tab/>
      </w:r>
      <w:r>
        <w:rPr>
          <w:rFonts w:hint="eastAsia" w:ascii="黑体" w:hAnsi="黑体" w:eastAsia="黑体" w:cs="黑体"/>
          <w:b w:val="0"/>
          <w:bCs w:val="0"/>
          <w:kern w:val="2"/>
          <w:sz w:val="28"/>
          <w:szCs w:val="28"/>
          <w:lang w:val="en-US" w:eastAsia="zh-CN" w:bidi="ar-SA"/>
        </w:rPr>
        <w:fldChar w:fldCharType="begin"/>
      </w:r>
      <w:r>
        <w:rPr>
          <w:rFonts w:hint="eastAsia" w:ascii="黑体" w:hAnsi="黑体" w:eastAsia="黑体" w:cs="黑体"/>
          <w:b w:val="0"/>
          <w:bCs w:val="0"/>
          <w:kern w:val="2"/>
          <w:sz w:val="28"/>
          <w:szCs w:val="28"/>
          <w:lang w:val="en-US" w:eastAsia="zh-CN" w:bidi="ar-SA"/>
        </w:rPr>
        <w:instrText xml:space="preserve"> PAGEREF _Toc22749 \h </w:instrText>
      </w:r>
      <w:r>
        <w:rPr>
          <w:rFonts w:hint="eastAsia" w:ascii="黑体" w:hAnsi="黑体" w:eastAsia="黑体" w:cs="黑体"/>
          <w:b w:val="0"/>
          <w:bCs w:val="0"/>
          <w:kern w:val="2"/>
          <w:sz w:val="28"/>
          <w:szCs w:val="28"/>
          <w:lang w:val="en-US" w:eastAsia="zh-CN" w:bidi="ar-SA"/>
        </w:rPr>
        <w:fldChar w:fldCharType="separate"/>
      </w:r>
      <w:r>
        <w:rPr>
          <w:rFonts w:hint="eastAsia" w:ascii="黑体" w:hAnsi="黑体" w:eastAsia="黑体" w:cs="黑体"/>
          <w:b w:val="0"/>
          <w:bCs w:val="0"/>
          <w:kern w:val="2"/>
          <w:sz w:val="28"/>
          <w:szCs w:val="28"/>
          <w:lang w:val="en-US" w:eastAsia="zh-CN" w:bidi="ar-SA"/>
        </w:rPr>
        <w:t>327</w:t>
      </w:r>
      <w:r>
        <w:rPr>
          <w:rFonts w:hint="eastAsia" w:ascii="黑体" w:hAnsi="黑体" w:eastAsia="黑体" w:cs="黑体"/>
          <w:b w:val="0"/>
          <w:bCs w:val="0"/>
          <w:kern w:val="2"/>
          <w:sz w:val="28"/>
          <w:szCs w:val="28"/>
          <w:lang w:val="en-US" w:eastAsia="zh-CN" w:bidi="ar-SA"/>
        </w:rPr>
        <w:fldChar w:fldCharType="end"/>
      </w:r>
      <w:r>
        <w:rPr>
          <w:rFonts w:hint="eastAsia" w:ascii="黑体" w:hAnsi="黑体" w:eastAsia="黑体" w:cs="黑体"/>
          <w:b w:val="0"/>
          <w:bCs w:val="0"/>
          <w:kern w:val="2"/>
          <w:sz w:val="28"/>
          <w:szCs w:val="28"/>
          <w:lang w:val="en-US" w:eastAsia="zh-CN" w:bidi="ar-SA"/>
        </w:rPr>
        <w:fldChar w:fldCharType="end"/>
      </w:r>
    </w:p>
    <w:p>
      <w:pPr>
        <w:pageBreakBefore w:val="0"/>
        <w:overflowPunct/>
        <w:topLinePunct w:val="0"/>
        <w:bidi w:val="0"/>
        <w:spacing w:line="576" w:lineRule="exact"/>
        <w:ind w:left="0" w:leftChars="0"/>
        <w:rPr>
          <w:rFonts w:cs="Times New Roman"/>
        </w:rPr>
      </w:pPr>
      <w:r>
        <w:rPr>
          <w:rFonts w:cs="Times New Roman"/>
        </w:rPr>
        <w:fldChar w:fldCharType="end"/>
      </w:r>
    </w:p>
    <w:p>
      <w:pPr>
        <w:pageBreakBefore w:val="0"/>
        <w:overflowPunct/>
        <w:topLinePunct w:val="0"/>
        <w:bidi w:val="0"/>
        <w:spacing w:line="576" w:lineRule="exact"/>
        <w:ind w:left="0" w:leftChars="0" w:firstLine="0" w:firstLineChars="0"/>
        <w:rPr>
          <w:rFonts w:ascii="黑体" w:hAnsi="黑体" w:eastAsia="黑体" w:cs="黑体"/>
          <w:bCs/>
          <w:color w:val="FF0000"/>
          <w:sz w:val="28"/>
          <w:szCs w:val="28"/>
        </w:rPr>
        <w:sectPr>
          <w:footerReference r:id="rId64" w:type="default"/>
          <w:footerReference r:id="rId65" w:type="even"/>
          <w:pgSz w:w="11906" w:h="16838"/>
          <w:pgMar w:top="2098" w:right="1474" w:bottom="1984" w:left="1587"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仿宋_GB2312" w:hAnsi="仿宋_GB2312" w:eastAsia="仿宋_GB2312" w:cs="仿宋_GB2312"/>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西宁市城中区前营街幼儿园建设</w:t>
      </w:r>
      <w:r>
        <w:rPr>
          <w:rFonts w:hint="eastAsia" w:ascii="方正小标宋简体" w:hAnsi="方正小标宋简体" w:eastAsia="方正小标宋简体" w:cs="方正小标宋简体"/>
          <w:sz w:val="44"/>
          <w:szCs w:val="44"/>
        </w:rPr>
        <w:t>项目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绩效评价报告</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jc w:val="center"/>
        <w:textAlignment w:val="auto"/>
        <w:rPr>
          <w:rFonts w:hint="default" w:hAnsi="华文中宋" w:eastAsia="仿宋_GB2312" w:cs="华文中宋"/>
          <w:color w:val="FF0000"/>
          <w:sz w:val="22"/>
          <w:szCs w:val="22"/>
          <w:lang w:val="en-US" w:eastAsia="zh-CN"/>
        </w:rPr>
      </w:pPr>
    </w:p>
    <w:p>
      <w:pPr>
        <w:pageBreakBefore w:val="0"/>
        <w:overflowPunct/>
        <w:topLinePunct w:val="0"/>
        <w:autoSpaceDE w:val="0"/>
        <w:autoSpaceDN w:val="0"/>
        <w:bidi w:val="0"/>
        <w:spacing w:line="576" w:lineRule="exact"/>
        <w:ind w:left="0" w:leftChars="0"/>
        <w:jc w:val="both"/>
        <w:outlineLvl w:val="0"/>
        <w:rPr>
          <w:rFonts w:hint="eastAsia" w:ascii="黑体" w:hAnsi="黑体" w:eastAsia="黑体" w:cs="黑体"/>
          <w:b/>
          <w:bCs/>
          <w:szCs w:val="32"/>
          <w:lang w:val="en-US" w:eastAsia="zh-CN"/>
        </w:rPr>
      </w:pPr>
      <w:bookmarkStart w:id="1177" w:name="_Toc2781"/>
      <w:bookmarkStart w:id="1178" w:name="_Toc7410"/>
      <w:bookmarkStart w:id="1179" w:name="_Toc21139"/>
      <w:bookmarkStart w:id="1180" w:name="_Toc22163"/>
      <w:r>
        <w:rPr>
          <w:rFonts w:hint="eastAsia" w:ascii="黑体" w:hAnsi="黑体" w:eastAsia="黑体" w:cs="黑体"/>
          <w:b/>
          <w:bCs/>
          <w:szCs w:val="32"/>
          <w:lang w:val="zh-CN"/>
        </w:rPr>
        <w:t>一、项目基本情况</w:t>
      </w:r>
      <w:bookmarkEnd w:id="1177"/>
      <w:bookmarkEnd w:id="1178"/>
      <w:bookmarkEnd w:id="1179"/>
      <w:bookmarkEnd w:id="1180"/>
    </w:p>
    <w:p>
      <w:pPr>
        <w:keepNext w:val="0"/>
        <w:keepLines w:val="0"/>
        <w:pageBreakBefore w:val="0"/>
        <w:widowControl w:val="0"/>
        <w:kinsoku/>
        <w:wordWrap/>
        <w:overflowPunct/>
        <w:topLinePunct w:val="0"/>
        <w:autoSpaceDE w:val="0"/>
        <w:autoSpaceDN w:val="0"/>
        <w:bidi w:val="0"/>
        <w:adjustRightInd w:val="0"/>
        <w:snapToGrid w:val="0"/>
        <w:spacing w:line="576" w:lineRule="exact"/>
        <w:ind w:left="0" w:leftChars="0" w:firstLine="643"/>
        <w:jc w:val="both"/>
        <w:textAlignment w:val="auto"/>
        <w:outlineLvl w:val="1"/>
        <w:rPr>
          <w:rFonts w:hint="eastAsia" w:ascii="楷体_GB2312" w:hAnsi="楷体_GB2312" w:eastAsia="楷体_GB2312" w:cs="楷体_GB2312"/>
          <w:b/>
          <w:bCs/>
          <w:szCs w:val="32"/>
          <w:lang w:val="en-US" w:eastAsia="zh-CN"/>
        </w:rPr>
      </w:pPr>
      <w:bookmarkStart w:id="1181" w:name="_Toc849"/>
      <w:bookmarkStart w:id="1182" w:name="_Toc11345"/>
      <w:bookmarkStart w:id="1183" w:name="_Toc9861"/>
      <w:bookmarkStart w:id="1184" w:name="_Toc20786"/>
      <w:r>
        <w:rPr>
          <w:rFonts w:hint="eastAsia" w:ascii="楷体_GB2312" w:hAnsi="楷体_GB2312" w:eastAsia="楷体_GB2312" w:cs="楷体_GB2312"/>
          <w:b/>
          <w:bCs/>
          <w:szCs w:val="32"/>
          <w:lang w:val="zh-CN"/>
        </w:rPr>
        <w:t>（一）项目立项背景</w:t>
      </w:r>
      <w:bookmarkEnd w:id="1181"/>
      <w:bookmarkEnd w:id="1182"/>
      <w:bookmarkEnd w:id="1183"/>
      <w:bookmarkEnd w:id="1184"/>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cs="Times New Roman"/>
          <w:color w:val="auto"/>
          <w:lang w:val="en-US" w:eastAsia="zh-CN"/>
        </w:rPr>
      </w:pPr>
      <w:r>
        <w:rPr>
          <w:rFonts w:hint="eastAsia" w:cs="Times New Roman"/>
          <w:color w:val="auto"/>
          <w:lang w:val="en-US" w:eastAsia="zh-CN"/>
        </w:rPr>
        <w:t>学前教育是国家确立的基本教育制度之一，是终身学习的开端，是国民教育体系的重要组成部分，是重要的社会公益。发展幼儿教育对提高国民素质、促进人民安康、构建和谐社会具有重大而深远的意义。根据《中华人民共和国教育法》《国家中长期教育改革和发展规划纲要（</w:t>
      </w:r>
      <w:r>
        <w:rPr>
          <w:rFonts w:hint="eastAsia" w:ascii="Times New Roman" w:hAnsi="Times New Roman" w:eastAsia="仿宋_GB2312" w:cs="Times New Roman"/>
          <w:bCs/>
          <w:color w:val="auto"/>
          <w:sz w:val="32"/>
          <w:szCs w:val="32"/>
          <w:lang w:val="en-US" w:eastAsia="zh-CN"/>
        </w:rPr>
        <w:t>2010-2020</w:t>
      </w:r>
      <w:r>
        <w:rPr>
          <w:rFonts w:hint="eastAsia" w:cs="Times New Roman"/>
          <w:color w:val="auto"/>
          <w:lang w:val="en-US" w:eastAsia="zh-CN"/>
        </w:rPr>
        <w:t>年）》，各级政府全面贯彻国家的教育方针，明确政府职责，把发展学前教育纳入城镇、新农村建设规划，重点发展农村学前教育，逐步建立政府主导、社会参与、公办民办并举的办园体制，努力实现基本普及学前教育的目标。</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幼儿园是对</w:t>
      </w:r>
      <w:r>
        <w:rPr>
          <w:rFonts w:hint="eastAsia" w:ascii="Times New Roman" w:hAnsi="Times New Roman" w:eastAsia="仿宋_GB2312" w:cs="Times New Roman"/>
          <w:bCs/>
          <w:color w:val="auto"/>
          <w:sz w:val="32"/>
          <w:szCs w:val="32"/>
          <w:lang w:val="en-US" w:eastAsia="zh-CN"/>
        </w:rPr>
        <w:t>3</w:t>
      </w:r>
      <w:r>
        <w:rPr>
          <w:rFonts w:hint="eastAsia" w:cs="Times New Roman"/>
          <w:color w:val="auto"/>
          <w:lang w:val="en-US" w:eastAsia="zh-CN"/>
        </w:rPr>
        <w:t>周岁以上学龄前幼儿实施保育和教育的机构，其任务是以保育与教育相结合为原则，对幼儿进行体、智、德、美诸方面全面发展的教育，促进其身心和谐发展，同时为家长参加工作、学习提供便利条件。幼儿教育是基础教育的组成部分，是学校教育和终身教育的起始阶段。积极发展幼儿教育对于促进儿童身心全面健康发展，巩固和提高九年义务教育质量有着不可替代的作用，对提高国民整体素质，实现全面建设小康社会的奋斗目标具有重要意义。</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近年来随着西宁市城中区经济社会的迅速发展，外来务工人员大量涌入城中区，前营街地区作为西宁市城中区居住人口相对较多的老城区，区域内现有学前教育资源不能满足适龄儿童入园的问题日益凸显，与经济、社会、教育的发展和人民群众日益增长的需求还不相适应，严重制约了城中区学前教育的长足发展，亟待改进和加强。</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西宁市教育局、城中区教育局根据《教育部办公厅国家发展改革委办公厅&lt;关于实施中西部农村学前教育推进工程试点项目&gt;的指导意见》《青海省中长期教育改革和发展规划纲要</w:t>
      </w:r>
      <w:r>
        <w:rPr>
          <w:rFonts w:hint="eastAsia" w:ascii="Times New Roman" w:hAnsi="Times New Roman" w:eastAsia="仿宋_GB2312" w:cs="Times New Roman"/>
          <w:bCs/>
          <w:color w:val="auto"/>
          <w:sz w:val="32"/>
          <w:szCs w:val="32"/>
          <w:lang w:val="en-US" w:eastAsia="zh-CN"/>
        </w:rPr>
        <w:t>（2010—2020</w:t>
      </w:r>
      <w:r>
        <w:rPr>
          <w:rFonts w:hint="eastAsia" w:cs="Times New Roman"/>
          <w:color w:val="auto"/>
          <w:lang w:val="en-US" w:eastAsia="zh-CN"/>
        </w:rPr>
        <w:t>年）》《青海省人民政府办公厅转发&lt;青海省教育厅关于进一步促进学前教育发展意见&gt;的通知》和《青海省中小学布局调整规划目标和中小学校安工程实施计划》等相关政策精神，为进一步改善西宁市城中区学前教育整体规模不足、幼儿园布局不合理的现状，保障儿童均能就近接受高质量的学前教育，促进城乡学前教育均衡发展，提高学前教育质量和水平，切实改善西宁市教育长足稳定发展，决定建设西宁市城中区前营街幼儿园。</w:t>
      </w:r>
    </w:p>
    <w:p>
      <w:pPr>
        <w:keepNext w:val="0"/>
        <w:keepLines w:val="0"/>
        <w:pageBreakBefore w:val="0"/>
        <w:widowControl w:val="0"/>
        <w:kinsoku/>
        <w:wordWrap/>
        <w:overflowPunct/>
        <w:topLinePunct w:val="0"/>
        <w:autoSpaceDE w:val="0"/>
        <w:autoSpaceDN w:val="0"/>
        <w:bidi w:val="0"/>
        <w:adjustRightInd w:val="0"/>
        <w:snapToGrid w:val="0"/>
        <w:spacing w:line="576" w:lineRule="exact"/>
        <w:ind w:left="0" w:leftChars="0" w:firstLine="643"/>
        <w:jc w:val="left"/>
        <w:textAlignment w:val="auto"/>
        <w:outlineLvl w:val="1"/>
        <w:rPr>
          <w:rFonts w:hint="eastAsia" w:ascii="楷体_GB2312" w:hAnsi="楷体_GB2312" w:eastAsia="楷体_GB2312" w:cs="楷体_GB2312"/>
          <w:b/>
          <w:bCs/>
          <w:szCs w:val="32"/>
          <w:lang w:val="zh-CN"/>
        </w:rPr>
      </w:pPr>
      <w:bookmarkStart w:id="1185" w:name="_Toc23944"/>
      <w:bookmarkStart w:id="1186" w:name="_Toc13858"/>
      <w:bookmarkStart w:id="1187" w:name="_Toc17973"/>
      <w:bookmarkStart w:id="1188" w:name="_Toc5304"/>
      <w:r>
        <w:rPr>
          <w:rFonts w:hint="eastAsia" w:ascii="楷体_GB2312" w:hAnsi="楷体_GB2312" w:eastAsia="楷体_GB2312" w:cs="楷体_GB2312"/>
          <w:b/>
          <w:bCs/>
          <w:szCs w:val="32"/>
          <w:lang w:val="zh-CN"/>
        </w:rPr>
        <w:t>（二）项目计划内容及实施情况</w:t>
      </w:r>
      <w:bookmarkEnd w:id="1185"/>
      <w:bookmarkEnd w:id="1186"/>
      <w:bookmarkEnd w:id="1187"/>
      <w:bookmarkEnd w:id="1188"/>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b/>
          <w:bCs/>
          <w:color w:val="auto"/>
          <w:lang w:val="en-US" w:eastAsia="zh-CN"/>
        </w:rPr>
      </w:pPr>
      <w:r>
        <w:rPr>
          <w:rFonts w:hint="eastAsia" w:cs="Times New Roman"/>
          <w:b/>
          <w:bCs/>
          <w:color w:val="auto"/>
          <w:lang w:val="en-US" w:eastAsia="zh-CN"/>
        </w:rPr>
        <w:t>1.项目计划建设内容</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根据《西宁市发展和改革委员会&lt;关于城中区前营街幼儿园建设项目可行性研究报告&gt;的批复》（宁发改社会</w:t>
      </w:r>
      <w:r>
        <w:rPr>
          <w:rFonts w:hint="eastAsia" w:ascii="Times New Roman" w:hAnsi="Times New Roman" w:eastAsia="仿宋_GB2312" w:cs="Times New Roman"/>
          <w:bCs/>
          <w:color w:val="auto"/>
          <w:sz w:val="32"/>
          <w:szCs w:val="32"/>
          <w:lang w:val="en-US" w:eastAsia="zh-CN"/>
        </w:rPr>
        <w:t>〔2012〕648号），该项目由城中区教育局实施，项目总投资1158万元，建设年限为2012年至2013年。截至2015年，</w:t>
      </w:r>
      <w:r>
        <w:rPr>
          <w:rFonts w:hint="eastAsia" w:cs="Times New Roman"/>
          <w:color w:val="auto"/>
          <w:lang w:val="en-US" w:eastAsia="zh-CN"/>
        </w:rPr>
        <w:t>该项目原计划选址（前营街小学原址）与城市总体规划布局和明长城相关文物保护要求相冲突的原因未能实施。</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zh-CN" w:eastAsia="zh-CN"/>
        </w:rPr>
        <w:t>根据《西宁市城中区发展改革和经济商务局</w:t>
      </w:r>
      <w:r>
        <w:rPr>
          <w:rFonts w:hint="eastAsia" w:cs="Times New Roman"/>
          <w:color w:val="auto"/>
          <w:lang w:val="en-US" w:eastAsia="zh-CN"/>
        </w:rPr>
        <w:t>&lt;关于前营街幼儿园（暂定名）项目可行性研究报告&gt;的批复</w:t>
      </w:r>
      <w:r>
        <w:rPr>
          <w:rFonts w:hint="eastAsia" w:cs="Times New Roman"/>
          <w:color w:val="auto"/>
          <w:lang w:val="zh-CN" w:eastAsia="zh-CN"/>
        </w:rPr>
        <w:t>》（城中发经字</w:t>
      </w:r>
      <w:r>
        <w:rPr>
          <w:rFonts w:hint="eastAsia" w:ascii="Times New Roman" w:hAnsi="Times New Roman" w:eastAsia="仿宋_GB2312" w:cs="Times New Roman"/>
          <w:bCs/>
          <w:color w:val="auto"/>
          <w:sz w:val="32"/>
          <w:szCs w:val="32"/>
          <w:lang w:val="en-US" w:eastAsia="zh-CN"/>
        </w:rPr>
        <w:t>〔2017〕93号</w:t>
      </w:r>
      <w:r>
        <w:rPr>
          <w:rFonts w:hint="eastAsia" w:ascii="Times New Roman" w:hAnsi="Times New Roman" w:eastAsia="仿宋_GB2312" w:cs="Times New Roman"/>
          <w:bCs/>
          <w:color w:val="auto"/>
          <w:sz w:val="32"/>
          <w:szCs w:val="32"/>
          <w:lang w:val="zh-CN" w:eastAsia="zh-CN"/>
        </w:rPr>
        <w:t>）和《西宁市城乡规划和建设局关于&lt;城中区前营街育儿园建设项目初步设计&gt;的批复》（</w:t>
      </w:r>
      <w:r>
        <w:rPr>
          <w:rFonts w:hint="eastAsia" w:ascii="Times New Roman" w:hAnsi="Times New Roman" w:eastAsia="仿宋_GB2312" w:cs="Times New Roman"/>
          <w:bCs/>
          <w:color w:val="auto"/>
          <w:sz w:val="32"/>
          <w:szCs w:val="32"/>
          <w:lang w:val="en-US" w:eastAsia="zh-CN"/>
        </w:rPr>
        <w:t>宁规建〔2017〕305号</w:t>
      </w:r>
      <w:r>
        <w:rPr>
          <w:rFonts w:hint="eastAsia" w:ascii="Times New Roman" w:hAnsi="Times New Roman" w:eastAsia="仿宋_GB2312" w:cs="Times New Roman"/>
          <w:bCs/>
          <w:color w:val="auto"/>
          <w:sz w:val="32"/>
          <w:szCs w:val="32"/>
          <w:lang w:val="zh-CN" w:eastAsia="zh-CN"/>
        </w:rPr>
        <w:t>），</w:t>
      </w:r>
      <w:r>
        <w:rPr>
          <w:rFonts w:hint="eastAsia" w:ascii="Times New Roman" w:hAnsi="Times New Roman" w:eastAsia="仿宋_GB2312" w:cs="Times New Roman"/>
          <w:bCs/>
          <w:color w:val="auto"/>
          <w:sz w:val="32"/>
          <w:szCs w:val="32"/>
          <w:lang w:val="en-US" w:eastAsia="zh-CN"/>
        </w:rPr>
        <w:t>城中区教育局</w:t>
      </w:r>
      <w:r>
        <w:rPr>
          <w:rFonts w:hint="eastAsia" w:ascii="Times New Roman" w:hAnsi="Times New Roman" w:eastAsia="仿宋_GB2312" w:cs="Times New Roman"/>
          <w:bCs/>
          <w:color w:val="auto"/>
          <w:sz w:val="32"/>
          <w:szCs w:val="32"/>
          <w:lang w:val="zh-CN" w:eastAsia="zh-CN"/>
        </w:rPr>
        <w:t>计划在城中区法院以北，原玉井巷小学院内建设城中区前营街幼儿园，总建筑面积4981.55平方米。其中：新建幼教楼一栋，建筑面积4979.55</w:t>
      </w:r>
      <w:r>
        <w:rPr>
          <w:rFonts w:hint="eastAsia" w:cs="Times New Roman"/>
          <w:color w:val="auto"/>
          <w:lang w:val="zh-CN" w:eastAsia="zh-CN"/>
        </w:rPr>
        <w:t>平方米，地下一层、地上三层，框架结构；新建门卫值班室一栋，建筑面</w:t>
      </w:r>
      <w:r>
        <w:rPr>
          <w:rFonts w:hint="eastAsia" w:ascii="Times New Roman" w:hAnsi="Times New Roman" w:eastAsia="仿宋_GB2312" w:cs="Times New Roman"/>
          <w:bCs/>
          <w:color w:val="auto"/>
          <w:sz w:val="32"/>
          <w:szCs w:val="32"/>
          <w:lang w:val="zh-CN" w:eastAsia="zh-CN"/>
        </w:rPr>
        <w:t>积3平</w:t>
      </w:r>
      <w:r>
        <w:rPr>
          <w:rFonts w:hint="eastAsia" w:cs="Times New Roman"/>
          <w:color w:val="auto"/>
          <w:lang w:val="zh-CN" w:eastAsia="zh-CN"/>
        </w:rPr>
        <w:t>方米，单层框架结构。</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b/>
          <w:bCs/>
          <w:color w:val="auto"/>
          <w:lang w:val="en-US" w:eastAsia="zh-CN"/>
        </w:rPr>
      </w:pPr>
      <w:r>
        <w:rPr>
          <w:rFonts w:hint="eastAsia" w:cs="Times New Roman"/>
          <w:b/>
          <w:bCs/>
          <w:color w:val="auto"/>
          <w:lang w:val="en-US" w:eastAsia="zh-CN"/>
        </w:rPr>
        <w:t>2.项目实际建设情况</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2017年10月，西宁市城中区教育局委托红城国际工程管理有限公司进行了前营街幼儿园建设项目工程施工和监理工程的公开招标工作。经评标委员会评定，陕西盛鑫建筑安装工程有限公司、浙江同舟建设管理有限公司分别为该项目施工单位、监理单位，并与城中区教育局签订《合同协议书》。合同约定项目施工期为：2018年3月15日至2019年3月15日，工期总日历天数365天。</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default" w:cs="Times New Roman"/>
          <w:color w:val="auto"/>
          <w:lang w:val="en-US" w:eastAsia="zh-CN"/>
        </w:rPr>
      </w:pPr>
      <w:r>
        <w:rPr>
          <w:rFonts w:hint="eastAsia" w:ascii="Times New Roman" w:hAnsi="Times New Roman" w:eastAsia="仿宋_GB2312" w:cs="Times New Roman"/>
          <w:bCs/>
          <w:color w:val="auto"/>
          <w:sz w:val="32"/>
          <w:szCs w:val="32"/>
          <w:lang w:val="en-US" w:eastAsia="zh-CN"/>
        </w:rPr>
        <w:t>该项目于2018年3月15日开工建设，于2020年6月23日进行了预验收，项目已全部完工。2020年7月27日，城中区教育局组织城中区发展改革和工业信息化局、项目设计、勘察、监理、施工单位对项目进行了竣工验收，于2020年9月投入使用；2020年12月，青海华翼会计师事务所有限公司对项目进行了工程决算审核；2021年6月，城中区审计局对项目进行了审计。截至2021年11月，项目资产交付</w:t>
      </w:r>
      <w:r>
        <w:rPr>
          <w:rFonts w:hint="eastAsia" w:cs="Times New Roman"/>
          <w:color w:val="auto"/>
          <w:lang w:val="en-US" w:eastAsia="zh-CN"/>
        </w:rPr>
        <w:t>使用手续正在办理中。</w:t>
      </w:r>
    </w:p>
    <w:p>
      <w:pPr>
        <w:keepNext w:val="0"/>
        <w:keepLines w:val="0"/>
        <w:pageBreakBefore w:val="0"/>
        <w:widowControl w:val="0"/>
        <w:kinsoku/>
        <w:wordWrap/>
        <w:overflowPunct/>
        <w:topLinePunct w:val="0"/>
        <w:autoSpaceDE w:val="0"/>
        <w:autoSpaceDN w:val="0"/>
        <w:bidi w:val="0"/>
        <w:adjustRightInd w:val="0"/>
        <w:snapToGrid w:val="0"/>
        <w:spacing w:line="576" w:lineRule="exact"/>
        <w:ind w:left="0" w:leftChars="0" w:firstLine="643"/>
        <w:jc w:val="left"/>
        <w:textAlignment w:val="auto"/>
        <w:outlineLvl w:val="1"/>
        <w:rPr>
          <w:rFonts w:hint="eastAsia" w:ascii="楷体_GB2312" w:hAnsi="楷体_GB2312" w:eastAsia="楷体_GB2312" w:cs="楷体_GB2312"/>
          <w:b/>
          <w:bCs/>
          <w:szCs w:val="32"/>
          <w:lang w:val="zh-CN"/>
        </w:rPr>
      </w:pPr>
      <w:bookmarkStart w:id="1189" w:name="_Toc32001"/>
      <w:bookmarkStart w:id="1190" w:name="_Toc26359"/>
      <w:bookmarkStart w:id="1191" w:name="_Toc2719"/>
      <w:bookmarkStart w:id="1192" w:name="_Toc7377"/>
      <w:r>
        <w:rPr>
          <w:rFonts w:hint="eastAsia" w:ascii="楷体_GB2312" w:hAnsi="楷体_GB2312" w:eastAsia="楷体_GB2312" w:cs="楷体_GB2312"/>
          <w:b/>
          <w:bCs/>
          <w:szCs w:val="32"/>
          <w:lang w:val="zh-CN"/>
        </w:rPr>
        <w:t>（三）项目资金情况</w:t>
      </w:r>
      <w:bookmarkEnd w:id="1189"/>
      <w:bookmarkEnd w:id="1190"/>
      <w:bookmarkEnd w:id="1191"/>
      <w:bookmarkEnd w:id="1192"/>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b/>
          <w:bCs/>
          <w:color w:val="auto"/>
          <w:lang w:val="en-US" w:eastAsia="zh-CN"/>
        </w:rPr>
      </w:pPr>
      <w:r>
        <w:rPr>
          <w:rFonts w:hint="eastAsia" w:cs="Times New Roman"/>
          <w:b/>
          <w:bCs/>
          <w:color w:val="auto"/>
          <w:lang w:val="en-US" w:eastAsia="zh-CN"/>
        </w:rPr>
        <w:t>1.项目计划投资和实际完成投资情况</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ascii="Times New Roman" w:hAnsi="Times New Roman" w:eastAsia="仿宋_GB2312" w:cs="Times New Roman"/>
          <w:bCs/>
          <w:color w:val="auto"/>
          <w:sz w:val="32"/>
          <w:szCs w:val="32"/>
          <w:lang w:val="en-US" w:eastAsia="zh-CN"/>
        </w:rPr>
      </w:pPr>
      <w:r>
        <w:rPr>
          <w:rFonts w:hint="eastAsia" w:cs="Times New Roman"/>
          <w:color w:val="auto"/>
          <w:lang w:val="zh-CN" w:eastAsia="zh-CN"/>
        </w:rPr>
        <w:t>根据《西宁市城中区发展改革和经济商务局</w:t>
      </w:r>
      <w:r>
        <w:rPr>
          <w:rFonts w:hint="eastAsia" w:cs="Times New Roman"/>
          <w:color w:val="auto"/>
          <w:lang w:val="en-US" w:eastAsia="zh-CN"/>
        </w:rPr>
        <w:t>&lt;关于前营街幼儿园（暂定名）项目可行性研究报告&gt;的批复</w:t>
      </w:r>
      <w:r>
        <w:rPr>
          <w:rFonts w:hint="eastAsia" w:cs="Times New Roman"/>
          <w:color w:val="auto"/>
          <w:lang w:val="zh-CN" w:eastAsia="zh-CN"/>
        </w:rPr>
        <w:t>》（城中发经字</w:t>
      </w:r>
      <w:r>
        <w:rPr>
          <w:rFonts w:hint="eastAsia" w:ascii="Times New Roman" w:hAnsi="Times New Roman" w:eastAsia="仿宋_GB2312" w:cs="Times New Roman"/>
          <w:bCs/>
          <w:color w:val="auto"/>
          <w:sz w:val="32"/>
          <w:szCs w:val="32"/>
          <w:lang w:val="en-US" w:eastAsia="zh-CN"/>
        </w:rPr>
        <w:t>〔2017〕93号</w:t>
      </w:r>
      <w:r>
        <w:rPr>
          <w:rFonts w:hint="eastAsia" w:ascii="Times New Roman" w:hAnsi="Times New Roman" w:eastAsia="仿宋_GB2312" w:cs="Times New Roman"/>
          <w:bCs/>
          <w:color w:val="auto"/>
          <w:sz w:val="32"/>
          <w:szCs w:val="32"/>
          <w:lang w:val="zh-CN" w:eastAsia="zh-CN"/>
        </w:rPr>
        <w:t>）和《西宁市城乡规划和建设局关于&lt;城中区前营街育儿园建设项目初步设计&gt;的批复》（</w:t>
      </w:r>
      <w:r>
        <w:rPr>
          <w:rFonts w:hint="eastAsia" w:ascii="Times New Roman" w:hAnsi="Times New Roman" w:eastAsia="仿宋_GB2312" w:cs="Times New Roman"/>
          <w:bCs/>
          <w:color w:val="auto"/>
          <w:sz w:val="32"/>
          <w:szCs w:val="32"/>
          <w:lang w:val="en-US" w:eastAsia="zh-CN"/>
        </w:rPr>
        <w:t>宁规建〔2017〕305号</w:t>
      </w:r>
      <w:r>
        <w:rPr>
          <w:rFonts w:hint="eastAsia" w:ascii="Times New Roman" w:hAnsi="Times New Roman" w:eastAsia="仿宋_GB2312" w:cs="Times New Roman"/>
          <w:bCs/>
          <w:color w:val="auto"/>
          <w:sz w:val="32"/>
          <w:szCs w:val="32"/>
          <w:lang w:val="zh-CN" w:eastAsia="zh-CN"/>
        </w:rPr>
        <w:t>），该项目计划总投资</w:t>
      </w:r>
      <w:r>
        <w:rPr>
          <w:rFonts w:hint="eastAsia" w:ascii="Times New Roman" w:hAnsi="Times New Roman" w:eastAsia="仿宋_GB2312" w:cs="Times New Roman"/>
          <w:bCs/>
          <w:color w:val="auto"/>
          <w:sz w:val="32"/>
          <w:szCs w:val="32"/>
          <w:lang w:val="en-US" w:eastAsia="zh-CN"/>
        </w:rPr>
        <w:t>17870000.00元。</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根据《西宁市城中区审计局关于&lt;前营街幼儿园建设项目&gt;的审计报告》（城中审项报〔2021〕第3号），该项目实际完成投资19451645.11元（含基坑支护增项700000.00元），超项目批复资金8.84%。</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b/>
          <w:bCs/>
          <w:color w:val="auto"/>
          <w:lang w:val="en-US" w:eastAsia="zh-CN"/>
        </w:rPr>
      </w:pPr>
      <w:r>
        <w:rPr>
          <w:rFonts w:hint="eastAsia" w:cs="Times New Roman"/>
          <w:b/>
          <w:bCs/>
          <w:color w:val="auto"/>
          <w:lang w:val="en-US" w:eastAsia="zh-CN"/>
        </w:rPr>
        <w:t>2.项目资金到位和使用情况</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b/>
          <w:bCs/>
          <w:color w:val="auto"/>
          <w:lang w:val="en-US" w:eastAsia="zh-CN"/>
        </w:rPr>
      </w:pPr>
      <w:r>
        <w:rPr>
          <w:rFonts w:hint="eastAsia" w:cs="Times New Roman"/>
          <w:b/>
          <w:bCs/>
          <w:color w:val="auto"/>
          <w:lang w:val="en-US" w:eastAsia="zh-CN"/>
        </w:rPr>
        <w:t>（1）第一次建设项目资金到位和使用情况（2012年至2015年）</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①项目资金到位情况。截至2012年末，该项目应到位资金11580000.00元，实际到位资金11480000.00元，其中：中央预算内资金5160000.00元，市财政专项资金5000000.00元，区级配套资金1320000.00元，资金到位率为99.14%。</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②项目资金支出情况。截至2015年11月，该项目支出资金6300.00元，预算执行率为0.05%。</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cs="Times New Roman"/>
          <w:color w:val="auto"/>
          <w:lang w:val="en-US" w:eastAsia="zh-CN"/>
        </w:rPr>
      </w:pPr>
      <w:r>
        <w:rPr>
          <w:rFonts w:hint="eastAsia" w:ascii="Times New Roman" w:hAnsi="Times New Roman" w:eastAsia="仿宋_GB2312" w:cs="Times New Roman"/>
          <w:bCs/>
          <w:color w:val="auto"/>
          <w:sz w:val="32"/>
          <w:szCs w:val="32"/>
          <w:lang w:val="en-US" w:eastAsia="zh-CN"/>
        </w:rPr>
        <w:t>③项目资金结余情况。截至2015年11月，该项目资金结余11586905.47元（包含利息收入113205.47元）。根据《关于核定上缴财政存量资金的通知（第三批）》（城中财字</w:t>
      </w:r>
      <w:r>
        <w:rPr>
          <w:rFonts w:hint="eastAsia" w:cs="Times New Roman"/>
          <w:color w:val="auto"/>
          <w:lang w:val="en-US" w:eastAsia="zh-CN"/>
        </w:rPr>
        <w:t>〔2015〕</w:t>
      </w:r>
      <w:r>
        <w:rPr>
          <w:rFonts w:hint="eastAsia" w:ascii="Times New Roman" w:hAnsi="Times New Roman" w:eastAsia="仿宋_GB2312" w:cs="Times New Roman"/>
          <w:bCs/>
          <w:color w:val="auto"/>
          <w:sz w:val="32"/>
          <w:szCs w:val="32"/>
          <w:lang w:val="en-US" w:eastAsia="zh-CN"/>
        </w:rPr>
        <w:t>234号），</w:t>
      </w:r>
      <w:r>
        <w:rPr>
          <w:rFonts w:hint="eastAsia" w:cs="Times New Roman"/>
          <w:color w:val="auto"/>
          <w:lang w:val="en-US" w:eastAsia="zh-CN"/>
        </w:rPr>
        <w:t>由于该项目现阶段无法实施，按存量资金全额上缴项目结余资金。</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b/>
          <w:bCs/>
          <w:color w:val="auto"/>
          <w:lang w:val="en-US" w:eastAsia="zh-CN"/>
        </w:rPr>
      </w:pPr>
      <w:r>
        <w:rPr>
          <w:rFonts w:hint="eastAsia" w:cs="Times New Roman"/>
          <w:b/>
          <w:bCs/>
          <w:color w:val="auto"/>
          <w:lang w:val="en-US" w:eastAsia="zh-CN"/>
        </w:rPr>
        <w:t>（2）第二次建设项目资金到位和使用情况（2017年至2021年11月23日）</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①项目资金到位情况。截至2021年11月23日，该项目应到位资金17870000.00元，实际到位资金18507432.65元，其中：中央预算内资金5160000.00元，市财政专项资金5000000.00元，区级配套资金8347432.65元，资金到位率为103.57%。</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②项目资金支出情况。截至2021年11月23日，该项目累计支出资金18436476.55元（不包含电费结余款21879.57元），预算执行率为99.62%。</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③项目资金结余情况。截至2021年11月23日，该项目实际完成投资19451645.11元，实际到位资金18507432.65元，资金缺口944212.46元。</w:t>
      </w:r>
    </w:p>
    <w:p>
      <w:pPr>
        <w:keepNext w:val="0"/>
        <w:keepLines w:val="0"/>
        <w:pageBreakBefore w:val="0"/>
        <w:widowControl w:val="0"/>
        <w:kinsoku/>
        <w:wordWrap/>
        <w:overflowPunct/>
        <w:topLinePunct w:val="0"/>
        <w:autoSpaceDE w:val="0"/>
        <w:autoSpaceDN w:val="0"/>
        <w:bidi w:val="0"/>
        <w:adjustRightInd w:val="0"/>
        <w:snapToGrid w:val="0"/>
        <w:spacing w:line="576" w:lineRule="exact"/>
        <w:ind w:left="0" w:leftChars="0" w:firstLine="643"/>
        <w:jc w:val="left"/>
        <w:textAlignment w:val="auto"/>
        <w:outlineLvl w:val="1"/>
        <w:rPr>
          <w:rFonts w:hint="eastAsia" w:ascii="楷体_GB2312" w:hAnsi="楷体_GB2312" w:eastAsia="楷体_GB2312" w:cs="楷体_GB2312"/>
          <w:b/>
          <w:bCs/>
          <w:szCs w:val="32"/>
          <w:lang w:val="zh-CN"/>
        </w:rPr>
      </w:pPr>
      <w:bookmarkStart w:id="1193" w:name="_Toc441"/>
      <w:bookmarkStart w:id="1194" w:name="_Toc14399"/>
      <w:bookmarkStart w:id="1195" w:name="_Toc31960"/>
      <w:bookmarkStart w:id="1196" w:name="_Toc6663"/>
      <w:r>
        <w:rPr>
          <w:rFonts w:hint="eastAsia" w:ascii="楷体_GB2312" w:hAnsi="楷体_GB2312" w:eastAsia="楷体_GB2312" w:cs="楷体_GB2312"/>
          <w:b/>
          <w:bCs/>
          <w:szCs w:val="32"/>
          <w:lang w:val="zh-CN"/>
        </w:rPr>
        <w:t>（四）项目组织管理</w:t>
      </w:r>
      <w:bookmarkEnd w:id="1193"/>
      <w:bookmarkEnd w:id="1194"/>
      <w:bookmarkEnd w:id="1195"/>
      <w:bookmarkEnd w:id="1196"/>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项目单位按照基本建设管理有关规定，认真执行项目法人责任制、招投标制、工程监理制、合同管理制等各项规章制度，在招标投标过程中要严格执行《中华人民共和国招投标法》有关规定，以确保建设工期和建设质量。具体内容为：</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1.在项目办公室的统一安排下，各主管部门按照职能分工全力做好项目建设实施的各项工作，加强项目管理，抽调专业技术人员为工程建设提供服务，确保项目建设顺利进行。</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2.在项目办公室的领导下，统一协调各方面的关系，切实安排进度计划，并监督工程建设顺利实施。</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3.建设项目批准后，要落实项目法人责任制，指定项目负责人，专职负责项目实施，不准擅自更改批准的建设项目工程规模、技术标准和建设内容。</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4.要确保建设资金专款专用、专户存储，不能挤占挪用。建设资金必须按工程设计的规模和内容，实行内部提款报账的财务管理制度，要加强对资金使用的追踪、检查和审计工作，严格财务制度。</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5.为确保工程质量，项目建设要严格实行招投标制、工程监理制和合同管理制。所有建筑项目必须按照国家有关法律法规，通过招标方式，确定具有国家认定的相应资质的勘察、设计、施工、监理承担单位。</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6.实行竣工验收制度。项目建成后必须按照国家有关规定进行竣工验收。项目竣工验收后方可交付使用。同时加强项目档案工作，从项目筹划到工程竣工验收各环节的文字资料要严格按规定收集、整理、归档。</w:t>
      </w:r>
    </w:p>
    <w:p>
      <w:pPr>
        <w:keepNext w:val="0"/>
        <w:keepLines w:val="0"/>
        <w:pageBreakBefore w:val="0"/>
        <w:widowControl w:val="0"/>
        <w:kinsoku/>
        <w:wordWrap/>
        <w:overflowPunct/>
        <w:topLinePunct w:val="0"/>
        <w:autoSpaceDE w:val="0"/>
        <w:autoSpaceDN w:val="0"/>
        <w:bidi w:val="0"/>
        <w:adjustRightInd w:val="0"/>
        <w:snapToGrid w:val="0"/>
        <w:spacing w:line="576" w:lineRule="exact"/>
        <w:ind w:left="0" w:leftChars="0"/>
        <w:jc w:val="left"/>
        <w:textAlignment w:val="auto"/>
        <w:outlineLvl w:val="0"/>
        <w:rPr>
          <w:rFonts w:hint="eastAsia" w:cs="仿宋_GB2312"/>
          <w:b/>
          <w:bCs/>
          <w:sz w:val="28"/>
          <w:szCs w:val="28"/>
          <w:lang w:val="zh-CN"/>
        </w:rPr>
      </w:pPr>
      <w:bookmarkStart w:id="1197" w:name="_Toc1315"/>
      <w:bookmarkStart w:id="1198" w:name="_Toc17043"/>
      <w:bookmarkStart w:id="1199" w:name="_Toc18080"/>
      <w:bookmarkStart w:id="1200" w:name="_Toc14052"/>
      <w:r>
        <w:rPr>
          <w:rFonts w:hint="eastAsia" w:ascii="黑体" w:hAnsi="黑体" w:eastAsia="黑体" w:cs="黑体"/>
          <w:b/>
          <w:bCs/>
          <w:szCs w:val="32"/>
          <w:lang w:val="zh-CN"/>
        </w:rPr>
        <w:t>二、项目绩效目标</w:t>
      </w:r>
      <w:bookmarkEnd w:id="1197"/>
      <w:bookmarkEnd w:id="1198"/>
      <w:bookmarkEnd w:id="1199"/>
      <w:bookmarkEnd w:id="1200"/>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default" w:eastAsia="仿宋_GB2312" w:cs="Times New Roman"/>
          <w:color w:val="0000FF"/>
          <w:lang w:val="en-US" w:eastAsia="zh-CN"/>
        </w:rPr>
      </w:pPr>
      <w:r>
        <w:rPr>
          <w:rFonts w:hint="eastAsia" w:cs="Times New Roman"/>
          <w:color w:val="auto"/>
          <w:lang w:val="zh-CN" w:eastAsia="zh-CN"/>
        </w:rPr>
        <w:t>根据《西宁市城中区发展改革和经济商务局</w:t>
      </w:r>
      <w:r>
        <w:rPr>
          <w:rFonts w:hint="eastAsia" w:cs="Times New Roman"/>
          <w:color w:val="auto"/>
          <w:lang w:val="en-US" w:eastAsia="zh-CN"/>
        </w:rPr>
        <w:t>&lt;关于前营街幼儿园（暂定名）项目可行性研究报告&gt;的批复</w:t>
      </w:r>
      <w:r>
        <w:rPr>
          <w:rFonts w:hint="eastAsia" w:cs="Times New Roman"/>
          <w:color w:val="auto"/>
          <w:lang w:val="zh-CN" w:eastAsia="zh-CN"/>
        </w:rPr>
        <w:t>》（城中发经字</w:t>
      </w:r>
      <w:r>
        <w:rPr>
          <w:rFonts w:hint="eastAsia" w:ascii="Times New Roman" w:hAnsi="Times New Roman" w:eastAsia="仿宋_GB2312" w:cs="Times New Roman"/>
          <w:bCs/>
          <w:color w:val="auto"/>
          <w:sz w:val="32"/>
          <w:szCs w:val="32"/>
          <w:lang w:val="en-US" w:eastAsia="zh-CN"/>
        </w:rPr>
        <w:t>〔2017〕93号</w:t>
      </w:r>
      <w:r>
        <w:rPr>
          <w:rFonts w:hint="eastAsia" w:ascii="Times New Roman" w:hAnsi="Times New Roman" w:eastAsia="仿宋_GB2312" w:cs="Times New Roman"/>
          <w:bCs/>
          <w:color w:val="auto"/>
          <w:sz w:val="32"/>
          <w:szCs w:val="32"/>
          <w:lang w:val="zh-CN" w:eastAsia="zh-CN"/>
        </w:rPr>
        <w:t>）和《西宁市城乡规划和建设局关于&lt;城中区前营街育儿园建设项目初步设计&gt;的批复》（</w:t>
      </w:r>
      <w:r>
        <w:rPr>
          <w:rFonts w:hint="eastAsia" w:ascii="Times New Roman" w:hAnsi="Times New Roman" w:eastAsia="仿宋_GB2312" w:cs="Times New Roman"/>
          <w:bCs/>
          <w:color w:val="auto"/>
          <w:sz w:val="32"/>
          <w:szCs w:val="32"/>
          <w:lang w:val="en-US" w:eastAsia="zh-CN"/>
        </w:rPr>
        <w:t>宁规建〔2017〕305号</w:t>
      </w:r>
      <w:r>
        <w:rPr>
          <w:rFonts w:hint="eastAsia" w:ascii="Times New Roman" w:hAnsi="Times New Roman" w:eastAsia="仿宋_GB2312" w:cs="Times New Roman"/>
          <w:bCs/>
          <w:color w:val="auto"/>
          <w:sz w:val="32"/>
          <w:szCs w:val="32"/>
          <w:lang w:val="zh-CN" w:eastAsia="zh-CN"/>
        </w:rPr>
        <w:t>），</w:t>
      </w:r>
      <w:r>
        <w:rPr>
          <w:rFonts w:hint="eastAsia" w:ascii="Times New Roman" w:hAnsi="Times New Roman" w:eastAsia="仿宋_GB2312" w:cs="Times New Roman"/>
          <w:bCs/>
          <w:color w:val="auto"/>
          <w:sz w:val="32"/>
          <w:szCs w:val="32"/>
          <w:lang w:val="en-US" w:eastAsia="zh-CN"/>
        </w:rPr>
        <w:t>城中区教育局计划</w:t>
      </w:r>
      <w:r>
        <w:rPr>
          <w:rFonts w:hint="default" w:ascii="Times New Roman" w:hAnsi="Times New Roman" w:eastAsia="仿宋_GB2312" w:cs="Times New Roman"/>
          <w:bCs/>
          <w:color w:val="auto"/>
          <w:sz w:val="32"/>
          <w:szCs w:val="32"/>
          <w:lang w:val="en-US" w:eastAsia="zh-CN"/>
        </w:rPr>
        <w:t>在城中区法院以北，原玉井巷小学院内建设城中区前营街幼儿园，总建筑面积4981.55平方米</w:t>
      </w:r>
      <w:r>
        <w:rPr>
          <w:rFonts w:hint="default" w:cs="Times New Roman"/>
          <w:color w:val="auto"/>
          <w:lang w:val="en-US" w:eastAsia="zh-CN"/>
        </w:rPr>
        <w:t>。其中：新建幼教楼一栋，建筑面积</w:t>
      </w:r>
      <w:r>
        <w:rPr>
          <w:rFonts w:hint="default" w:ascii="Times New Roman" w:hAnsi="Times New Roman" w:eastAsia="仿宋_GB2312" w:cs="Times New Roman"/>
          <w:bCs/>
          <w:color w:val="auto"/>
          <w:sz w:val="32"/>
          <w:szCs w:val="32"/>
          <w:lang w:val="en-US" w:eastAsia="zh-CN"/>
        </w:rPr>
        <w:t>4979.55</w:t>
      </w:r>
      <w:r>
        <w:rPr>
          <w:rFonts w:hint="default" w:cs="Times New Roman"/>
          <w:color w:val="auto"/>
          <w:lang w:val="en-US" w:eastAsia="zh-CN"/>
        </w:rPr>
        <w:t>平方米，地下一层、地上三层，框架结构；新建门卫值班室一栋，建筑面</w:t>
      </w:r>
      <w:r>
        <w:rPr>
          <w:rFonts w:hint="default" w:ascii="Times New Roman" w:hAnsi="Times New Roman" w:eastAsia="仿宋_GB2312" w:cs="Times New Roman"/>
          <w:bCs/>
          <w:color w:val="auto"/>
          <w:sz w:val="32"/>
          <w:szCs w:val="32"/>
          <w:lang w:val="en-US" w:eastAsia="zh-CN"/>
        </w:rPr>
        <w:t>积3平</w:t>
      </w:r>
      <w:r>
        <w:rPr>
          <w:rFonts w:hint="default" w:cs="Times New Roman"/>
          <w:color w:val="auto"/>
          <w:lang w:val="en-US" w:eastAsia="zh-CN"/>
        </w:rPr>
        <w:t>方米，单层框架结构。</w:t>
      </w:r>
      <w:r>
        <w:rPr>
          <w:rFonts w:hint="eastAsia" w:cs="Times New Roman"/>
          <w:color w:val="auto"/>
          <w:lang w:val="en-US" w:eastAsia="zh-CN"/>
        </w:rPr>
        <w:t>前营街幼儿园建设完成投入运营后，可改善西宁市城中区学前教育整体规模不足、幼儿园布局不合理的现状，保障儿童均能就近接受高质量的学前教育，提高学前教育质量和水平。</w:t>
      </w:r>
    </w:p>
    <w:p>
      <w:pPr>
        <w:keepNext w:val="0"/>
        <w:keepLines w:val="0"/>
        <w:pageBreakBefore w:val="0"/>
        <w:widowControl w:val="0"/>
        <w:kinsoku/>
        <w:wordWrap/>
        <w:overflowPunct/>
        <w:topLinePunct w:val="0"/>
        <w:autoSpaceDE w:val="0"/>
        <w:autoSpaceDN w:val="0"/>
        <w:bidi w:val="0"/>
        <w:adjustRightInd w:val="0"/>
        <w:snapToGrid w:val="0"/>
        <w:spacing w:line="576" w:lineRule="exact"/>
        <w:ind w:left="0" w:leftChars="0"/>
        <w:jc w:val="left"/>
        <w:textAlignment w:val="auto"/>
        <w:outlineLvl w:val="0"/>
        <w:rPr>
          <w:rFonts w:hint="eastAsia" w:ascii="黑体" w:hAnsi="黑体" w:eastAsia="黑体" w:cs="黑体"/>
          <w:b/>
          <w:bCs/>
          <w:szCs w:val="32"/>
          <w:lang w:val="zh-CN"/>
        </w:rPr>
      </w:pPr>
      <w:bookmarkStart w:id="1201" w:name="_Toc17308"/>
      <w:bookmarkStart w:id="1202" w:name="_Toc1620"/>
      <w:bookmarkStart w:id="1203" w:name="_Toc8475"/>
      <w:bookmarkStart w:id="1204" w:name="_Toc11654"/>
      <w:r>
        <w:rPr>
          <w:rFonts w:hint="eastAsia" w:ascii="黑体" w:hAnsi="黑体" w:eastAsia="黑体" w:cs="黑体"/>
          <w:b/>
          <w:bCs/>
          <w:szCs w:val="32"/>
          <w:lang w:val="zh-CN"/>
        </w:rPr>
        <w:t>三、评价基本情况</w:t>
      </w:r>
      <w:bookmarkEnd w:id="1201"/>
      <w:bookmarkEnd w:id="1202"/>
      <w:bookmarkEnd w:id="1203"/>
      <w:bookmarkEnd w:id="1204"/>
    </w:p>
    <w:p>
      <w:pPr>
        <w:keepNext w:val="0"/>
        <w:keepLines w:val="0"/>
        <w:pageBreakBefore w:val="0"/>
        <w:widowControl w:val="0"/>
        <w:kinsoku/>
        <w:wordWrap/>
        <w:overflowPunct/>
        <w:topLinePunct w:val="0"/>
        <w:bidi w:val="0"/>
        <w:adjustRightInd w:val="0"/>
        <w:snapToGrid w:val="0"/>
        <w:spacing w:line="576" w:lineRule="exact"/>
        <w:ind w:left="0" w:leftChars="0" w:firstLine="643"/>
        <w:textAlignment w:val="auto"/>
        <w:outlineLvl w:val="1"/>
        <w:rPr>
          <w:rFonts w:hint="eastAsia" w:ascii="楷体_GB2312" w:hAnsi="楷体_GB2312" w:eastAsia="楷体_GB2312" w:cs="楷体_GB2312"/>
          <w:b/>
          <w:bCs/>
          <w:szCs w:val="32"/>
          <w:lang w:val="zh-CN"/>
        </w:rPr>
      </w:pPr>
      <w:bookmarkStart w:id="1205" w:name="_Toc26901"/>
      <w:bookmarkStart w:id="1206" w:name="_Toc19759"/>
      <w:bookmarkStart w:id="1207" w:name="_Toc24227"/>
      <w:bookmarkStart w:id="1208" w:name="_Toc21353"/>
      <w:r>
        <w:rPr>
          <w:rFonts w:hint="eastAsia" w:ascii="楷体_GB2312" w:hAnsi="楷体_GB2312" w:eastAsia="楷体_GB2312" w:cs="楷体_GB2312"/>
          <w:b/>
          <w:bCs/>
          <w:szCs w:val="32"/>
          <w:lang w:val="zh-CN"/>
        </w:rPr>
        <w:fldChar w:fldCharType="begin"/>
      </w:r>
      <w:r>
        <w:rPr>
          <w:rFonts w:hint="eastAsia" w:ascii="楷体_GB2312" w:hAnsi="楷体_GB2312" w:eastAsia="楷体_GB2312" w:cs="楷体_GB2312"/>
          <w:b/>
          <w:bCs/>
          <w:szCs w:val="32"/>
          <w:lang w:val="zh-CN"/>
        </w:rPr>
        <w:instrText xml:space="preserve"> HYPERLINK \l _Toc14927 </w:instrText>
      </w:r>
      <w:r>
        <w:rPr>
          <w:rFonts w:hint="eastAsia" w:ascii="楷体_GB2312" w:hAnsi="楷体_GB2312" w:eastAsia="楷体_GB2312" w:cs="楷体_GB2312"/>
          <w:b/>
          <w:bCs/>
          <w:szCs w:val="32"/>
          <w:lang w:val="zh-CN"/>
        </w:rPr>
        <w:fldChar w:fldCharType="separate"/>
      </w:r>
      <w:r>
        <w:rPr>
          <w:rFonts w:hint="eastAsia" w:ascii="楷体_GB2312" w:hAnsi="楷体_GB2312" w:eastAsia="楷体_GB2312" w:cs="楷体_GB2312"/>
          <w:b/>
          <w:bCs/>
          <w:szCs w:val="32"/>
          <w:lang w:val="zh-CN"/>
        </w:rPr>
        <w:t>（一）绩效评价目的</w:t>
      </w:r>
      <w:bookmarkEnd w:id="1205"/>
      <w:bookmarkEnd w:id="1206"/>
      <w:bookmarkEnd w:id="1207"/>
      <w:bookmarkEnd w:id="1208"/>
    </w:p>
    <w:p>
      <w:pPr>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right="0" w:firstLine="643" w:firstLineChars="200"/>
        <w:textAlignment w:val="auto"/>
        <w:rPr>
          <w:rFonts w:hint="eastAsia" w:ascii="仿宋_GB2312" w:hAnsi="仿宋_GB2312" w:cs="仿宋_GB2312"/>
          <w:sz w:val="32"/>
          <w:szCs w:val="32"/>
          <w:lang w:eastAsia="zh-CN"/>
        </w:rPr>
      </w:pPr>
      <w:r>
        <w:rPr>
          <w:rFonts w:hint="eastAsia" w:ascii="楷体_GB2312" w:hAnsi="楷体_GB2312" w:eastAsia="楷体_GB2312" w:cs="楷体_GB2312"/>
          <w:b/>
          <w:bCs/>
          <w:szCs w:val="32"/>
          <w:lang w:val="zh-CN"/>
        </w:rPr>
        <w:fldChar w:fldCharType="end"/>
      </w:r>
      <w:r>
        <w:rPr>
          <w:rFonts w:hint="eastAsia" w:ascii="仿宋_GB2312" w:hAnsi="仿宋_GB2312" w:eastAsia="仿宋_GB2312" w:cs="仿宋_GB2312"/>
          <w:kern w:val="2"/>
          <w:sz w:val="32"/>
          <w:szCs w:val="22"/>
          <w:lang w:val="en-US" w:eastAsia="zh-CN" w:bidi="ar-SA"/>
        </w:rPr>
        <w:t>本次绩效评价</w:t>
      </w:r>
      <w:r>
        <w:rPr>
          <w:rFonts w:hint="eastAsia" w:ascii="仿宋_GB2312" w:hAnsi="仿宋_GB2312" w:eastAsia="仿宋_GB2312" w:cs="仿宋_GB2312"/>
          <w:sz w:val="32"/>
          <w:szCs w:val="32"/>
        </w:rPr>
        <w:t>运用科学、规范、合理的评价方法、评价指标体系和评价标准，</w:t>
      </w:r>
      <w:r>
        <w:rPr>
          <w:rFonts w:hint="eastAsia" w:ascii="仿宋_GB2312" w:hAnsi="仿宋_GB2312" w:eastAsia="仿宋_GB2312" w:cs="仿宋_GB2312"/>
          <w:kern w:val="2"/>
          <w:sz w:val="32"/>
          <w:szCs w:val="22"/>
          <w:lang w:val="en-US" w:eastAsia="zh-CN" w:bidi="ar-SA"/>
        </w:rPr>
        <w:t>重点围绕</w:t>
      </w:r>
      <w:r>
        <w:rPr>
          <w:rFonts w:hint="eastAsia" w:cs="Times New Roman"/>
          <w:color w:val="auto"/>
          <w:highlight w:val="none"/>
          <w:lang w:val="en-US" w:eastAsia="zh-CN"/>
        </w:rPr>
        <w:t>西宁市城中区前营街幼儿园建设及投入运营情况</w:t>
      </w:r>
      <w:r>
        <w:rPr>
          <w:rFonts w:hint="eastAsia" w:ascii="仿宋_GB2312" w:hAnsi="仿宋_GB2312" w:eastAsia="仿宋_GB2312" w:cs="仿宋_GB2312"/>
          <w:kern w:val="2"/>
          <w:sz w:val="32"/>
          <w:szCs w:val="22"/>
          <w:lang w:val="en-US" w:eastAsia="zh-CN" w:bidi="ar-SA"/>
        </w:rPr>
        <w:t>，分别从决策、过程、产出和效益四个方面，综合分析该项目绩效目标设定的合理性和可衡量性，预算编制的合理性和科学性，</w:t>
      </w:r>
      <w:r>
        <w:rPr>
          <w:rFonts w:hint="eastAsia" w:ascii="仿宋_GB2312" w:hAnsi="仿宋_GB2312" w:cs="仿宋_GB2312"/>
          <w:kern w:val="2"/>
          <w:sz w:val="32"/>
          <w:szCs w:val="22"/>
          <w:lang w:val="en-US" w:eastAsia="zh-CN" w:bidi="ar-SA"/>
        </w:rPr>
        <w:t>项目管理与资金</w:t>
      </w:r>
      <w:r>
        <w:rPr>
          <w:rFonts w:hint="eastAsia" w:ascii="仿宋_GB2312" w:hAnsi="仿宋_GB2312" w:eastAsia="仿宋_GB2312" w:cs="仿宋_GB2312"/>
          <w:kern w:val="2"/>
          <w:sz w:val="32"/>
          <w:szCs w:val="22"/>
          <w:lang w:val="en-US" w:eastAsia="zh-CN" w:bidi="ar-SA"/>
        </w:rPr>
        <w:t>管理</w:t>
      </w:r>
      <w:r>
        <w:rPr>
          <w:rFonts w:hint="eastAsia" w:ascii="仿宋_GB2312" w:hAnsi="仿宋_GB2312" w:cs="仿宋_GB2312"/>
          <w:kern w:val="2"/>
          <w:sz w:val="32"/>
          <w:szCs w:val="22"/>
          <w:lang w:val="en-US" w:eastAsia="zh-CN" w:bidi="ar-SA"/>
        </w:rPr>
        <w:t>的完整性</w:t>
      </w:r>
      <w:r>
        <w:rPr>
          <w:rFonts w:hint="eastAsia" w:ascii="仿宋_GB2312" w:hAnsi="仿宋_GB2312" w:eastAsia="仿宋_GB2312" w:cs="仿宋_GB2312"/>
          <w:kern w:val="2"/>
          <w:sz w:val="32"/>
          <w:szCs w:val="22"/>
          <w:lang w:val="en-US" w:eastAsia="zh-CN" w:bidi="ar-SA"/>
        </w:rPr>
        <w:t>和有效性，</w:t>
      </w:r>
      <w:r>
        <w:rPr>
          <w:rFonts w:hint="eastAsia" w:ascii="仿宋_GB2312" w:hAnsi="仿宋_GB2312" w:cs="仿宋_GB2312"/>
          <w:kern w:val="2"/>
          <w:sz w:val="32"/>
          <w:szCs w:val="22"/>
          <w:lang w:val="en-US" w:eastAsia="zh-CN" w:bidi="ar-SA"/>
        </w:rPr>
        <w:t>招投标、合同、施工管理、工程监理、项目验收</w:t>
      </w:r>
      <w:r>
        <w:rPr>
          <w:rFonts w:hint="eastAsia" w:cs="仿宋_GB2312"/>
          <w:kern w:val="2"/>
          <w:sz w:val="32"/>
          <w:szCs w:val="22"/>
          <w:lang w:val="en-US" w:eastAsia="zh-CN" w:bidi="ar-SA"/>
        </w:rPr>
        <w:t>结算</w:t>
      </w:r>
      <w:r>
        <w:rPr>
          <w:rFonts w:hint="eastAsia" w:ascii="仿宋_GB2312" w:hAnsi="仿宋_GB2312" w:cs="仿宋_GB2312"/>
          <w:kern w:val="2"/>
          <w:sz w:val="32"/>
          <w:szCs w:val="22"/>
          <w:lang w:val="en-US" w:eastAsia="zh-CN" w:bidi="ar-SA"/>
        </w:rPr>
        <w:t>的</w:t>
      </w:r>
      <w:r>
        <w:rPr>
          <w:rFonts w:hint="eastAsia" w:ascii="仿宋_GB2312" w:hAnsi="仿宋_GB2312" w:eastAsia="仿宋_GB2312" w:cs="仿宋_GB2312"/>
          <w:kern w:val="2"/>
          <w:sz w:val="32"/>
          <w:szCs w:val="22"/>
          <w:lang w:val="en-US" w:eastAsia="zh-CN" w:bidi="ar-SA"/>
        </w:rPr>
        <w:t>合规性和</w:t>
      </w:r>
      <w:r>
        <w:rPr>
          <w:rFonts w:hint="eastAsia" w:ascii="仿宋_GB2312" w:hAnsi="仿宋_GB2312" w:cs="仿宋_GB2312"/>
          <w:kern w:val="2"/>
          <w:sz w:val="32"/>
          <w:szCs w:val="22"/>
          <w:lang w:val="en-US" w:eastAsia="zh-CN" w:bidi="ar-SA"/>
        </w:rPr>
        <w:t>健全性</w:t>
      </w:r>
      <w:r>
        <w:rPr>
          <w:rFonts w:hint="eastAsia" w:ascii="仿宋_GB2312" w:hAnsi="仿宋_GB2312" w:eastAsia="仿宋_GB2312" w:cs="仿宋_GB2312"/>
          <w:kern w:val="2"/>
          <w:sz w:val="32"/>
          <w:szCs w:val="22"/>
          <w:lang w:val="en-US" w:eastAsia="zh-CN" w:bidi="ar-SA"/>
        </w:rPr>
        <w:t>，以及项目产出和</w:t>
      </w:r>
      <w:r>
        <w:rPr>
          <w:rFonts w:hint="eastAsia" w:cs="仿宋_GB2312"/>
          <w:kern w:val="2"/>
          <w:sz w:val="32"/>
          <w:szCs w:val="22"/>
          <w:lang w:val="en-US" w:eastAsia="zh-CN" w:bidi="ar-SA"/>
        </w:rPr>
        <w:t>投入运营</w:t>
      </w:r>
      <w:r>
        <w:rPr>
          <w:rFonts w:hint="eastAsia" w:ascii="仿宋_GB2312" w:hAnsi="仿宋_GB2312" w:eastAsia="仿宋_GB2312" w:cs="仿宋_GB2312"/>
          <w:kern w:val="2"/>
          <w:sz w:val="32"/>
          <w:szCs w:val="22"/>
          <w:lang w:val="en-US" w:eastAsia="zh-CN" w:bidi="ar-SA"/>
        </w:rPr>
        <w:t>效益情况。在此基础上，总结亮点和经验，分析问题和不足，找出原因并提出合理的意见建议，</w:t>
      </w:r>
      <w:r>
        <w:rPr>
          <w:rFonts w:hint="eastAsia" w:ascii="仿宋_GB2312" w:hAnsi="仿宋_GB2312" w:cs="仿宋_GB2312"/>
          <w:sz w:val="32"/>
          <w:szCs w:val="32"/>
          <w:lang w:eastAsia="zh-CN"/>
        </w:rPr>
        <w:t>作为财政局今后项目调整的重要依据，进一步优化资金分配，完善机制创设，提高资金效能。</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outlineLvl w:val="1"/>
        <w:rPr>
          <w:rFonts w:ascii="楷体_GB2312" w:hAnsi="楷体_GB2312" w:eastAsia="楷体_GB2312" w:cs="楷体_GB2312"/>
          <w:b/>
          <w:bCs/>
          <w:szCs w:val="32"/>
        </w:rPr>
      </w:pPr>
      <w:bookmarkStart w:id="1209" w:name="_Toc1074"/>
      <w:bookmarkStart w:id="1210" w:name="_Toc8658"/>
      <w:bookmarkStart w:id="1211" w:name="_Toc8137"/>
      <w:bookmarkStart w:id="1212" w:name="_Toc17460"/>
      <w:r>
        <w:rPr>
          <w:rFonts w:hint="eastAsia" w:ascii="楷体_GB2312" w:hAnsi="楷体_GB2312" w:eastAsia="楷体_GB2312" w:cs="楷体_GB2312"/>
          <w:b/>
          <w:bCs/>
          <w:szCs w:val="32"/>
        </w:rPr>
        <w:fldChar w:fldCharType="begin"/>
      </w:r>
      <w:r>
        <w:rPr>
          <w:rFonts w:hint="eastAsia" w:ascii="楷体_GB2312" w:hAnsi="楷体_GB2312" w:eastAsia="楷体_GB2312" w:cs="楷体_GB2312"/>
          <w:b/>
          <w:bCs/>
          <w:szCs w:val="32"/>
        </w:rPr>
        <w:instrText xml:space="preserve"> HYPERLINK \l _Toc22735 </w:instrText>
      </w:r>
      <w:r>
        <w:rPr>
          <w:rFonts w:hint="eastAsia" w:ascii="楷体_GB2312" w:hAnsi="楷体_GB2312" w:eastAsia="楷体_GB2312" w:cs="楷体_GB2312"/>
          <w:b/>
          <w:bCs/>
          <w:szCs w:val="32"/>
        </w:rPr>
        <w:fldChar w:fldCharType="separate"/>
      </w:r>
      <w:r>
        <w:rPr>
          <w:rFonts w:hint="eastAsia" w:ascii="楷体_GB2312" w:hAnsi="楷体_GB2312" w:eastAsia="楷体_GB2312" w:cs="楷体_GB2312"/>
          <w:b/>
          <w:bCs/>
          <w:szCs w:val="32"/>
        </w:rPr>
        <w:t>（二）绩效评价对象</w:t>
      </w:r>
      <w:r>
        <w:rPr>
          <w:rFonts w:hint="eastAsia" w:ascii="楷体_GB2312" w:hAnsi="楷体_GB2312" w:eastAsia="楷体_GB2312" w:cs="楷体_GB2312"/>
          <w:b/>
          <w:bCs/>
          <w:szCs w:val="32"/>
        </w:rPr>
        <w:fldChar w:fldCharType="end"/>
      </w:r>
      <w:bookmarkEnd w:id="1209"/>
      <w:bookmarkEnd w:id="1210"/>
      <w:bookmarkEnd w:id="1211"/>
      <w:bookmarkEnd w:id="1212"/>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Times New Roman"/>
          <w:lang w:val="en-US" w:eastAsia="zh-CN"/>
        </w:rPr>
      </w:pPr>
      <w:r>
        <w:rPr>
          <w:rFonts w:hint="eastAsia" w:cs="Times New Roman"/>
          <w:lang w:val="en-US" w:eastAsia="zh-CN"/>
        </w:rPr>
        <w:t>评价对象:西宁市城中区前营街幼儿园建设项目计划总投资</w:t>
      </w:r>
      <w:r>
        <w:rPr>
          <w:rFonts w:hint="eastAsia" w:ascii="Times New Roman" w:hAnsi="Times New Roman" w:eastAsia="仿宋_GB2312" w:cs="Times New Roman"/>
          <w:bCs/>
          <w:color w:val="auto"/>
          <w:sz w:val="32"/>
          <w:szCs w:val="32"/>
          <w:lang w:val="en-US" w:eastAsia="zh-CN"/>
        </w:rPr>
        <w:t>1787万元</w:t>
      </w:r>
      <w:r>
        <w:rPr>
          <w:rFonts w:hint="eastAsia" w:cs="Times New Roman"/>
          <w:lang w:val="en-US" w:eastAsia="zh-CN"/>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default" w:cs="Times New Roman"/>
          <w:lang w:val="en-US" w:eastAsia="zh-CN"/>
        </w:rPr>
      </w:pPr>
      <w:r>
        <w:rPr>
          <w:rFonts w:hint="eastAsia" w:cs="Times New Roman"/>
          <w:lang w:val="en-US" w:eastAsia="zh-CN"/>
        </w:rPr>
        <w:t>评价范围:前营街幼儿园建设工程内容全覆盖。</w:t>
      </w:r>
    </w:p>
    <w:p>
      <w:pPr>
        <w:keepNext w:val="0"/>
        <w:keepLines w:val="0"/>
        <w:pageBreakBefore w:val="0"/>
        <w:widowControl w:val="0"/>
        <w:kinsoku/>
        <w:wordWrap/>
        <w:overflowPunct/>
        <w:topLinePunct w:val="0"/>
        <w:bidi w:val="0"/>
        <w:adjustRightInd w:val="0"/>
        <w:snapToGrid w:val="0"/>
        <w:spacing w:line="576" w:lineRule="exact"/>
        <w:ind w:left="0" w:leftChars="0" w:firstLine="643"/>
        <w:textAlignment w:val="auto"/>
        <w:outlineLvl w:val="1"/>
        <w:rPr>
          <w:rFonts w:ascii="楷体_GB2312" w:hAnsi="楷体_GB2312" w:eastAsia="楷体_GB2312" w:cs="楷体_GB2312"/>
          <w:b/>
          <w:bCs/>
          <w:szCs w:val="32"/>
        </w:rPr>
      </w:pPr>
      <w:bookmarkStart w:id="1213" w:name="_Toc31973"/>
      <w:bookmarkStart w:id="1214" w:name="_Toc28414"/>
      <w:bookmarkStart w:id="1215" w:name="_Toc16482"/>
      <w:bookmarkStart w:id="1216" w:name="_Toc31523"/>
      <w:r>
        <w:rPr>
          <w:rFonts w:hint="eastAsia" w:ascii="楷体_GB2312" w:hAnsi="楷体_GB2312" w:eastAsia="楷体_GB2312" w:cs="楷体_GB2312"/>
          <w:b/>
          <w:bCs/>
          <w:szCs w:val="32"/>
        </w:rPr>
        <w:t>（三）绩效评价依据</w:t>
      </w:r>
      <w:bookmarkEnd w:id="1213"/>
      <w:bookmarkEnd w:id="1214"/>
      <w:bookmarkEnd w:id="1215"/>
      <w:bookmarkEnd w:id="1216"/>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ascii="仿宋_GB2312" w:hAnsi="仿宋_GB2312" w:eastAsia="仿宋_GB2312" w:cs="仿宋_GB2312"/>
          <w:b/>
          <w:bCs/>
          <w:color w:val="auto"/>
          <w:kern w:val="2"/>
          <w:sz w:val="32"/>
          <w:szCs w:val="32"/>
          <w:lang w:val="en-US" w:eastAsia="zh-CN" w:bidi="ar-SA"/>
        </w:rPr>
      </w:pPr>
      <w:bookmarkStart w:id="1217" w:name="_Toc30137"/>
      <w:bookmarkStart w:id="1218" w:name="_Toc2065"/>
      <w:bookmarkStart w:id="1219" w:name="_Toc15565"/>
      <w:r>
        <w:rPr>
          <w:rFonts w:hint="eastAsia" w:ascii="仿宋_GB2312" w:hAnsi="仿宋_GB2312" w:eastAsia="仿宋_GB2312" w:cs="仿宋_GB2312"/>
          <w:b/>
          <w:bCs/>
          <w:color w:val="auto"/>
          <w:kern w:val="2"/>
          <w:sz w:val="32"/>
          <w:szCs w:val="32"/>
          <w:lang w:val="en-US" w:eastAsia="zh-CN" w:bidi="ar-SA"/>
        </w:rPr>
        <w:t>1.预算绩效管理相关依据</w:t>
      </w:r>
      <w:bookmarkEnd w:id="1217"/>
      <w:bookmarkEnd w:id="1218"/>
      <w:bookmarkEnd w:id="1219"/>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ascii="仿宋_GB2312" w:eastAsia="仿宋_GB2312" w:cs="Times New Roman"/>
          <w:bCs/>
          <w:color w:val="auto"/>
          <w:sz w:val="32"/>
          <w:szCs w:val="32"/>
        </w:rPr>
      </w:pPr>
      <w:r>
        <w:rPr>
          <w:rFonts w:hint="eastAsia" w:ascii="仿宋_GB2312" w:cs="Times New Roman"/>
          <w:bCs/>
          <w:color w:val="auto"/>
          <w:sz w:val="32"/>
          <w:szCs w:val="32"/>
        </w:rPr>
        <w:t>（</w:t>
      </w:r>
      <w:r>
        <w:rPr>
          <w:rFonts w:hint="eastAsia" w:ascii="仿宋_GB2312" w:eastAsia="仿宋_GB2312" w:cs="Times New Roman"/>
          <w:bCs/>
          <w:color w:val="auto"/>
          <w:sz w:val="32"/>
          <w:szCs w:val="32"/>
        </w:rPr>
        <w:t>1）《中华人民共和国预算法》；</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default" w:ascii="Times New Roman" w:hAnsi="Times New Roman" w:eastAsia="仿宋_GB2312" w:cs="Times New Roman"/>
          <w:bCs/>
          <w:color w:val="auto"/>
          <w:sz w:val="32"/>
          <w:szCs w:val="32"/>
        </w:rPr>
      </w:pPr>
      <w:r>
        <w:rPr>
          <w:rFonts w:hint="eastAsia" w:ascii="仿宋_GB2312" w:eastAsia="仿宋_GB2312" w:cs="Times New Roman"/>
          <w:bCs/>
          <w:color w:val="auto"/>
          <w:sz w:val="32"/>
          <w:szCs w:val="32"/>
        </w:rPr>
        <w:t>（2）《中华人民共和国预算法实施条例》（中华人民共和国国务院令第</w:t>
      </w:r>
      <w:r>
        <w:rPr>
          <w:rFonts w:hint="eastAsia" w:ascii="Times New Roman" w:hAnsi="Times New Roman" w:eastAsia="仿宋_GB2312" w:cs="Times New Roman"/>
          <w:bCs/>
          <w:color w:val="auto"/>
          <w:sz w:val="32"/>
          <w:szCs w:val="32"/>
        </w:rPr>
        <w:t>729号）；</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default" w:ascii="Times New Roman" w:hAnsi="Times New Roman" w:eastAsia="仿宋_GB2312" w:cs="Times New Roman"/>
          <w:bCs/>
          <w:color w:val="auto"/>
          <w:sz w:val="32"/>
          <w:szCs w:val="32"/>
        </w:rPr>
      </w:pPr>
      <w:r>
        <w:rPr>
          <w:rFonts w:hint="eastAsia" w:ascii="Times New Roman" w:hAnsi="Times New Roman" w:eastAsia="仿宋_GB2312" w:cs="Times New Roman"/>
          <w:bCs/>
          <w:color w:val="auto"/>
          <w:sz w:val="32"/>
          <w:szCs w:val="32"/>
        </w:rPr>
        <w:t>（3）《中共中央国务院关于全面实施预算绩效管理的意见》（中发〔2018〕34号）；</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default" w:ascii="Times New Roman" w:hAnsi="Times New Roman" w:eastAsia="仿宋_GB2312" w:cs="Times New Roman"/>
          <w:bCs/>
          <w:color w:val="auto"/>
          <w:sz w:val="32"/>
          <w:szCs w:val="32"/>
        </w:rPr>
      </w:pPr>
      <w:r>
        <w:rPr>
          <w:rFonts w:hint="eastAsia" w:ascii="Times New Roman" w:hAnsi="Times New Roman" w:eastAsia="仿宋_GB2312" w:cs="Times New Roman"/>
          <w:bCs/>
          <w:color w:val="auto"/>
          <w:sz w:val="32"/>
          <w:szCs w:val="32"/>
        </w:rPr>
        <w:t>（4）《财政部关于贯彻落实〈中共中央国务院关于全面实施预算绩效管理的意见〉的通知》（财预〔2018〕167号）；</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default" w:ascii="Times New Roman" w:hAnsi="Times New Roman" w:eastAsia="仿宋_GB2312" w:cs="Times New Roman"/>
          <w:bCs/>
          <w:color w:val="auto"/>
          <w:sz w:val="32"/>
          <w:szCs w:val="32"/>
        </w:rPr>
      </w:pPr>
      <w:r>
        <w:rPr>
          <w:rFonts w:hint="eastAsia" w:ascii="Times New Roman" w:hAnsi="Times New Roman" w:eastAsia="仿宋_GB2312" w:cs="Times New Roman"/>
          <w:bCs/>
          <w:color w:val="auto"/>
          <w:sz w:val="32"/>
          <w:szCs w:val="32"/>
        </w:rPr>
        <w:t>（5）《财政部关于印发项目支出绩效评价管理办法的通知》（财预〔2020〕10号）；</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ascii="Times New Roman" w:hAnsi="Times New Roman" w:eastAsia="仿宋_GB2312" w:cs="Times New Roman"/>
          <w:bCs/>
          <w:color w:val="auto"/>
          <w:sz w:val="32"/>
          <w:szCs w:val="32"/>
          <w:lang w:eastAsia="zh-CN"/>
        </w:rPr>
      </w:pPr>
      <w:r>
        <w:rPr>
          <w:rFonts w:hint="eastAsia" w:ascii="Times New Roman" w:hAnsi="Times New Roman" w:eastAsia="仿宋_GB2312" w:cs="Times New Roman"/>
          <w:bCs/>
          <w:color w:val="auto"/>
          <w:sz w:val="32"/>
          <w:szCs w:val="32"/>
        </w:rPr>
        <w:t>（6）《中共青海省委青海省人民政府关于全面实施预算绩效管理的实施意见》（青发〔2019〕11号）</w:t>
      </w:r>
      <w:r>
        <w:rPr>
          <w:rFonts w:hint="eastAsia" w:ascii="Times New Roman" w:hAnsi="Times New Roman" w:eastAsia="仿宋_GB2312" w:cs="Times New Roman"/>
          <w:bCs/>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outlineLvl w:val="2"/>
        <w:rPr>
          <w:rFonts w:ascii="仿宋_GB2312" w:hAnsi="仿宋_GB2312" w:eastAsia="仿宋_GB2312" w:cs="仿宋_GB2312"/>
          <w:b/>
          <w:bCs/>
          <w:color w:val="auto"/>
          <w:sz w:val="32"/>
          <w:szCs w:val="32"/>
        </w:rPr>
      </w:pPr>
      <w:bookmarkStart w:id="1220" w:name="_Toc21770"/>
      <w:bookmarkStart w:id="1221" w:name="_Toc10573"/>
      <w:r>
        <w:rPr>
          <w:rFonts w:hint="eastAsia" w:ascii="仿宋_GB2312" w:hAnsi="仿宋_GB2312" w:eastAsia="仿宋_GB2312" w:cs="仿宋_GB2312"/>
          <w:b/>
          <w:bCs/>
          <w:color w:val="auto"/>
          <w:sz w:val="32"/>
          <w:szCs w:val="32"/>
        </w:rPr>
        <w:t>2.</w:t>
      </w:r>
      <w:bookmarkStart w:id="1222" w:name="_Toc27944"/>
      <w:r>
        <w:rPr>
          <w:rFonts w:hint="eastAsia" w:ascii="仿宋_GB2312" w:hAnsi="仿宋_GB2312" w:eastAsia="仿宋_GB2312" w:cs="仿宋_GB2312"/>
          <w:b/>
          <w:bCs/>
          <w:color w:val="auto"/>
          <w:sz w:val="32"/>
          <w:szCs w:val="32"/>
        </w:rPr>
        <w:t>其他依据</w:t>
      </w:r>
      <w:bookmarkEnd w:id="1220"/>
      <w:bookmarkEnd w:id="1221"/>
      <w:bookmarkEnd w:id="1222"/>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ascii="仿宋_GB2312" w:eastAsia="仿宋_GB2312" w:cs="Times New Roman"/>
          <w:bCs/>
          <w:color w:val="auto"/>
          <w:sz w:val="32"/>
          <w:szCs w:val="32"/>
        </w:rPr>
      </w:pPr>
      <w:r>
        <w:rPr>
          <w:rFonts w:hint="eastAsia" w:ascii="仿宋_GB2312" w:hAnsi="仿宋_GB2312" w:eastAsia="仿宋_GB2312" w:cs="仿宋_GB2312"/>
          <w:color w:val="auto"/>
          <w:sz w:val="32"/>
          <w:szCs w:val="32"/>
        </w:rPr>
        <w:t>（1）</w:t>
      </w:r>
      <w:r>
        <w:rPr>
          <w:rFonts w:hint="eastAsia" w:cs="Times New Roman"/>
          <w:color w:val="auto"/>
          <w:lang w:val="en-US" w:eastAsia="zh-CN"/>
        </w:rPr>
        <w:t>《中华人民共和国教育法》</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default" w:ascii="Times New Roman" w:hAnsi="Times New Roman" w:eastAsia="仿宋_GB2312" w:cs="Times New Roman"/>
          <w:bCs/>
          <w:color w:val="auto"/>
          <w:sz w:val="32"/>
          <w:szCs w:val="32"/>
        </w:rPr>
      </w:pPr>
      <w:r>
        <w:rPr>
          <w:rFonts w:hint="eastAsia" w:ascii="仿宋_GB2312" w:hAnsi="仿宋_GB2312" w:eastAsia="仿宋_GB2312" w:cs="仿宋_GB2312"/>
          <w:color w:val="auto"/>
          <w:sz w:val="32"/>
          <w:szCs w:val="32"/>
        </w:rPr>
        <w:t>（2）</w:t>
      </w:r>
      <w:r>
        <w:rPr>
          <w:rFonts w:hint="eastAsia" w:cs="Times New Roman"/>
          <w:color w:val="auto"/>
          <w:lang w:val="en-US" w:eastAsia="zh-CN"/>
        </w:rPr>
        <w:t>《国家中长期教育改革和发展规划纲要</w:t>
      </w:r>
      <w:r>
        <w:rPr>
          <w:rFonts w:hint="eastAsia" w:ascii="Times New Roman" w:hAnsi="Times New Roman" w:eastAsia="仿宋_GB2312" w:cs="Times New Roman"/>
          <w:bCs/>
          <w:color w:val="auto"/>
          <w:sz w:val="32"/>
          <w:szCs w:val="32"/>
          <w:lang w:val="en-US" w:eastAsia="zh-CN"/>
        </w:rPr>
        <w:t>（2010-2020年）》</w:t>
      </w:r>
      <w:r>
        <w:rPr>
          <w:rFonts w:hint="eastAsia" w:ascii="Times New Roman" w:hAnsi="Times New Roman" w:eastAsia="仿宋_GB2312" w:cs="Times New Roman"/>
          <w:bCs/>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default" w:ascii="Times New Roman" w:hAnsi="Times New Roman" w:eastAsia="仿宋_GB2312" w:cs="Times New Roman"/>
          <w:bCs/>
          <w:color w:val="auto"/>
          <w:sz w:val="32"/>
          <w:szCs w:val="32"/>
        </w:rPr>
      </w:pPr>
      <w:r>
        <w:rPr>
          <w:rFonts w:hint="eastAsia" w:ascii="Times New Roman" w:hAnsi="Times New Roman" w:eastAsia="仿宋_GB2312" w:cs="Times New Roman"/>
          <w:bCs/>
          <w:color w:val="auto"/>
          <w:sz w:val="32"/>
          <w:szCs w:val="32"/>
        </w:rPr>
        <w:t>（3）</w:t>
      </w:r>
      <w:r>
        <w:rPr>
          <w:rFonts w:hint="eastAsia" w:ascii="Times New Roman" w:hAnsi="Times New Roman" w:eastAsia="仿宋_GB2312" w:cs="Times New Roman"/>
          <w:bCs/>
          <w:color w:val="auto"/>
          <w:sz w:val="32"/>
          <w:szCs w:val="32"/>
          <w:lang w:val="en-US" w:eastAsia="zh-CN"/>
        </w:rPr>
        <w:t>《青海省中长期教育改革和发展规划纲要（2010—2020年）》</w:t>
      </w:r>
      <w:r>
        <w:rPr>
          <w:rFonts w:hint="eastAsia" w:ascii="Times New Roman" w:hAnsi="Times New Roman" w:eastAsia="仿宋_GB2312" w:cs="Times New Roman"/>
          <w:bCs/>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ascii="Times New Roman" w:hAnsi="Times New Roman" w:eastAsia="仿宋_GB2312" w:cs="Times New Roman"/>
          <w:bCs/>
          <w:color w:val="auto"/>
          <w:sz w:val="32"/>
          <w:szCs w:val="32"/>
        </w:rPr>
      </w:pPr>
      <w:r>
        <w:rPr>
          <w:rFonts w:hint="eastAsia" w:ascii="Times New Roman" w:hAnsi="Times New Roman" w:eastAsia="仿宋_GB2312" w:cs="Times New Roman"/>
          <w:bCs/>
          <w:color w:val="auto"/>
          <w:sz w:val="32"/>
          <w:szCs w:val="32"/>
        </w:rPr>
        <w:t>（4）</w:t>
      </w:r>
      <w:r>
        <w:rPr>
          <w:rFonts w:hint="eastAsia" w:ascii="Times New Roman" w:hAnsi="Times New Roman" w:eastAsia="仿宋_GB2312" w:cs="Times New Roman"/>
          <w:bCs/>
          <w:color w:val="auto"/>
          <w:sz w:val="32"/>
          <w:szCs w:val="32"/>
          <w:lang w:eastAsia="zh-CN"/>
        </w:rPr>
        <w:t>《</w:t>
      </w:r>
      <w:r>
        <w:rPr>
          <w:rFonts w:hint="eastAsia" w:ascii="Times New Roman" w:hAnsi="Times New Roman" w:eastAsia="仿宋_GB2312" w:cs="Times New Roman"/>
          <w:bCs/>
          <w:color w:val="auto"/>
          <w:sz w:val="32"/>
          <w:szCs w:val="32"/>
          <w:lang w:val="en-US" w:eastAsia="zh-CN"/>
        </w:rPr>
        <w:t>青海省教育厅关于进一步促进学前教育发展意见</w:t>
      </w:r>
      <w:r>
        <w:rPr>
          <w:rFonts w:hint="eastAsia" w:ascii="Times New Roman" w:hAnsi="Times New Roman" w:eastAsia="仿宋_GB2312" w:cs="Times New Roman"/>
          <w:bCs/>
          <w:color w:val="auto"/>
          <w:sz w:val="32"/>
          <w:szCs w:val="32"/>
          <w:lang w:eastAsia="zh-CN"/>
        </w:rPr>
        <w:t>》</w:t>
      </w:r>
      <w:r>
        <w:rPr>
          <w:rFonts w:hint="eastAsia" w:ascii="Times New Roman" w:hAnsi="Times New Roman" w:eastAsia="仿宋_GB2312" w:cs="Times New Roman"/>
          <w:bCs/>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（5）《青海省中小学布局调整规划目标和中小学校安工程实施计划》；</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ascii="Times New Roman" w:hAnsi="Times New Roman" w:eastAsia="仿宋_GB2312" w:cs="Times New Roman"/>
          <w:bCs/>
          <w:color w:val="auto"/>
          <w:sz w:val="32"/>
          <w:szCs w:val="32"/>
          <w:lang w:eastAsia="zh-CN"/>
        </w:rPr>
      </w:pPr>
      <w:r>
        <w:rPr>
          <w:rFonts w:hint="eastAsia" w:ascii="Times New Roman" w:hAnsi="Times New Roman" w:eastAsia="仿宋_GB2312" w:cs="Times New Roman"/>
          <w:bCs/>
          <w:color w:val="auto"/>
          <w:sz w:val="32"/>
          <w:szCs w:val="32"/>
        </w:rPr>
        <w:t>（</w:t>
      </w:r>
      <w:r>
        <w:rPr>
          <w:rFonts w:hint="eastAsia" w:ascii="Times New Roman" w:hAnsi="Times New Roman" w:eastAsia="仿宋_GB2312" w:cs="Times New Roman"/>
          <w:bCs/>
          <w:color w:val="auto"/>
          <w:sz w:val="32"/>
          <w:szCs w:val="32"/>
          <w:lang w:val="en-US" w:eastAsia="zh-CN"/>
        </w:rPr>
        <w:t>6</w:t>
      </w:r>
      <w:r>
        <w:rPr>
          <w:rFonts w:hint="eastAsia" w:ascii="Times New Roman" w:hAnsi="Times New Roman" w:eastAsia="仿宋_GB2312" w:cs="Times New Roman"/>
          <w:bCs/>
          <w:color w:val="auto"/>
          <w:sz w:val="32"/>
          <w:szCs w:val="32"/>
        </w:rPr>
        <w:t>）</w:t>
      </w:r>
      <w:r>
        <w:rPr>
          <w:rFonts w:hint="eastAsia" w:ascii="Times New Roman" w:hAnsi="Times New Roman" w:eastAsia="仿宋_GB2312" w:cs="Times New Roman"/>
          <w:bCs/>
          <w:color w:val="auto"/>
          <w:sz w:val="32"/>
          <w:szCs w:val="32"/>
          <w:lang w:val="zh-CN" w:eastAsia="zh-CN"/>
        </w:rPr>
        <w:t>《西宁市城中区发展改革和经济商务局</w:t>
      </w:r>
      <w:r>
        <w:rPr>
          <w:rFonts w:hint="eastAsia" w:ascii="Times New Roman" w:hAnsi="Times New Roman" w:eastAsia="仿宋_GB2312" w:cs="Times New Roman"/>
          <w:bCs/>
          <w:color w:val="auto"/>
          <w:sz w:val="32"/>
          <w:szCs w:val="32"/>
          <w:lang w:val="en-US" w:eastAsia="zh-CN"/>
        </w:rPr>
        <w:t>&lt;关于前营街幼儿园（暂定名）项目可行性研究报告&gt;的批复</w:t>
      </w:r>
      <w:r>
        <w:rPr>
          <w:rFonts w:hint="eastAsia" w:ascii="Times New Roman" w:hAnsi="Times New Roman" w:eastAsia="仿宋_GB2312" w:cs="Times New Roman"/>
          <w:bCs/>
          <w:color w:val="auto"/>
          <w:sz w:val="32"/>
          <w:szCs w:val="32"/>
          <w:lang w:val="zh-CN" w:eastAsia="zh-CN"/>
        </w:rPr>
        <w:t>》（城中发经字</w:t>
      </w:r>
      <w:r>
        <w:rPr>
          <w:rFonts w:hint="eastAsia" w:ascii="Times New Roman" w:hAnsi="Times New Roman" w:eastAsia="仿宋_GB2312" w:cs="Times New Roman"/>
          <w:bCs/>
          <w:color w:val="auto"/>
          <w:sz w:val="32"/>
          <w:szCs w:val="32"/>
          <w:lang w:val="en-US" w:eastAsia="zh-CN"/>
        </w:rPr>
        <w:t>〔2017〕93号</w:t>
      </w:r>
      <w:r>
        <w:rPr>
          <w:rFonts w:hint="eastAsia" w:ascii="Times New Roman" w:hAnsi="Times New Roman" w:eastAsia="仿宋_GB2312" w:cs="Times New Roman"/>
          <w:bCs/>
          <w:color w:val="auto"/>
          <w:sz w:val="32"/>
          <w:szCs w:val="32"/>
          <w:lang w:val="zh-CN" w:eastAsia="zh-CN"/>
        </w:rPr>
        <w:t>）</w:t>
      </w:r>
      <w:r>
        <w:rPr>
          <w:rFonts w:hint="eastAsia" w:ascii="Times New Roman" w:hAnsi="Times New Roman" w:eastAsia="仿宋_GB2312" w:cs="Times New Roman"/>
          <w:bCs/>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ascii="Times New Roman" w:hAnsi="Times New Roman" w:eastAsia="仿宋_GB2312" w:cs="Times New Roman"/>
          <w:bCs/>
          <w:color w:val="auto"/>
          <w:sz w:val="32"/>
          <w:szCs w:val="32"/>
        </w:rPr>
      </w:pPr>
      <w:r>
        <w:rPr>
          <w:rFonts w:hint="eastAsia" w:ascii="仿宋_GB2312" w:eastAsia="仿宋_GB2312" w:cs="Times New Roman"/>
          <w:bCs/>
          <w:color w:val="auto"/>
          <w:sz w:val="32"/>
          <w:szCs w:val="32"/>
          <w:lang w:eastAsia="zh-CN"/>
        </w:rPr>
        <w:t>（</w:t>
      </w:r>
      <w:r>
        <w:rPr>
          <w:rFonts w:hint="eastAsia" w:ascii="仿宋_GB2312" w:eastAsia="仿宋_GB2312" w:cs="Times New Roman"/>
          <w:bCs/>
          <w:color w:val="auto"/>
          <w:sz w:val="32"/>
          <w:szCs w:val="32"/>
          <w:lang w:val="en-US" w:eastAsia="zh-CN"/>
        </w:rPr>
        <w:t>7</w:t>
      </w:r>
      <w:r>
        <w:rPr>
          <w:rFonts w:hint="eastAsia" w:ascii="仿宋_GB2312" w:eastAsia="仿宋_GB2312" w:cs="Times New Roman"/>
          <w:bCs/>
          <w:color w:val="auto"/>
          <w:sz w:val="32"/>
          <w:szCs w:val="32"/>
          <w:lang w:eastAsia="zh-CN"/>
        </w:rPr>
        <w:t>）</w:t>
      </w:r>
      <w:r>
        <w:rPr>
          <w:rFonts w:hint="eastAsia" w:cs="Times New Roman"/>
          <w:color w:val="auto"/>
          <w:lang w:val="zh-CN" w:eastAsia="zh-CN"/>
        </w:rPr>
        <w:t>《西宁市城乡规划和建设局关于&lt;城中区前营街育儿园建设项目初步设计&gt;的批复》</w:t>
      </w:r>
      <w:r>
        <w:rPr>
          <w:rFonts w:hint="eastAsia" w:ascii="Times New Roman" w:hAnsi="Times New Roman" w:eastAsia="仿宋_GB2312" w:cs="Times New Roman"/>
          <w:bCs/>
          <w:color w:val="auto"/>
          <w:sz w:val="32"/>
          <w:szCs w:val="32"/>
          <w:lang w:val="zh-CN" w:eastAsia="zh-CN"/>
        </w:rPr>
        <w:t>（</w:t>
      </w:r>
      <w:r>
        <w:rPr>
          <w:rFonts w:hint="eastAsia" w:ascii="Times New Roman" w:hAnsi="Times New Roman" w:eastAsia="仿宋_GB2312" w:cs="Times New Roman"/>
          <w:bCs/>
          <w:color w:val="auto"/>
          <w:sz w:val="32"/>
          <w:szCs w:val="32"/>
          <w:lang w:val="en-US" w:eastAsia="zh-CN"/>
        </w:rPr>
        <w:t>宁规建〔2017〕305号</w:t>
      </w:r>
      <w:r>
        <w:rPr>
          <w:rFonts w:hint="eastAsia" w:ascii="Times New Roman" w:hAnsi="Times New Roman" w:eastAsia="仿宋_GB2312" w:cs="Times New Roman"/>
          <w:bCs/>
          <w:color w:val="auto"/>
          <w:sz w:val="32"/>
          <w:szCs w:val="32"/>
          <w:lang w:val="zh-CN" w:eastAsia="zh-CN"/>
        </w:rPr>
        <w:t>）</w:t>
      </w:r>
      <w:r>
        <w:rPr>
          <w:rFonts w:hint="eastAsia" w:ascii="Times New Roman" w:hAnsi="Times New Roman" w:eastAsia="仿宋_GB2312" w:cs="Times New Roman"/>
          <w:bCs/>
          <w:color w:val="auto"/>
          <w:sz w:val="32"/>
          <w:szCs w:val="32"/>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ascii="Times New Roman" w:hAnsi="Times New Roman" w:eastAsia="仿宋_GB2312" w:cs="Times New Roman"/>
          <w:bCs/>
          <w:color w:val="auto"/>
          <w:sz w:val="32"/>
          <w:szCs w:val="32"/>
        </w:rPr>
      </w:pPr>
      <w:r>
        <w:rPr>
          <w:rFonts w:hint="eastAsia" w:ascii="Times New Roman" w:hAnsi="Times New Roman" w:eastAsia="仿宋_GB2312" w:cs="Times New Roman"/>
          <w:bCs/>
          <w:color w:val="auto"/>
          <w:sz w:val="32"/>
          <w:szCs w:val="32"/>
        </w:rPr>
        <w:t>（</w:t>
      </w:r>
      <w:r>
        <w:rPr>
          <w:rFonts w:hint="eastAsia" w:ascii="Times New Roman" w:hAnsi="Times New Roman" w:eastAsia="仿宋_GB2312" w:cs="Times New Roman"/>
          <w:bCs/>
          <w:color w:val="auto"/>
          <w:sz w:val="32"/>
          <w:szCs w:val="32"/>
          <w:lang w:val="en-US" w:eastAsia="zh-CN"/>
        </w:rPr>
        <w:t>8</w:t>
      </w:r>
      <w:r>
        <w:rPr>
          <w:rFonts w:hint="eastAsia" w:ascii="Times New Roman" w:hAnsi="Times New Roman" w:eastAsia="仿宋_GB2312" w:cs="Times New Roman"/>
          <w:bCs/>
          <w:color w:val="auto"/>
          <w:sz w:val="32"/>
          <w:szCs w:val="32"/>
        </w:rPr>
        <w:t>）</w:t>
      </w:r>
      <w:r>
        <w:rPr>
          <w:rFonts w:hint="eastAsia" w:ascii="Times New Roman" w:hAnsi="Times New Roman" w:eastAsia="仿宋_GB2312" w:cs="Times New Roman"/>
          <w:bCs/>
          <w:color w:val="auto"/>
          <w:sz w:val="32"/>
          <w:szCs w:val="32"/>
          <w:lang w:val="en-US" w:eastAsia="zh-CN"/>
        </w:rPr>
        <w:t>《西宁市城中区审计局关于&lt;前营街幼儿园建设项目&gt;的审计报告》（城中审项报〔2021〕第3号）</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ascii="仿宋_GB2312" w:eastAsia="仿宋_GB2312" w:cs="Times New Roman"/>
          <w:bCs/>
          <w:color w:val="auto"/>
          <w:sz w:val="32"/>
          <w:szCs w:val="32"/>
        </w:rPr>
      </w:pPr>
      <w:r>
        <w:rPr>
          <w:rFonts w:hint="eastAsia" w:cs="Times New Roman"/>
          <w:bCs/>
          <w:color w:val="auto"/>
          <w:sz w:val="32"/>
          <w:szCs w:val="32"/>
          <w:lang w:eastAsia="zh-CN"/>
        </w:rPr>
        <w:t>（</w:t>
      </w:r>
      <w:r>
        <w:rPr>
          <w:rFonts w:hint="eastAsia" w:cs="Times New Roman"/>
          <w:bCs/>
          <w:color w:val="auto"/>
          <w:sz w:val="32"/>
          <w:szCs w:val="32"/>
          <w:lang w:val="en-US" w:eastAsia="zh-CN"/>
        </w:rPr>
        <w:t>9</w:t>
      </w:r>
      <w:r>
        <w:rPr>
          <w:rFonts w:hint="eastAsia" w:cs="Times New Roman"/>
          <w:bCs/>
          <w:color w:val="auto"/>
          <w:sz w:val="32"/>
          <w:szCs w:val="32"/>
          <w:lang w:eastAsia="zh-CN"/>
        </w:rPr>
        <w:t>）</w:t>
      </w:r>
      <w:r>
        <w:rPr>
          <w:rFonts w:hint="eastAsia" w:ascii="仿宋_GB2312" w:eastAsia="仿宋_GB2312" w:cs="Times New Roman"/>
          <w:bCs/>
          <w:color w:val="auto"/>
          <w:sz w:val="32"/>
          <w:szCs w:val="32"/>
        </w:rPr>
        <w:t>项目</w:t>
      </w:r>
      <w:r>
        <w:rPr>
          <w:rFonts w:hint="eastAsia" w:cs="Times New Roman"/>
          <w:bCs/>
          <w:color w:val="auto"/>
          <w:sz w:val="32"/>
          <w:szCs w:val="32"/>
          <w:lang w:val="en-US" w:eastAsia="zh-CN"/>
        </w:rPr>
        <w:t>其他相关佐证资料</w:t>
      </w:r>
      <w:r>
        <w:rPr>
          <w:rFonts w:hint="eastAsia" w:ascii="仿宋_GB2312" w:eastAsia="仿宋_GB2312" w:cs="Times New Roman"/>
          <w:bCs/>
          <w:color w:val="auto"/>
          <w:sz w:val="32"/>
          <w:szCs w:val="32"/>
        </w:rPr>
        <w:t>。</w:t>
      </w:r>
    </w:p>
    <w:p>
      <w:pPr>
        <w:keepNext w:val="0"/>
        <w:keepLines w:val="0"/>
        <w:pageBreakBefore w:val="0"/>
        <w:widowControl w:val="0"/>
        <w:kinsoku/>
        <w:wordWrap/>
        <w:overflowPunct/>
        <w:topLinePunct w:val="0"/>
        <w:bidi w:val="0"/>
        <w:adjustRightInd w:val="0"/>
        <w:snapToGrid w:val="0"/>
        <w:spacing w:line="576" w:lineRule="exact"/>
        <w:ind w:left="0" w:leftChars="0" w:firstLine="643"/>
        <w:textAlignment w:val="auto"/>
        <w:outlineLvl w:val="1"/>
        <w:rPr>
          <w:rFonts w:hint="eastAsia" w:ascii="楷体_GB2312" w:hAnsi="楷体_GB2312" w:eastAsia="楷体_GB2312" w:cs="楷体_GB2312"/>
          <w:b/>
          <w:bCs/>
          <w:szCs w:val="32"/>
          <w:lang w:val="zh-CN"/>
        </w:rPr>
      </w:pPr>
      <w:bookmarkStart w:id="1223" w:name="_Toc7211"/>
      <w:bookmarkStart w:id="1224" w:name="_Toc30204"/>
      <w:bookmarkStart w:id="1225" w:name="_Toc17045"/>
      <w:bookmarkStart w:id="1226" w:name="_Toc25431"/>
      <w:r>
        <w:rPr>
          <w:rFonts w:hint="eastAsia" w:ascii="楷体_GB2312" w:hAnsi="楷体_GB2312" w:eastAsia="楷体_GB2312" w:cs="楷体_GB2312"/>
          <w:b/>
          <w:bCs/>
          <w:szCs w:val="32"/>
          <w:lang w:val="zh-CN"/>
        </w:rPr>
        <w:t>（四）评价原则、评价方法</w:t>
      </w:r>
      <w:bookmarkEnd w:id="1223"/>
      <w:bookmarkEnd w:id="1224"/>
      <w:bookmarkEnd w:id="1225"/>
      <w:bookmarkEnd w:id="1226"/>
    </w:p>
    <w:p>
      <w:pPr>
        <w:keepNext w:val="0"/>
        <w:keepLines w:val="0"/>
        <w:pageBreakBefore w:val="0"/>
        <w:widowControl w:val="0"/>
        <w:kinsoku/>
        <w:wordWrap/>
        <w:overflowPunct/>
        <w:topLinePunct w:val="0"/>
        <w:bidi w:val="0"/>
        <w:adjustRightInd w:val="0"/>
        <w:snapToGrid w:val="0"/>
        <w:spacing w:line="576" w:lineRule="exact"/>
        <w:ind w:left="0" w:leftChars="0" w:firstLine="643"/>
        <w:textAlignment w:val="auto"/>
        <w:rPr>
          <w:rFonts w:hint="eastAsia" w:cs="Times New Roman"/>
          <w:b/>
          <w:bCs/>
          <w:lang w:eastAsia="zh-CN"/>
        </w:rPr>
      </w:pPr>
      <w:r>
        <w:rPr>
          <w:rFonts w:hint="eastAsia" w:cs="Times New Roman"/>
          <w:b/>
          <w:bCs/>
          <w:lang w:val="en-US" w:eastAsia="zh-CN"/>
        </w:rPr>
        <w:t>1.</w:t>
      </w:r>
      <w:r>
        <w:rPr>
          <w:rFonts w:hint="eastAsia" w:cs="Times New Roman"/>
          <w:b/>
          <w:bCs/>
          <w:lang w:eastAsia="zh-CN"/>
        </w:rPr>
        <w:t>评价原则</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rPr>
          <w:rFonts w:cs="Times New Roman"/>
          <w:color w:val="auto"/>
        </w:rPr>
      </w:pPr>
      <w:r>
        <w:rPr>
          <w:rFonts w:hint="eastAsia" w:cs="Times New Roman"/>
          <w:b/>
          <w:bCs/>
          <w:color w:val="auto"/>
          <w:lang w:eastAsia="zh-CN"/>
        </w:rPr>
        <w:t>（</w:t>
      </w:r>
      <w:r>
        <w:rPr>
          <w:rFonts w:hint="eastAsia" w:cs="Times New Roman"/>
          <w:b/>
          <w:bCs/>
          <w:color w:val="auto"/>
          <w:lang w:val="en-US" w:eastAsia="zh-CN"/>
        </w:rPr>
        <w:t>1</w:t>
      </w:r>
      <w:r>
        <w:rPr>
          <w:rFonts w:hint="eastAsia" w:cs="Times New Roman"/>
          <w:b/>
          <w:bCs/>
          <w:color w:val="auto"/>
          <w:lang w:eastAsia="zh-CN"/>
        </w:rPr>
        <w:t>）</w:t>
      </w:r>
      <w:r>
        <w:rPr>
          <w:rFonts w:hint="eastAsia" w:cs="Times New Roman"/>
          <w:b/>
          <w:bCs/>
          <w:color w:val="auto"/>
        </w:rPr>
        <w:t>科学</w:t>
      </w:r>
      <w:r>
        <w:rPr>
          <w:rFonts w:hint="eastAsia" w:cs="Times New Roman"/>
          <w:b/>
          <w:bCs/>
          <w:color w:val="auto"/>
          <w:lang w:val="en-US" w:eastAsia="zh-CN"/>
        </w:rPr>
        <w:t>规范</w:t>
      </w:r>
      <w:r>
        <w:rPr>
          <w:rFonts w:hint="eastAsia" w:cs="Times New Roman"/>
          <w:b/>
          <w:bCs/>
          <w:color w:val="auto"/>
        </w:rPr>
        <w:t>。</w:t>
      </w:r>
      <w:r>
        <w:rPr>
          <w:rFonts w:hint="eastAsia" w:cs="Times New Roman"/>
          <w:color w:val="auto"/>
        </w:rPr>
        <w:t>按照规范的程序，</w:t>
      </w:r>
      <w:r>
        <w:rPr>
          <w:rFonts w:hint="eastAsia" w:ascii="仿宋_GB2312" w:hAnsi="Geneva" w:eastAsia="仿宋_GB2312" w:cs="仿宋_GB2312"/>
          <w:color w:val="auto"/>
          <w:kern w:val="0"/>
          <w:szCs w:val="32"/>
          <w:highlight w:val="none"/>
        </w:rPr>
        <w:t>采用定量与定性</w:t>
      </w:r>
      <w:r>
        <w:rPr>
          <w:rFonts w:hint="eastAsia" w:ascii="仿宋_GB2312" w:hAnsi="Geneva" w:eastAsia="仿宋_GB2312" w:cs="仿宋_GB2312"/>
          <w:color w:val="auto"/>
          <w:kern w:val="0"/>
          <w:szCs w:val="32"/>
          <w:highlight w:val="none"/>
          <w:lang w:eastAsia="zh-CN"/>
        </w:rPr>
        <w:t>分析</w:t>
      </w:r>
      <w:r>
        <w:rPr>
          <w:rFonts w:hint="eastAsia" w:ascii="仿宋_GB2312" w:hAnsi="Geneva" w:eastAsia="仿宋_GB2312" w:cs="仿宋_GB2312"/>
          <w:color w:val="auto"/>
          <w:kern w:val="0"/>
          <w:szCs w:val="32"/>
          <w:highlight w:val="none"/>
        </w:rPr>
        <w:t>相结合的方法</w:t>
      </w:r>
      <w:r>
        <w:rPr>
          <w:rFonts w:hint="eastAsia" w:hAnsi="Geneva" w:cs="仿宋_GB2312"/>
          <w:color w:val="auto"/>
          <w:kern w:val="0"/>
          <w:szCs w:val="32"/>
          <w:highlight w:val="none"/>
          <w:lang w:eastAsia="zh-CN"/>
        </w:rPr>
        <w:t>，</w:t>
      </w:r>
      <w:r>
        <w:rPr>
          <w:rFonts w:hint="eastAsia" w:ascii="仿宋_GB2312" w:hAnsi="Geneva" w:eastAsia="仿宋_GB2312" w:cs="仿宋_GB2312"/>
          <w:color w:val="auto"/>
          <w:kern w:val="0"/>
          <w:szCs w:val="32"/>
          <w:highlight w:val="none"/>
        </w:rPr>
        <w:t>注重财政支出的经济性、效率性和</w:t>
      </w:r>
      <w:r>
        <w:rPr>
          <w:rFonts w:hint="eastAsia" w:ascii="仿宋_GB2312" w:hAnsi="Geneva" w:eastAsia="仿宋_GB2312" w:cs="仿宋_GB2312"/>
          <w:color w:val="auto"/>
          <w:kern w:val="0"/>
          <w:szCs w:val="32"/>
          <w:highlight w:val="none"/>
          <w:lang w:eastAsia="zh-CN"/>
        </w:rPr>
        <w:t>效益</w:t>
      </w:r>
      <w:r>
        <w:rPr>
          <w:rFonts w:hint="eastAsia" w:ascii="仿宋_GB2312" w:hAnsi="Geneva" w:eastAsia="仿宋_GB2312" w:cs="仿宋_GB2312"/>
          <w:color w:val="auto"/>
          <w:kern w:val="0"/>
          <w:szCs w:val="32"/>
          <w:highlight w:val="none"/>
        </w:rPr>
        <w:t>性</w:t>
      </w:r>
      <w:r>
        <w:rPr>
          <w:rFonts w:hint="eastAsia" w:hAnsi="Geneva" w:cs="仿宋_GB2312"/>
          <w:color w:val="auto"/>
          <w:kern w:val="0"/>
          <w:szCs w:val="32"/>
          <w:highlight w:val="none"/>
          <w:lang w:eastAsia="zh-CN"/>
        </w:rPr>
        <w:t>，</w:t>
      </w:r>
      <w:r>
        <w:rPr>
          <w:rFonts w:hint="eastAsia" w:cs="Times New Roman"/>
          <w:color w:val="auto"/>
        </w:rPr>
        <w:t>对项目绩效进行客观、公正的反映。</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rPr>
          <w:rFonts w:cs="Times New Roman"/>
          <w:color w:val="auto"/>
        </w:rPr>
      </w:pPr>
      <w:r>
        <w:rPr>
          <w:rFonts w:hint="eastAsia" w:cs="Times New Roman"/>
          <w:b/>
          <w:bCs/>
          <w:color w:val="auto"/>
          <w:lang w:val="en-US" w:eastAsia="zh-CN"/>
        </w:rPr>
        <w:t>（2）</w:t>
      </w:r>
      <w:r>
        <w:rPr>
          <w:rFonts w:hint="eastAsia" w:cs="Times New Roman"/>
          <w:b/>
          <w:bCs/>
          <w:color w:val="auto"/>
        </w:rPr>
        <w:t>激励约束。</w:t>
      </w:r>
      <w:r>
        <w:rPr>
          <w:rFonts w:hint="eastAsia" w:cs="Times New Roman"/>
          <w:color w:val="auto"/>
        </w:rPr>
        <w:t>绩效评价结果与预算安排、政策调整、改进管理</w:t>
      </w:r>
      <w:r>
        <w:rPr>
          <w:rFonts w:hint="eastAsia" w:cs="Times New Roman"/>
          <w:color w:val="auto"/>
          <w:lang w:val="en-US" w:eastAsia="zh-CN"/>
        </w:rPr>
        <w:t>等进行</w:t>
      </w:r>
      <w:r>
        <w:rPr>
          <w:rFonts w:hint="eastAsia" w:cs="Times New Roman"/>
          <w:color w:val="auto"/>
        </w:rPr>
        <w:t>实质性挂钩，体现奖优罚劣和激励相容导向，有效要安排、低效要压减、无效要问责。</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Times New Roman"/>
          <w:color w:val="0000FF"/>
          <w:lang w:val="en-US" w:eastAsia="zh-CN"/>
        </w:rPr>
      </w:pPr>
      <w:r>
        <w:rPr>
          <w:rFonts w:hint="eastAsia" w:cs="Times New Roman"/>
          <w:b/>
          <w:bCs/>
          <w:color w:val="auto"/>
          <w:lang w:val="en-US" w:eastAsia="zh-CN"/>
        </w:rPr>
        <w:t>（3）</w:t>
      </w:r>
      <w:r>
        <w:rPr>
          <w:rFonts w:hint="eastAsia" w:cs="Times New Roman"/>
          <w:b/>
          <w:bCs/>
          <w:color w:val="auto"/>
        </w:rPr>
        <w:t>公开透明。</w:t>
      </w:r>
      <w:r>
        <w:rPr>
          <w:rFonts w:hint="eastAsia" w:cs="Times New Roman"/>
          <w:color w:val="auto"/>
        </w:rPr>
        <w:t>绩效评价结果依法依规公开，并自觉接受社会监督。</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eastAsia="仿宋_GB2312" w:cs="Times New Roman"/>
          <w:b/>
          <w:bCs w:val="0"/>
          <w:szCs w:val="32"/>
          <w:lang w:eastAsia="zh-CN"/>
        </w:rPr>
      </w:pPr>
      <w:r>
        <w:rPr>
          <w:rFonts w:hint="eastAsia" w:cs="Times New Roman"/>
          <w:b/>
          <w:bCs w:val="0"/>
          <w:szCs w:val="32"/>
          <w:lang w:val="en-US" w:eastAsia="zh-CN"/>
        </w:rPr>
        <w:t>2.评价方式</w:t>
      </w:r>
    </w:p>
    <w:p>
      <w:pPr>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right="0" w:firstLine="643" w:firstLineChars="200"/>
        <w:textAlignment w:val="auto"/>
        <w:rPr>
          <w:rFonts w:hint="eastAsia" w:ascii="仿宋_GB2312" w:hAnsi="仿宋_GB2312" w:eastAsia="仿宋_GB2312" w:cs="仿宋_GB2312"/>
          <w:b/>
          <w:bCs/>
          <w:lang w:eastAsia="zh-CN"/>
        </w:rPr>
      </w:pPr>
      <w:r>
        <w:rPr>
          <w:rFonts w:hint="eastAsia" w:cs="仿宋_GB2312"/>
          <w:b/>
          <w:bCs/>
          <w:lang w:eastAsia="zh-CN"/>
        </w:rPr>
        <w:t>（</w:t>
      </w:r>
      <w:r>
        <w:rPr>
          <w:rFonts w:hint="eastAsia" w:cs="仿宋_GB2312"/>
          <w:b/>
          <w:bCs/>
          <w:lang w:val="en-US" w:eastAsia="zh-CN"/>
        </w:rPr>
        <w:t>1</w:t>
      </w:r>
      <w:r>
        <w:rPr>
          <w:rFonts w:hint="eastAsia" w:cs="仿宋_GB2312"/>
          <w:b/>
          <w:bCs/>
          <w:lang w:eastAsia="zh-CN"/>
        </w:rPr>
        <w:t>）</w:t>
      </w:r>
      <w:r>
        <w:rPr>
          <w:rFonts w:hint="eastAsia" w:ascii="仿宋_GB2312" w:hAnsi="仿宋_GB2312" w:eastAsia="仿宋_GB2312" w:cs="仿宋_GB2312"/>
          <w:b/>
          <w:bCs/>
          <w:lang w:eastAsia="zh-CN"/>
        </w:rPr>
        <w:t>比较法。</w:t>
      </w:r>
    </w:p>
    <w:p>
      <w:pPr>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right="0" w:firstLine="64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t>通过</w:t>
      </w:r>
      <w:r>
        <w:rPr>
          <w:rFonts w:hint="eastAsia" w:cs="仿宋_GB2312"/>
          <w:lang w:val="en-US" w:eastAsia="zh-CN"/>
        </w:rPr>
        <w:t>将西宁市城中区前营街幼儿园建设</w:t>
      </w:r>
      <w:r>
        <w:rPr>
          <w:rFonts w:hint="eastAsia" w:ascii="仿宋_GB2312" w:hAnsi="仿宋_GB2312" w:eastAsia="仿宋_GB2312" w:cs="仿宋_GB2312"/>
          <w:lang w:eastAsia="zh-CN"/>
        </w:rPr>
        <w:t>的计划目标和实际情况</w:t>
      </w:r>
      <w:r>
        <w:rPr>
          <w:rFonts w:hint="eastAsia" w:cs="仿宋_GB2312"/>
          <w:lang w:val="en-US" w:eastAsia="zh-CN"/>
        </w:rPr>
        <w:t>进行</w:t>
      </w:r>
      <w:r>
        <w:rPr>
          <w:rFonts w:hint="eastAsia" w:ascii="仿宋_GB2312" w:hAnsi="仿宋_GB2312" w:eastAsia="仿宋_GB2312" w:cs="仿宋_GB2312"/>
          <w:lang w:eastAsia="zh-CN"/>
        </w:rPr>
        <w:t>对比，</w:t>
      </w:r>
      <w:r>
        <w:rPr>
          <w:rFonts w:hint="eastAsia" w:cs="Times New Roman"/>
          <w:color w:val="auto"/>
          <w:highlight w:val="none"/>
          <w:lang w:val="en-US" w:eastAsia="zh-CN"/>
        </w:rPr>
        <w:t>考虑影响目标完成的各个因素，采取定量分析与定性分析相结合的方法，依据分析结果进行绩效评价。</w:t>
      </w:r>
    </w:p>
    <w:p>
      <w:pPr>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right="0" w:firstLine="643" w:firstLineChars="200"/>
        <w:textAlignment w:val="auto"/>
        <w:rPr>
          <w:rFonts w:hint="eastAsia" w:ascii="仿宋_GB2312" w:hAnsi="仿宋_GB2312" w:eastAsia="仿宋_GB2312" w:cs="仿宋_GB2312"/>
          <w:b/>
          <w:bCs/>
        </w:rPr>
      </w:pPr>
      <w:r>
        <w:rPr>
          <w:rFonts w:hint="eastAsia" w:ascii="仿宋_GB2312" w:hAnsi="仿宋_GB2312" w:cs="仿宋_GB2312"/>
          <w:b/>
          <w:bCs/>
          <w:lang w:val="en-US" w:eastAsia="zh-CN"/>
        </w:rPr>
        <w:t>2</w:t>
      </w:r>
      <w:r>
        <w:rPr>
          <w:rFonts w:hint="eastAsia" w:ascii="仿宋_GB2312" w:hAnsi="仿宋_GB2312" w:eastAsia="仿宋_GB2312" w:cs="仿宋_GB2312"/>
          <w:b/>
          <w:bCs/>
        </w:rPr>
        <w:t>.公众评判法。</w:t>
      </w:r>
    </w:p>
    <w:p>
      <w:pPr>
        <w:keepNext w:val="0"/>
        <w:keepLines w:val="0"/>
        <w:pageBreakBefore w:val="0"/>
        <w:widowControl w:val="0"/>
        <w:kinsoku/>
        <w:wordWrap/>
        <w:overflowPunct/>
        <w:topLinePunct w:val="0"/>
        <w:autoSpaceDE/>
        <w:autoSpaceDN/>
        <w:bidi w:val="0"/>
        <w:adjustRightInd w:val="0"/>
        <w:snapToGrid w:val="0"/>
        <w:spacing w:beforeAutospacing="0" w:afterAutospacing="0" w:line="576" w:lineRule="exact"/>
        <w:ind w:left="0" w:leftChars="0" w:right="0" w:firstLine="640" w:firstLineChars="200"/>
        <w:textAlignment w:val="auto"/>
        <w:rPr>
          <w:rFonts w:hint="eastAsia" w:ascii="仿宋_GB2312" w:hAnsi="仿宋_GB2312" w:eastAsia="仿宋_GB2312" w:cs="仿宋_GB2312"/>
          <w:sz w:val="32"/>
          <w:lang w:bidi="ar"/>
        </w:rPr>
      </w:pPr>
      <w:r>
        <w:rPr>
          <w:rFonts w:hint="eastAsia" w:ascii="仿宋_GB2312" w:hAnsi="仿宋_GB2312" w:eastAsia="仿宋_GB2312" w:cs="仿宋_GB2312"/>
        </w:rPr>
        <w:t>通过实地调研</w:t>
      </w:r>
      <w:r>
        <w:rPr>
          <w:rFonts w:hint="eastAsia" w:ascii="仿宋_GB2312" w:hAnsi="仿宋_GB2312" w:cs="仿宋_GB2312"/>
          <w:lang w:eastAsia="zh-CN"/>
        </w:rPr>
        <w:t>、访谈</w:t>
      </w:r>
      <w:r>
        <w:rPr>
          <w:rFonts w:hint="eastAsia" w:ascii="仿宋_GB2312" w:hAnsi="仿宋_GB2312" w:eastAsia="仿宋_GB2312" w:cs="仿宋_GB2312"/>
        </w:rPr>
        <w:t>，结合设计的调查问卷，对项目开展调查，了解</w:t>
      </w:r>
      <w:r>
        <w:rPr>
          <w:rFonts w:hint="eastAsia" w:cs="仿宋_GB2312"/>
          <w:lang w:val="en-US" w:eastAsia="zh-CN"/>
        </w:rPr>
        <w:t>西宁市城中区前营街幼儿园</w:t>
      </w:r>
      <w:r>
        <w:rPr>
          <w:rFonts w:hint="eastAsia" w:ascii="仿宋_GB2312" w:hAnsi="仿宋_GB2312" w:eastAsia="仿宋_GB2312" w:cs="仿宋_GB2312"/>
        </w:rPr>
        <w:t>的</w:t>
      </w:r>
      <w:r>
        <w:rPr>
          <w:rFonts w:hint="eastAsia" w:cs="仿宋_GB2312"/>
          <w:lang w:val="en-US" w:eastAsia="zh-CN"/>
        </w:rPr>
        <w:t>实际建设</w:t>
      </w:r>
      <w:r>
        <w:rPr>
          <w:rFonts w:hint="eastAsia" w:ascii="仿宋_GB2312" w:hAnsi="仿宋_GB2312" w:eastAsia="仿宋_GB2312" w:cs="仿宋_GB2312"/>
        </w:rPr>
        <w:t>状况，了解</w:t>
      </w:r>
      <w:r>
        <w:rPr>
          <w:rFonts w:hint="eastAsia" w:cs="仿宋_GB2312"/>
          <w:lang w:val="en-US" w:eastAsia="zh-CN"/>
        </w:rPr>
        <w:t>该项目建设完成后投入使用的</w:t>
      </w:r>
      <w:r>
        <w:rPr>
          <w:rFonts w:hint="eastAsia" w:ascii="仿宋_GB2312" w:hAnsi="仿宋_GB2312" w:eastAsia="仿宋_GB2312" w:cs="仿宋_GB2312"/>
        </w:rPr>
        <w:t>效果，了解项目的各受益主体对项目的满意度，总结分析受益主体的满意情况及项目实施效果。</w:t>
      </w:r>
    </w:p>
    <w:p>
      <w:pPr>
        <w:keepNext w:val="0"/>
        <w:keepLines w:val="0"/>
        <w:pageBreakBefore w:val="0"/>
        <w:widowControl w:val="0"/>
        <w:kinsoku/>
        <w:wordWrap/>
        <w:overflowPunct/>
        <w:topLinePunct w:val="0"/>
        <w:bidi w:val="0"/>
        <w:adjustRightInd w:val="0"/>
        <w:snapToGrid w:val="0"/>
        <w:spacing w:line="576" w:lineRule="exact"/>
        <w:ind w:left="0" w:leftChars="0" w:firstLine="643"/>
        <w:textAlignment w:val="auto"/>
        <w:outlineLvl w:val="1"/>
        <w:rPr>
          <w:rFonts w:hint="eastAsia" w:ascii="楷体_GB2312" w:hAnsi="楷体_GB2312" w:eastAsia="楷体_GB2312" w:cs="楷体_GB2312"/>
          <w:b/>
          <w:bCs/>
          <w:szCs w:val="32"/>
          <w:lang w:val="zh-CN"/>
        </w:rPr>
      </w:pPr>
      <w:bookmarkStart w:id="1227" w:name="_Toc27908"/>
      <w:bookmarkStart w:id="1228" w:name="_Toc17209"/>
      <w:bookmarkStart w:id="1229" w:name="_Toc11619"/>
      <w:bookmarkStart w:id="1230" w:name="_Toc8851"/>
      <w:r>
        <w:rPr>
          <w:rFonts w:hint="eastAsia" w:ascii="楷体_GB2312" w:hAnsi="楷体_GB2312" w:eastAsia="楷体_GB2312" w:cs="楷体_GB2312"/>
          <w:b/>
          <w:bCs/>
          <w:szCs w:val="32"/>
          <w:lang w:val="zh-CN"/>
        </w:rPr>
        <w:t>（五）绩效评价指标体系</w:t>
      </w:r>
      <w:bookmarkEnd w:id="1227"/>
      <w:bookmarkEnd w:id="1228"/>
      <w:bookmarkEnd w:id="1229"/>
      <w:bookmarkEnd w:id="1230"/>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eastAsia" w:ascii="仿宋_GB2312" w:hAnsi="仿宋_GB2312" w:eastAsia="仿宋_GB2312" w:cs="仿宋_GB2312"/>
          <w:b/>
          <w:bCs/>
          <w:color w:val="auto"/>
          <w:kern w:val="2"/>
          <w:sz w:val="32"/>
          <w:szCs w:val="32"/>
          <w:lang w:val="en-US" w:eastAsia="zh-CN" w:bidi="ar-SA"/>
        </w:rPr>
      </w:pPr>
      <w:bookmarkStart w:id="1231" w:name="_Toc21138"/>
      <w:bookmarkStart w:id="1232" w:name="_Toc4119"/>
      <w:bookmarkStart w:id="1233" w:name="_Toc6592"/>
      <w:bookmarkStart w:id="1234" w:name="_Toc4146_WPSOffice_Level2"/>
      <w:bookmarkStart w:id="1235" w:name="_Toc17003_WPSOffice_Level1"/>
      <w:bookmarkStart w:id="1236" w:name="_Toc11054_WPSOffice_Level1"/>
      <w:bookmarkStart w:id="1237" w:name="_Toc23009_WPSOffice_Level1"/>
      <w:bookmarkStart w:id="1238" w:name="_Toc13432_WPSOffice_Level2"/>
      <w:r>
        <w:rPr>
          <w:rFonts w:hint="eastAsia" w:ascii="仿宋_GB2312" w:hAnsi="仿宋_GB2312" w:eastAsia="仿宋_GB2312" w:cs="仿宋_GB2312"/>
          <w:b/>
          <w:bCs/>
          <w:color w:val="auto"/>
          <w:kern w:val="2"/>
          <w:sz w:val="32"/>
          <w:szCs w:val="32"/>
          <w:lang w:val="en-US" w:eastAsia="zh-CN" w:bidi="ar-SA"/>
        </w:rPr>
        <w:t>1.指标体系设计总体思路</w:t>
      </w:r>
      <w:bookmarkEnd w:id="1231"/>
      <w:bookmarkEnd w:id="1232"/>
      <w:bookmarkEnd w:id="1233"/>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w:t>
      </w:r>
      <w:r>
        <w:rPr>
          <w:rFonts w:hint="eastAsia" w:ascii="仿宋_GB2312" w:eastAsia="仿宋_GB2312" w:cs="Times New Roman"/>
          <w:bCs/>
          <w:color w:val="auto"/>
          <w:sz w:val="32"/>
          <w:szCs w:val="32"/>
        </w:rPr>
        <w:t>《财政部</w:t>
      </w:r>
      <w:r>
        <w:rPr>
          <w:rFonts w:hint="eastAsia" w:cs="Times New Roman"/>
          <w:bCs/>
          <w:color w:val="auto"/>
          <w:sz w:val="32"/>
          <w:szCs w:val="32"/>
          <w:lang w:val="en-US" w:eastAsia="zh-CN"/>
        </w:rPr>
        <w:t>&lt;</w:t>
      </w:r>
      <w:r>
        <w:rPr>
          <w:rFonts w:hint="eastAsia" w:ascii="仿宋_GB2312" w:eastAsia="仿宋_GB2312" w:cs="Times New Roman"/>
          <w:bCs/>
          <w:color w:val="auto"/>
          <w:sz w:val="32"/>
          <w:szCs w:val="32"/>
        </w:rPr>
        <w:t>关于印发项目支出绩效评价管理办法</w:t>
      </w:r>
      <w:r>
        <w:rPr>
          <w:rFonts w:hint="eastAsia" w:cs="Times New Roman"/>
          <w:bCs/>
          <w:color w:val="auto"/>
          <w:sz w:val="32"/>
          <w:szCs w:val="32"/>
          <w:lang w:val="en-US" w:eastAsia="zh-CN"/>
        </w:rPr>
        <w:t>&gt;</w:t>
      </w:r>
      <w:r>
        <w:rPr>
          <w:rFonts w:hint="eastAsia" w:ascii="仿宋_GB2312" w:eastAsia="仿宋_GB2312" w:cs="Times New Roman"/>
          <w:bCs/>
          <w:color w:val="auto"/>
          <w:sz w:val="32"/>
          <w:szCs w:val="32"/>
        </w:rPr>
        <w:t>的通知》（</w:t>
      </w:r>
      <w:r>
        <w:rPr>
          <w:rFonts w:hint="eastAsia" w:ascii="Times New Roman" w:hAnsi="Times New Roman" w:eastAsia="仿宋_GB2312" w:cs="Times New Roman"/>
          <w:bCs/>
          <w:color w:val="auto"/>
          <w:sz w:val="32"/>
          <w:szCs w:val="32"/>
        </w:rPr>
        <w:t>财预〔2020〕10号</w:t>
      </w:r>
      <w:r>
        <w:rPr>
          <w:rFonts w:hint="eastAsia" w:ascii="仿宋_GB2312" w:eastAsia="仿宋_GB2312" w:cs="Times New Roman"/>
          <w:bCs/>
          <w:color w:val="auto"/>
          <w:sz w:val="32"/>
          <w:szCs w:val="32"/>
        </w:rPr>
        <w:t>）</w:t>
      </w:r>
      <w:r>
        <w:rPr>
          <w:rFonts w:hint="eastAsia" w:ascii="仿宋_GB2312" w:hAnsi="仿宋_GB2312" w:eastAsia="仿宋_GB2312" w:cs="仿宋_GB2312"/>
          <w:color w:val="auto"/>
          <w:sz w:val="32"/>
          <w:szCs w:val="32"/>
        </w:rPr>
        <w:t>文件，</w:t>
      </w:r>
      <w:r>
        <w:rPr>
          <w:rFonts w:hint="eastAsia" w:cs="仿宋_GB2312"/>
          <w:color w:val="auto"/>
          <w:sz w:val="32"/>
          <w:szCs w:val="32"/>
          <w:lang w:val="en-US" w:eastAsia="zh-CN"/>
        </w:rPr>
        <w:t>西宁市城中区前营街幼儿园建设项目</w:t>
      </w:r>
      <w:r>
        <w:rPr>
          <w:rFonts w:hint="eastAsia" w:ascii="仿宋_GB2312" w:hAnsi="仿宋_GB2312" w:eastAsia="仿宋_GB2312" w:cs="仿宋_GB2312"/>
          <w:color w:val="auto"/>
          <w:sz w:val="32"/>
          <w:szCs w:val="32"/>
        </w:rPr>
        <w:t>绩效评价指标体系以该文件中“项目支出绩效评价指标体系框架”为基础，选取部分共性指标，从确定的评价关注点中辐射出个性指标，共性指标和个性指标相结合，构建出本项目绩效评价指标体系。</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eastAsia" w:ascii="仿宋_GB2312" w:hAnsi="仿宋_GB2312" w:eastAsia="仿宋_GB2312" w:cs="仿宋_GB2312"/>
          <w:b/>
          <w:bCs/>
          <w:color w:val="auto"/>
          <w:kern w:val="2"/>
          <w:sz w:val="32"/>
          <w:szCs w:val="32"/>
          <w:lang w:val="en-US" w:eastAsia="zh-CN" w:bidi="ar-SA"/>
        </w:rPr>
      </w:pPr>
      <w:bookmarkStart w:id="1239" w:name="_Toc3213"/>
      <w:bookmarkStart w:id="1240" w:name="_Toc1616"/>
      <w:bookmarkStart w:id="1241" w:name="_Toc24263"/>
      <w:r>
        <w:rPr>
          <w:rFonts w:hint="eastAsia" w:ascii="仿宋_GB2312" w:hAnsi="仿宋_GB2312" w:eastAsia="仿宋_GB2312" w:cs="仿宋_GB2312"/>
          <w:b/>
          <w:bCs/>
          <w:color w:val="auto"/>
          <w:kern w:val="2"/>
          <w:sz w:val="32"/>
          <w:szCs w:val="32"/>
          <w:lang w:val="en-US" w:eastAsia="zh-CN" w:bidi="ar-SA"/>
        </w:rPr>
        <w:t>2.绩效评价指标</w:t>
      </w:r>
      <w:bookmarkEnd w:id="1239"/>
      <w:r>
        <w:rPr>
          <w:rFonts w:hint="eastAsia" w:ascii="仿宋_GB2312" w:hAnsi="仿宋_GB2312" w:eastAsia="仿宋_GB2312" w:cs="仿宋_GB2312"/>
          <w:b/>
          <w:bCs/>
          <w:color w:val="auto"/>
          <w:kern w:val="2"/>
          <w:sz w:val="32"/>
          <w:szCs w:val="32"/>
          <w:lang w:val="en-US" w:eastAsia="zh-CN" w:bidi="ar-SA"/>
        </w:rPr>
        <w:t>设置</w:t>
      </w:r>
      <w:bookmarkEnd w:id="1240"/>
      <w:bookmarkEnd w:id="1241"/>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color w:val="auto"/>
          <w:sz w:val="32"/>
          <w:szCs w:val="32"/>
          <w:lang w:eastAsia="zh-CN"/>
        </w:rPr>
      </w:pPr>
      <w:r>
        <w:rPr>
          <w:rFonts w:hint="eastAsia" w:cs="仿宋_GB2312"/>
          <w:color w:val="auto"/>
          <w:sz w:val="32"/>
          <w:szCs w:val="32"/>
          <w:lang w:val="en-US" w:eastAsia="zh-CN"/>
        </w:rPr>
        <w:t>西宁市城中区前营街幼儿园建设项目</w:t>
      </w:r>
      <w:r>
        <w:rPr>
          <w:rFonts w:hint="eastAsia" w:ascii="仿宋_GB2312" w:hAnsi="仿宋_GB2312" w:eastAsia="仿宋_GB2312" w:cs="仿宋_GB2312"/>
          <w:color w:val="auto"/>
          <w:sz w:val="32"/>
          <w:szCs w:val="32"/>
        </w:rPr>
        <w:t>绩效指标体系</w:t>
      </w:r>
      <w:r>
        <w:rPr>
          <w:rFonts w:hint="eastAsia" w:cs="仿宋_GB2312"/>
          <w:color w:val="auto"/>
          <w:sz w:val="32"/>
          <w:szCs w:val="32"/>
          <w:lang w:val="en-US" w:eastAsia="zh-CN"/>
        </w:rPr>
        <w:t>绩效评价指标</w:t>
      </w:r>
      <w:r>
        <w:rPr>
          <w:rFonts w:hint="eastAsia" w:ascii="仿宋_GB2312" w:hAnsi="仿宋_GB2312" w:eastAsia="仿宋_GB2312" w:cs="仿宋_GB2312"/>
          <w:color w:val="auto"/>
          <w:sz w:val="32"/>
          <w:szCs w:val="32"/>
        </w:rPr>
        <w:t>初步设定</w:t>
      </w:r>
      <w:r>
        <w:rPr>
          <w:rFonts w:hint="eastAsia" w:ascii="Times New Roman" w:hAnsi="Times New Roman" w:eastAsia="仿宋_GB2312" w:cs="Times New Roman"/>
          <w:bCs/>
          <w:color w:val="auto"/>
          <w:sz w:val="32"/>
          <w:szCs w:val="32"/>
        </w:rPr>
        <w:t>4个一级指标，分别是：决策、过程、产出、效</w:t>
      </w:r>
      <w:r>
        <w:rPr>
          <w:rFonts w:hint="eastAsia" w:ascii="Times New Roman" w:hAnsi="Times New Roman" w:eastAsia="仿宋_GB2312" w:cs="Times New Roman"/>
          <w:bCs/>
          <w:color w:val="auto"/>
          <w:sz w:val="32"/>
          <w:szCs w:val="32"/>
          <w:lang w:val="en-US" w:eastAsia="zh-CN"/>
        </w:rPr>
        <w:t>益；13个二级指标，分别是：项目决策、绩效目标管理、资金投入、项目管理、资金管理、产出数量、产出质量、产出时效、成本控制、经济效益、社会效益、可持续影响、满意度；31个三</w:t>
      </w:r>
      <w:r>
        <w:rPr>
          <w:rFonts w:hint="eastAsia" w:cs="仿宋_GB2312"/>
          <w:color w:val="auto"/>
          <w:sz w:val="32"/>
          <w:szCs w:val="32"/>
          <w:lang w:val="en-US" w:eastAsia="zh-CN"/>
        </w:rPr>
        <w:t>级指标。</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eastAsia" w:ascii="仿宋_GB2312" w:hAnsi="仿宋_GB2312" w:eastAsia="仿宋_GB2312" w:cs="仿宋_GB2312"/>
          <w:b/>
          <w:bCs/>
          <w:color w:val="auto"/>
          <w:kern w:val="2"/>
          <w:sz w:val="32"/>
          <w:szCs w:val="32"/>
          <w:lang w:val="en-US" w:eastAsia="zh-CN" w:bidi="ar-SA"/>
        </w:rPr>
      </w:pPr>
      <w:bookmarkStart w:id="1242" w:name="_Toc5044"/>
      <w:bookmarkStart w:id="1243" w:name="_Toc29077"/>
      <w:bookmarkStart w:id="1244" w:name="_Toc29816"/>
      <w:r>
        <w:rPr>
          <w:rFonts w:hint="eastAsia" w:ascii="仿宋_GB2312" w:hAnsi="仿宋_GB2312" w:eastAsia="仿宋_GB2312" w:cs="仿宋_GB2312"/>
          <w:b/>
          <w:bCs/>
          <w:color w:val="auto"/>
          <w:kern w:val="2"/>
          <w:sz w:val="32"/>
          <w:szCs w:val="32"/>
          <w:lang w:val="en-US" w:eastAsia="zh-CN" w:bidi="ar-SA"/>
        </w:rPr>
        <w:t>3.绩效评价指标权重</w:t>
      </w:r>
      <w:bookmarkEnd w:id="1242"/>
      <w:r>
        <w:rPr>
          <w:rFonts w:hint="eastAsia" w:ascii="仿宋_GB2312" w:hAnsi="仿宋_GB2312" w:eastAsia="仿宋_GB2312" w:cs="仿宋_GB2312"/>
          <w:b/>
          <w:bCs/>
          <w:color w:val="auto"/>
          <w:kern w:val="2"/>
          <w:sz w:val="32"/>
          <w:szCs w:val="32"/>
          <w:lang w:val="en-US" w:eastAsia="zh-CN" w:bidi="ar-SA"/>
        </w:rPr>
        <w:t>设计</w:t>
      </w:r>
      <w:bookmarkEnd w:id="1243"/>
      <w:bookmarkEnd w:id="1244"/>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仿宋_GB2312" w:cs="Times New Roman"/>
          <w:bCs/>
          <w:color w:val="auto"/>
          <w:sz w:val="32"/>
          <w:szCs w:val="32"/>
        </w:rPr>
      </w:pPr>
      <w:r>
        <w:rPr>
          <w:rFonts w:hint="eastAsia" w:ascii="仿宋_GB2312" w:eastAsia="仿宋_GB2312" w:cs="Times New Roman"/>
          <w:bCs/>
          <w:color w:val="auto"/>
          <w:sz w:val="32"/>
          <w:szCs w:val="32"/>
        </w:rPr>
        <w:t>本项目绩效评价指标权重的设计</w:t>
      </w:r>
      <w:r>
        <w:rPr>
          <w:rFonts w:hint="eastAsia" w:cs="Times New Roman"/>
          <w:bCs/>
          <w:color w:val="auto"/>
          <w:sz w:val="32"/>
          <w:szCs w:val="32"/>
          <w:lang w:val="en-US" w:eastAsia="zh-CN"/>
        </w:rPr>
        <w:t>依据</w:t>
      </w:r>
      <w:r>
        <w:rPr>
          <w:rFonts w:hint="eastAsia" w:ascii="仿宋_GB2312" w:eastAsia="仿宋_GB2312" w:cs="Times New Roman"/>
          <w:bCs/>
          <w:color w:val="auto"/>
          <w:sz w:val="32"/>
          <w:szCs w:val="32"/>
        </w:rPr>
        <w:t>《财政部关于印发〈项目支出绩效评价管理办法〉的通知》</w:t>
      </w:r>
      <w:r>
        <w:rPr>
          <w:rFonts w:hint="eastAsia" w:ascii="Times New Roman" w:hAnsi="Times New Roman" w:eastAsia="仿宋_GB2312" w:cs="Times New Roman"/>
          <w:bCs/>
          <w:color w:val="auto"/>
          <w:sz w:val="32"/>
          <w:szCs w:val="32"/>
        </w:rPr>
        <w:t>（财预〔2020〕10号）文件第十四条：“评价指标的权重根据各项指标在评价体系中的重要程度确定，应当突出结果导向，原则上产出、效益指标权重不低于60%。同</w:t>
      </w:r>
      <w:r>
        <w:rPr>
          <w:rFonts w:hint="eastAsia" w:ascii="仿宋_GB2312" w:eastAsia="仿宋_GB2312" w:cs="Times New Roman"/>
          <w:bCs/>
          <w:color w:val="auto"/>
          <w:sz w:val="32"/>
          <w:szCs w:val="32"/>
        </w:rPr>
        <w:t>一评价对象处于不同实施阶段时，指标权重应体现差异性，其中，实施期间的评价更加注重决策、过程和产出，实施期结束后的评价更加注重产出和效益”的要求进行各项指标权重的分配，最终确定</w:t>
      </w:r>
      <w:r>
        <w:rPr>
          <w:rFonts w:hint="eastAsia" w:cs="Times New Roman"/>
          <w:bCs/>
          <w:color w:val="auto"/>
          <w:sz w:val="32"/>
          <w:szCs w:val="32"/>
          <w:lang w:val="en-US" w:eastAsia="zh-CN"/>
        </w:rPr>
        <w:t>西宁市城中区前营街幼儿</w:t>
      </w:r>
      <w:r>
        <w:rPr>
          <w:rFonts w:hint="eastAsia" w:ascii="仿宋_GB2312" w:eastAsia="仿宋_GB2312" w:cs="Times New Roman"/>
          <w:bCs/>
          <w:color w:val="auto"/>
          <w:sz w:val="32"/>
          <w:szCs w:val="32"/>
          <w:lang w:val="en-US" w:eastAsia="zh-CN"/>
        </w:rPr>
        <w:t>园建设项目</w:t>
      </w:r>
      <w:r>
        <w:rPr>
          <w:rFonts w:hint="eastAsia" w:ascii="仿宋_GB2312" w:eastAsia="仿宋_GB2312" w:cs="Times New Roman"/>
          <w:bCs/>
          <w:color w:val="auto"/>
          <w:sz w:val="32"/>
          <w:szCs w:val="32"/>
        </w:rPr>
        <w:t>绩效评价指标体系权重分配，</w:t>
      </w:r>
      <w:r>
        <w:rPr>
          <w:rFonts w:hint="eastAsia" w:ascii="仿宋_GB2312" w:eastAsia="仿宋_GB2312" w:cs="Times New Roman"/>
          <w:bCs/>
          <w:color w:val="auto"/>
          <w:sz w:val="32"/>
          <w:szCs w:val="32"/>
          <w:lang w:val="en-US" w:eastAsia="zh-CN"/>
        </w:rPr>
        <w:t>其中：决策指标权重占</w:t>
      </w:r>
      <w:r>
        <w:rPr>
          <w:rFonts w:hint="eastAsia" w:ascii="Times New Roman" w:hAnsi="Times New Roman" w:eastAsia="仿宋_GB2312" w:cs="Times New Roman"/>
          <w:bCs/>
          <w:color w:val="auto"/>
          <w:sz w:val="32"/>
          <w:szCs w:val="32"/>
          <w:lang w:val="en-US" w:eastAsia="zh-CN"/>
        </w:rPr>
        <w:t>比11%，过程指标权重占比22%，产出指标权重占比28%，效益指标权重占比39%。</w:t>
      </w:r>
    </w:p>
    <w:bookmarkEnd w:id="1234"/>
    <w:bookmarkEnd w:id="1235"/>
    <w:bookmarkEnd w:id="1236"/>
    <w:bookmarkEnd w:id="1237"/>
    <w:bookmarkEnd w:id="1238"/>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default" w:ascii="仿宋_GB2312" w:hAnsi="仿宋_GB2312" w:eastAsia="仿宋_GB2312" w:cs="仿宋_GB2312"/>
          <w:b/>
          <w:bCs/>
          <w:color w:val="auto"/>
          <w:kern w:val="2"/>
          <w:sz w:val="32"/>
          <w:szCs w:val="32"/>
          <w:lang w:val="en-US" w:eastAsia="zh-CN" w:bidi="ar-SA"/>
        </w:rPr>
      </w:pPr>
      <w:bookmarkStart w:id="1245" w:name="_Toc2855"/>
      <w:bookmarkStart w:id="1246" w:name="_Toc6087"/>
      <w:r>
        <w:rPr>
          <w:rFonts w:hint="eastAsia" w:ascii="仿宋_GB2312" w:hAnsi="仿宋_GB2312" w:eastAsia="仿宋_GB2312" w:cs="仿宋_GB2312"/>
          <w:b/>
          <w:bCs/>
          <w:color w:val="auto"/>
          <w:kern w:val="2"/>
          <w:sz w:val="32"/>
          <w:szCs w:val="32"/>
          <w:lang w:val="en-US" w:eastAsia="zh-CN" w:bidi="ar-SA"/>
        </w:rPr>
        <w:t>4.绩效评价指标体系</w:t>
      </w:r>
      <w:bookmarkEnd w:id="1245"/>
      <w:bookmarkEnd w:id="1246"/>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Cs/>
          <w:color w:val="auto"/>
          <w:sz w:val="32"/>
          <w:szCs w:val="32"/>
          <w:lang w:eastAsia="zh-CN"/>
        </w:rPr>
      </w:pPr>
      <w:r>
        <w:rPr>
          <w:rFonts w:hint="eastAsia" w:cs="Times New Roman"/>
          <w:lang w:eastAsia="zh-CN"/>
        </w:rPr>
        <w:t>本次项</w:t>
      </w:r>
      <w:r>
        <w:rPr>
          <w:rFonts w:hint="eastAsia" w:cs="Times New Roman"/>
          <w:highlight w:val="none"/>
          <w:lang w:eastAsia="zh-CN"/>
        </w:rPr>
        <w:t>目绩效评价</w:t>
      </w:r>
      <w:r>
        <w:rPr>
          <w:rFonts w:hint="eastAsia" w:cs="Times New Roman"/>
          <w:highlight w:val="none"/>
          <w:lang w:val="en-US" w:eastAsia="zh-CN"/>
        </w:rPr>
        <w:t>指标体系</w:t>
      </w:r>
      <w:r>
        <w:rPr>
          <w:rFonts w:hint="eastAsia" w:ascii="仿宋_GB2312" w:hAnsi="仿宋_GB2312" w:eastAsia="仿宋_GB2312" w:cs="仿宋_GB2312"/>
          <w:color w:val="auto"/>
          <w:sz w:val="32"/>
          <w:szCs w:val="32"/>
          <w:highlight w:val="none"/>
          <w:lang w:eastAsia="zh-CN"/>
        </w:rPr>
        <w:t>详见附</w:t>
      </w:r>
      <w:r>
        <w:rPr>
          <w:rFonts w:hint="eastAsia" w:ascii="Times New Roman" w:hAnsi="Times New Roman" w:eastAsia="仿宋_GB2312" w:cs="Times New Roman"/>
          <w:bCs/>
          <w:color w:val="auto"/>
          <w:sz w:val="32"/>
          <w:szCs w:val="32"/>
          <w:lang w:eastAsia="zh-CN"/>
        </w:rPr>
        <w:t>件</w:t>
      </w:r>
      <w:r>
        <w:rPr>
          <w:rFonts w:hint="eastAsia" w:ascii="Times New Roman" w:hAnsi="Times New Roman" w:eastAsia="仿宋_GB2312" w:cs="Times New Roman"/>
          <w:bCs/>
          <w:color w:val="auto"/>
          <w:sz w:val="32"/>
          <w:szCs w:val="32"/>
          <w:lang w:val="en-US" w:eastAsia="zh-CN"/>
        </w:rPr>
        <w:t>1（附件1：</w:t>
      </w:r>
      <w:r>
        <w:rPr>
          <w:rFonts w:hint="eastAsia" w:ascii="Times New Roman" w:hAnsi="Times New Roman" w:eastAsia="仿宋_GB2312" w:cs="Times New Roman"/>
          <w:bCs/>
          <w:color w:val="auto"/>
          <w:sz w:val="32"/>
          <w:szCs w:val="32"/>
          <w:lang w:eastAsia="zh-CN"/>
        </w:rPr>
        <w:t>西宁市</w:t>
      </w:r>
      <w:r>
        <w:rPr>
          <w:rFonts w:hint="eastAsia" w:ascii="Times New Roman" w:hAnsi="Times New Roman" w:eastAsia="仿宋_GB2312" w:cs="Times New Roman"/>
          <w:bCs/>
          <w:color w:val="auto"/>
          <w:sz w:val="32"/>
          <w:szCs w:val="32"/>
          <w:lang w:val="en-US" w:eastAsia="zh-CN"/>
        </w:rPr>
        <w:t>城中区前营街幼儿园建设项目</w:t>
      </w:r>
      <w:r>
        <w:rPr>
          <w:rFonts w:hint="eastAsia" w:ascii="Times New Roman" w:hAnsi="Times New Roman" w:eastAsia="仿宋_GB2312" w:cs="Times New Roman"/>
          <w:bCs/>
          <w:color w:val="auto"/>
          <w:sz w:val="32"/>
          <w:szCs w:val="32"/>
          <w:lang w:eastAsia="zh-CN"/>
        </w:rPr>
        <w:t>绩效评价指标体系</w:t>
      </w:r>
      <w:r>
        <w:rPr>
          <w:rFonts w:hint="eastAsia" w:ascii="Times New Roman" w:hAnsi="Times New Roman" w:eastAsia="仿宋_GB2312" w:cs="Times New Roman"/>
          <w:bCs/>
          <w:color w:val="auto"/>
          <w:sz w:val="32"/>
          <w:szCs w:val="32"/>
          <w:lang w:val="en-US" w:eastAsia="zh-CN"/>
        </w:rPr>
        <w:t>），评价</w:t>
      </w:r>
      <w:r>
        <w:rPr>
          <w:rFonts w:hint="eastAsia" w:ascii="Times New Roman" w:hAnsi="Times New Roman" w:eastAsia="仿宋_GB2312" w:cs="Times New Roman"/>
          <w:bCs/>
          <w:color w:val="auto"/>
          <w:sz w:val="32"/>
          <w:szCs w:val="32"/>
          <w:lang w:eastAsia="zh-CN"/>
        </w:rPr>
        <w:t>内容具体如下：</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b/>
          <w:bCs/>
          <w:highlight w:val="none"/>
          <w:lang w:val="en-US" w:eastAsia="zh-CN"/>
        </w:rPr>
        <w:t>1.</w:t>
      </w:r>
      <w:r>
        <w:rPr>
          <w:rFonts w:hint="eastAsia" w:ascii="仿宋_GB2312" w:hAnsi="仿宋_GB2312" w:eastAsia="仿宋_GB2312" w:cs="仿宋_GB2312"/>
          <w:b/>
          <w:bCs/>
          <w:highlight w:val="none"/>
        </w:rPr>
        <w:t>项目决策情况。</w:t>
      </w:r>
      <w:r>
        <w:rPr>
          <w:rFonts w:hint="eastAsia" w:ascii="仿宋_GB2312" w:hAnsi="仿宋_GB2312" w:eastAsia="仿宋_GB2312" w:cs="仿宋_GB2312"/>
          <w:highlight w:val="none"/>
        </w:rPr>
        <w:t>权重</w:t>
      </w:r>
      <w:r>
        <w:rPr>
          <w:rFonts w:hint="eastAsia" w:ascii="仿宋_GB2312" w:hAnsi="仿宋_GB2312" w:eastAsia="仿宋_GB2312" w:cs="仿宋_GB2312"/>
          <w:highlight w:val="none"/>
          <w:lang w:eastAsia="zh-CN"/>
        </w:rPr>
        <w:t>分值为</w:t>
      </w:r>
      <w:r>
        <w:rPr>
          <w:rFonts w:hint="eastAsia" w:ascii="Times New Roman" w:hAnsi="Times New Roman" w:eastAsia="仿宋_GB2312" w:cs="Times New Roman"/>
          <w:bCs/>
          <w:color w:val="auto"/>
          <w:sz w:val="32"/>
          <w:szCs w:val="32"/>
          <w:lang w:val="en-US" w:eastAsia="zh-CN"/>
        </w:rPr>
        <w:t>4分，</w:t>
      </w:r>
      <w:r>
        <w:rPr>
          <w:rFonts w:hint="eastAsia" w:ascii="Times New Roman" w:hAnsi="Times New Roman" w:eastAsia="仿宋_GB2312" w:cs="Times New Roman"/>
          <w:bCs/>
          <w:color w:val="auto"/>
          <w:sz w:val="32"/>
          <w:szCs w:val="32"/>
        </w:rPr>
        <w:t>主要评价项目的申请、设立依据是否符合相关政策</w:t>
      </w:r>
      <w:r>
        <w:rPr>
          <w:rFonts w:hint="eastAsia" w:ascii="Times New Roman" w:hAnsi="Times New Roman" w:eastAsia="仿宋_GB2312" w:cs="Times New Roman"/>
          <w:bCs/>
          <w:color w:val="auto"/>
          <w:sz w:val="32"/>
          <w:szCs w:val="32"/>
          <w:lang w:eastAsia="zh-CN"/>
        </w:rPr>
        <w:t>；项目的申请</w:t>
      </w:r>
      <w:r>
        <w:rPr>
          <w:rFonts w:hint="eastAsia" w:ascii="仿宋_GB2312" w:hAnsi="仿宋_GB2312" w:cs="仿宋_GB2312"/>
          <w:highlight w:val="none"/>
          <w:lang w:eastAsia="zh-CN"/>
        </w:rPr>
        <w:t>、设立过程是否符合相关要求，事前是否已经过必要的可行性研究、专家论证、风险评估、绩效评估、集体决策</w:t>
      </w:r>
      <w:r>
        <w:rPr>
          <w:rFonts w:hint="eastAsia" w:ascii="仿宋_GB2312" w:hAnsi="仿宋_GB2312" w:eastAsia="仿宋_GB2312" w:cs="仿宋_GB2312"/>
          <w:highlight w:val="none"/>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b/>
          <w:bCs/>
          <w:highlight w:val="none"/>
          <w:lang w:val="en-US" w:eastAsia="zh-CN"/>
        </w:rPr>
        <w:t>2</w:t>
      </w:r>
      <w:r>
        <w:rPr>
          <w:rFonts w:hint="eastAsia" w:ascii="仿宋_GB2312" w:hAnsi="仿宋_GB2312" w:eastAsia="仿宋_GB2312" w:cs="仿宋_GB2312"/>
          <w:b/>
          <w:bCs/>
          <w:highlight w:val="none"/>
        </w:rPr>
        <w:t>.</w:t>
      </w:r>
      <w:r>
        <w:rPr>
          <w:rFonts w:hint="eastAsia" w:ascii="仿宋_GB2312" w:hAnsi="仿宋_GB2312" w:eastAsia="仿宋_GB2312" w:cs="仿宋_GB2312"/>
          <w:b/>
          <w:bCs/>
          <w:highlight w:val="none"/>
          <w:lang w:val="en-US" w:eastAsia="zh-CN"/>
        </w:rPr>
        <w:t>项目绩效目标</w:t>
      </w:r>
      <w:r>
        <w:rPr>
          <w:rFonts w:hint="eastAsia" w:cs="仿宋_GB2312"/>
          <w:b/>
          <w:bCs/>
          <w:highlight w:val="none"/>
          <w:lang w:val="en-US" w:eastAsia="zh-CN"/>
        </w:rPr>
        <w:t>管理</w:t>
      </w:r>
      <w:r>
        <w:rPr>
          <w:rFonts w:hint="eastAsia" w:ascii="仿宋_GB2312" w:hAnsi="仿宋_GB2312" w:eastAsia="仿宋_GB2312" w:cs="仿宋_GB2312"/>
          <w:b/>
          <w:bCs/>
          <w:highlight w:val="none"/>
          <w:lang w:val="en-US" w:eastAsia="zh-CN"/>
        </w:rPr>
        <w:t>情况</w:t>
      </w:r>
      <w:r>
        <w:rPr>
          <w:rFonts w:hint="eastAsia" w:ascii="仿宋_GB2312" w:hAnsi="仿宋_GB2312" w:eastAsia="仿宋_GB2312" w:cs="仿宋_GB2312"/>
          <w:highlight w:val="none"/>
          <w:lang w:val="en-US" w:eastAsia="zh-CN"/>
        </w:rPr>
        <w:t>：</w:t>
      </w:r>
      <w:r>
        <w:rPr>
          <w:rFonts w:hint="eastAsia" w:ascii="仿宋_GB2312" w:hAnsi="仿宋_GB2312" w:eastAsia="仿宋_GB2312" w:cs="仿宋_GB2312"/>
          <w:highlight w:val="none"/>
        </w:rPr>
        <w:t>权重</w:t>
      </w:r>
      <w:r>
        <w:rPr>
          <w:rFonts w:hint="eastAsia" w:ascii="仿宋_GB2312" w:hAnsi="仿宋_GB2312" w:eastAsia="仿宋_GB2312" w:cs="仿宋_GB2312"/>
          <w:highlight w:val="none"/>
          <w:lang w:eastAsia="zh-CN"/>
        </w:rPr>
        <w:t>分值</w:t>
      </w:r>
      <w:r>
        <w:rPr>
          <w:rFonts w:hint="eastAsia" w:ascii="Times New Roman" w:hAnsi="Times New Roman" w:eastAsia="仿宋_GB2312" w:cs="Times New Roman"/>
          <w:bCs/>
          <w:color w:val="auto"/>
          <w:sz w:val="32"/>
          <w:szCs w:val="32"/>
          <w:lang w:eastAsia="zh-CN"/>
        </w:rPr>
        <w:t>为</w:t>
      </w:r>
      <w:r>
        <w:rPr>
          <w:rFonts w:hint="eastAsia" w:ascii="Times New Roman" w:hAnsi="Times New Roman" w:eastAsia="仿宋_GB2312" w:cs="Times New Roman"/>
          <w:bCs/>
          <w:color w:val="auto"/>
          <w:sz w:val="32"/>
          <w:szCs w:val="32"/>
          <w:lang w:val="en-US" w:eastAsia="zh-CN"/>
        </w:rPr>
        <w:t>4分，</w:t>
      </w:r>
      <w:r>
        <w:rPr>
          <w:rFonts w:hint="eastAsia" w:ascii="仿宋_GB2312" w:hAnsi="仿宋_GB2312" w:eastAsia="仿宋_GB2312" w:cs="仿宋_GB2312"/>
          <w:highlight w:val="none"/>
        </w:rPr>
        <w:t>主要评价</w:t>
      </w:r>
      <w:r>
        <w:rPr>
          <w:rFonts w:hint="eastAsia" w:ascii="仿宋_GB2312" w:hAnsi="仿宋_GB2312" w:eastAsia="仿宋_GB2312" w:cs="仿宋_GB2312"/>
          <w:highlight w:val="none"/>
          <w:lang w:eastAsia="zh-CN"/>
        </w:rPr>
        <w:t>项目</w:t>
      </w:r>
      <w:r>
        <w:rPr>
          <w:rFonts w:hint="eastAsia" w:ascii="仿宋_GB2312" w:hAnsi="仿宋_GB2312" w:cs="仿宋_GB2312"/>
          <w:highlight w:val="none"/>
          <w:lang w:eastAsia="zh-CN"/>
        </w:rPr>
        <w:t>是否具有绩效目标，</w:t>
      </w:r>
      <w:r>
        <w:rPr>
          <w:rFonts w:hint="eastAsia" w:ascii="仿宋_GB2312" w:hAnsi="仿宋_GB2312" w:eastAsia="仿宋_GB2312" w:cs="仿宋_GB2312"/>
          <w:highlight w:val="none"/>
          <w:lang w:eastAsia="zh-CN"/>
        </w:rPr>
        <w:t>绩效目标是否合理，绩效指标是否清晰、细化、可衡量。</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b/>
          <w:bCs/>
          <w:highlight w:val="none"/>
          <w:lang w:val="en-US" w:eastAsia="zh-CN"/>
        </w:rPr>
        <w:t>3</w:t>
      </w:r>
      <w:r>
        <w:rPr>
          <w:rFonts w:hint="eastAsia" w:ascii="仿宋_GB2312" w:hAnsi="仿宋_GB2312" w:eastAsia="仿宋_GB2312" w:cs="仿宋_GB2312"/>
          <w:b/>
          <w:bCs/>
          <w:highlight w:val="none"/>
        </w:rPr>
        <w:t>.资金</w:t>
      </w:r>
      <w:r>
        <w:rPr>
          <w:rFonts w:hint="eastAsia" w:ascii="仿宋_GB2312" w:hAnsi="仿宋_GB2312" w:cs="仿宋_GB2312"/>
          <w:b/>
          <w:bCs/>
          <w:highlight w:val="none"/>
          <w:lang w:eastAsia="zh-CN"/>
        </w:rPr>
        <w:t>投入</w:t>
      </w:r>
      <w:r>
        <w:rPr>
          <w:rFonts w:hint="eastAsia" w:ascii="仿宋_GB2312" w:hAnsi="仿宋_GB2312" w:eastAsia="仿宋_GB2312" w:cs="仿宋_GB2312"/>
          <w:b/>
          <w:bCs/>
          <w:highlight w:val="none"/>
        </w:rPr>
        <w:t>情况。</w:t>
      </w:r>
      <w:r>
        <w:rPr>
          <w:rFonts w:hint="eastAsia" w:ascii="仿宋_GB2312" w:hAnsi="仿宋_GB2312" w:eastAsia="仿宋_GB2312" w:cs="仿宋_GB2312"/>
          <w:highlight w:val="none"/>
        </w:rPr>
        <w:t>权重</w:t>
      </w:r>
      <w:r>
        <w:rPr>
          <w:rFonts w:hint="eastAsia" w:ascii="仿宋_GB2312" w:hAnsi="仿宋_GB2312" w:eastAsia="仿宋_GB2312" w:cs="仿宋_GB2312"/>
          <w:highlight w:val="none"/>
          <w:lang w:eastAsia="zh-CN"/>
        </w:rPr>
        <w:t>分值</w:t>
      </w:r>
      <w:r>
        <w:rPr>
          <w:rFonts w:hint="eastAsia" w:ascii="Times New Roman" w:hAnsi="Times New Roman" w:eastAsia="仿宋_GB2312" w:cs="Times New Roman"/>
          <w:bCs/>
          <w:color w:val="auto"/>
          <w:sz w:val="32"/>
          <w:szCs w:val="32"/>
          <w:lang w:eastAsia="zh-CN"/>
        </w:rPr>
        <w:t>为</w:t>
      </w:r>
      <w:r>
        <w:rPr>
          <w:rFonts w:hint="eastAsia" w:ascii="Times New Roman" w:hAnsi="Times New Roman" w:eastAsia="仿宋_GB2312" w:cs="Times New Roman"/>
          <w:bCs/>
          <w:color w:val="auto"/>
          <w:sz w:val="32"/>
          <w:szCs w:val="32"/>
          <w:lang w:val="en-US" w:eastAsia="zh-CN"/>
        </w:rPr>
        <w:t>3</w:t>
      </w:r>
      <w:r>
        <w:rPr>
          <w:rFonts w:hint="eastAsia" w:ascii="仿宋_GB2312" w:hAnsi="仿宋_GB2312" w:eastAsia="仿宋_GB2312" w:cs="仿宋_GB2312"/>
          <w:highlight w:val="none"/>
          <w:lang w:val="en-US" w:eastAsia="zh-CN"/>
        </w:rPr>
        <w:t>分，</w:t>
      </w:r>
      <w:r>
        <w:rPr>
          <w:rFonts w:hint="eastAsia" w:ascii="仿宋_GB2312" w:hAnsi="仿宋_GB2312" w:eastAsia="仿宋_GB2312" w:cs="仿宋_GB2312"/>
          <w:highlight w:val="none"/>
        </w:rPr>
        <w:t>主要</w:t>
      </w:r>
      <w:r>
        <w:rPr>
          <w:rFonts w:hint="eastAsia" w:ascii="仿宋_GB2312" w:hAnsi="仿宋_GB2312" w:cs="仿宋_GB2312"/>
          <w:highlight w:val="none"/>
          <w:lang w:eastAsia="zh-CN"/>
        </w:rPr>
        <w:t>评价项目建设预算编制是否完整、是否有明确、合理的单价标准和数量确定依据；项目资金是否及时足额到位。</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b/>
          <w:bCs/>
          <w:highlight w:val="none"/>
          <w:lang w:val="en-US" w:eastAsia="zh-CN"/>
        </w:rPr>
        <w:t>4</w:t>
      </w:r>
      <w:r>
        <w:rPr>
          <w:rFonts w:hint="eastAsia" w:ascii="仿宋_GB2312" w:hAnsi="仿宋_GB2312" w:eastAsia="仿宋_GB2312" w:cs="仿宋_GB2312"/>
          <w:b/>
          <w:bCs/>
          <w:highlight w:val="none"/>
        </w:rPr>
        <w:t>.项目管理情况。</w:t>
      </w:r>
      <w:r>
        <w:rPr>
          <w:rFonts w:hint="eastAsia" w:ascii="仿宋_GB2312" w:hAnsi="仿宋_GB2312" w:eastAsia="仿宋_GB2312" w:cs="仿宋_GB2312"/>
          <w:highlight w:val="none"/>
        </w:rPr>
        <w:t>权重</w:t>
      </w:r>
      <w:r>
        <w:rPr>
          <w:rFonts w:hint="eastAsia" w:ascii="仿宋_GB2312" w:hAnsi="仿宋_GB2312" w:eastAsia="仿宋_GB2312" w:cs="仿宋_GB2312"/>
          <w:highlight w:val="none"/>
          <w:lang w:eastAsia="zh-CN"/>
        </w:rPr>
        <w:t>分值</w:t>
      </w:r>
      <w:r>
        <w:rPr>
          <w:rFonts w:hint="eastAsia" w:ascii="Times New Roman" w:hAnsi="Times New Roman" w:eastAsia="仿宋_GB2312" w:cs="Times New Roman"/>
          <w:bCs/>
          <w:color w:val="auto"/>
          <w:sz w:val="32"/>
          <w:szCs w:val="32"/>
          <w:lang w:eastAsia="zh-CN"/>
        </w:rPr>
        <w:t>为</w:t>
      </w:r>
      <w:r>
        <w:rPr>
          <w:rFonts w:hint="eastAsia" w:ascii="Times New Roman" w:hAnsi="Times New Roman" w:eastAsia="仿宋_GB2312" w:cs="Times New Roman"/>
          <w:bCs/>
          <w:color w:val="auto"/>
          <w:sz w:val="32"/>
          <w:szCs w:val="32"/>
          <w:lang w:val="en-US" w:eastAsia="zh-CN"/>
        </w:rPr>
        <w:t>14分，</w:t>
      </w:r>
      <w:r>
        <w:rPr>
          <w:rFonts w:hint="eastAsia" w:ascii="Times New Roman" w:hAnsi="Times New Roman" w:eastAsia="仿宋_GB2312" w:cs="Times New Roman"/>
          <w:bCs/>
          <w:color w:val="auto"/>
          <w:sz w:val="32"/>
          <w:szCs w:val="32"/>
        </w:rPr>
        <w:t>主</w:t>
      </w:r>
      <w:r>
        <w:rPr>
          <w:rFonts w:hint="eastAsia" w:ascii="仿宋_GB2312" w:hAnsi="仿宋_GB2312" w:eastAsia="仿宋_GB2312" w:cs="仿宋_GB2312"/>
          <w:highlight w:val="none"/>
        </w:rPr>
        <w:t>要</w:t>
      </w:r>
      <w:r>
        <w:rPr>
          <w:rFonts w:hint="eastAsia" w:ascii="仿宋_GB2312" w:hAnsi="仿宋_GB2312" w:cs="仿宋_GB2312"/>
          <w:highlight w:val="none"/>
          <w:lang w:val="en-US" w:eastAsia="zh-CN"/>
        </w:rPr>
        <w:t>评价项目</w:t>
      </w:r>
      <w:r>
        <w:rPr>
          <w:rFonts w:hint="eastAsia" w:ascii="仿宋_GB2312" w:hAnsi="仿宋_GB2312" w:eastAsia="仿宋_GB2312" w:cs="仿宋_GB2312"/>
          <w:highlight w:val="none"/>
          <w:lang w:val="en-US" w:eastAsia="zh-CN"/>
        </w:rPr>
        <w:t>工程建设过程中</w:t>
      </w:r>
      <w:r>
        <w:rPr>
          <w:rFonts w:hint="eastAsia" w:ascii="仿宋_GB2312" w:hAnsi="仿宋_GB2312" w:cs="仿宋_GB2312"/>
          <w:highlight w:val="none"/>
          <w:lang w:val="en-US" w:eastAsia="zh-CN"/>
        </w:rPr>
        <w:t>财务、业务</w:t>
      </w:r>
      <w:r>
        <w:rPr>
          <w:rFonts w:hint="eastAsia" w:ascii="仿宋_GB2312" w:hAnsi="仿宋_GB2312" w:eastAsia="仿宋_GB2312" w:cs="仿宋_GB2312"/>
          <w:highlight w:val="none"/>
          <w:lang w:val="en-US" w:eastAsia="zh-CN"/>
        </w:rPr>
        <w:t>制度</w:t>
      </w:r>
      <w:r>
        <w:rPr>
          <w:rFonts w:hint="eastAsia" w:ascii="仿宋_GB2312" w:hAnsi="仿宋_GB2312" w:cs="仿宋_GB2312"/>
          <w:highlight w:val="none"/>
          <w:lang w:val="en-US" w:eastAsia="zh-CN"/>
        </w:rPr>
        <w:t>是否</w:t>
      </w:r>
      <w:r>
        <w:rPr>
          <w:rFonts w:hint="eastAsia" w:ascii="仿宋_GB2312" w:hAnsi="仿宋_GB2312" w:eastAsia="仿宋_GB2312" w:cs="仿宋_GB2312"/>
          <w:highlight w:val="none"/>
          <w:lang w:val="en-US" w:eastAsia="zh-CN"/>
        </w:rPr>
        <w:t>健全</w:t>
      </w:r>
      <w:r>
        <w:rPr>
          <w:rFonts w:hint="eastAsia" w:ascii="仿宋_GB2312" w:hAnsi="仿宋_GB2312" w:cs="仿宋_GB2312"/>
          <w:highlight w:val="none"/>
          <w:lang w:val="en-US" w:eastAsia="zh-CN"/>
        </w:rPr>
        <w:t>；项目招标采购申请、采购计划备案是否规范，信息发布是否规范及时、采购流程是否规范；</w:t>
      </w:r>
      <w:r>
        <w:rPr>
          <w:rFonts w:hint="eastAsia" w:ascii="仿宋_GB2312" w:hAnsi="仿宋_GB2312" w:eastAsia="仿宋_GB2312" w:cs="仿宋_GB2312"/>
          <w:highlight w:val="none"/>
          <w:lang w:val="en-US" w:eastAsia="zh-CN"/>
        </w:rPr>
        <w:t>项目实施过程中各项合同其内容及要素是否明确、清晰</w:t>
      </w:r>
      <w:r>
        <w:rPr>
          <w:rFonts w:hint="eastAsia" w:ascii="仿宋_GB2312" w:hAnsi="仿宋_GB2312" w:cs="仿宋_GB2312"/>
          <w:highlight w:val="none"/>
          <w:lang w:val="en-US" w:eastAsia="zh-CN"/>
        </w:rPr>
        <w:t>；工程施工单位是否按照合同中的工程施工技术规范与要求等进行施工；工程监理是否按照要求在项目时间管理、质量管理、风险管理方面进行管理；项目是否有规范的验收工作流程保障工程建设各项实施内容的质量，是否对各项验收中发现的问题进行及时整改；项目建设完成后，是否</w:t>
      </w:r>
      <w:r>
        <w:rPr>
          <w:rFonts w:hint="eastAsia" w:cs="仿宋_GB2312"/>
          <w:highlight w:val="none"/>
          <w:lang w:val="en-US" w:eastAsia="zh-CN"/>
        </w:rPr>
        <w:t>进行项目资产移交手续</w:t>
      </w:r>
      <w:r>
        <w:rPr>
          <w:rFonts w:hint="eastAsia" w:ascii="仿宋_GB2312" w:hAnsi="仿宋_GB2312" w:cs="仿宋_GB2312"/>
          <w:highlight w:val="none"/>
          <w:lang w:val="en-US" w:eastAsia="zh-CN"/>
        </w:rPr>
        <w:t>；档案管理情况</w:t>
      </w:r>
      <w:r>
        <w:rPr>
          <w:rFonts w:hint="eastAsia" w:ascii="仿宋_GB2312" w:hAnsi="仿宋_GB2312" w:eastAsia="仿宋_GB2312" w:cs="仿宋_GB2312"/>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highlight w:val="none"/>
        </w:rPr>
      </w:pPr>
      <w:r>
        <w:rPr>
          <w:rFonts w:hint="eastAsia" w:ascii="仿宋_GB2312" w:hAnsi="仿宋_GB2312" w:eastAsia="仿宋_GB2312" w:cs="仿宋_GB2312"/>
          <w:b/>
          <w:bCs/>
          <w:highlight w:val="none"/>
          <w:lang w:val="en-US" w:eastAsia="zh-CN"/>
        </w:rPr>
        <w:t>5</w:t>
      </w:r>
      <w:r>
        <w:rPr>
          <w:rFonts w:hint="eastAsia" w:ascii="仿宋_GB2312" w:hAnsi="仿宋_GB2312" w:eastAsia="仿宋_GB2312" w:cs="仿宋_GB2312"/>
          <w:b/>
          <w:bCs/>
          <w:highlight w:val="none"/>
        </w:rPr>
        <w:t>.资金管理情况。</w:t>
      </w:r>
      <w:r>
        <w:rPr>
          <w:rFonts w:hint="eastAsia" w:ascii="仿宋_GB2312" w:hAnsi="仿宋_GB2312" w:eastAsia="仿宋_GB2312" w:cs="仿宋_GB2312"/>
          <w:highlight w:val="none"/>
        </w:rPr>
        <w:t>权重</w:t>
      </w:r>
      <w:r>
        <w:rPr>
          <w:rFonts w:hint="eastAsia" w:ascii="仿宋_GB2312" w:hAnsi="仿宋_GB2312" w:eastAsia="仿宋_GB2312" w:cs="仿宋_GB2312"/>
          <w:highlight w:val="none"/>
          <w:lang w:eastAsia="zh-CN"/>
        </w:rPr>
        <w:t>分值为</w:t>
      </w:r>
      <w:r>
        <w:rPr>
          <w:rFonts w:hint="eastAsia" w:ascii="Times New Roman" w:hAnsi="Times New Roman" w:eastAsia="仿宋_GB2312" w:cs="Times New Roman"/>
          <w:bCs/>
          <w:color w:val="auto"/>
          <w:sz w:val="32"/>
          <w:szCs w:val="32"/>
          <w:lang w:val="en-US" w:eastAsia="zh-CN"/>
        </w:rPr>
        <w:t>8分</w:t>
      </w:r>
      <w:r>
        <w:rPr>
          <w:rFonts w:hint="eastAsia" w:ascii="仿宋_GB2312" w:hAnsi="仿宋_GB2312" w:eastAsia="仿宋_GB2312" w:cs="仿宋_GB2312"/>
          <w:highlight w:val="none"/>
          <w:lang w:val="en-US" w:eastAsia="zh-CN"/>
        </w:rPr>
        <w:t>，</w:t>
      </w:r>
      <w:r>
        <w:rPr>
          <w:rFonts w:hint="eastAsia" w:ascii="仿宋_GB2312" w:hAnsi="仿宋_GB2312" w:eastAsia="仿宋_GB2312" w:cs="仿宋_GB2312"/>
          <w:highlight w:val="none"/>
        </w:rPr>
        <w:t>主要</w:t>
      </w:r>
      <w:r>
        <w:rPr>
          <w:rFonts w:hint="eastAsia" w:ascii="仿宋_GB2312" w:hAnsi="仿宋_GB2312" w:cs="仿宋_GB2312"/>
          <w:highlight w:val="none"/>
          <w:lang w:eastAsia="zh-CN"/>
        </w:rPr>
        <w:t>评价资金支出是否按照项目实施工作进度和合同要求及时有序的支付；资金使用是否符合相关的财务管理制度规定；会计核算资料是否真实、完整、规范</w:t>
      </w:r>
      <w:r>
        <w:rPr>
          <w:rFonts w:hint="eastAsia" w:ascii="仿宋_GB2312" w:hAnsi="仿宋_GB2312" w:eastAsia="仿宋_GB2312" w:cs="仿宋_GB2312"/>
          <w:highlight w:val="none"/>
        </w:rPr>
        <w:t>以及资金的监管是否到位。</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highlight w:val="none"/>
          <w:lang w:val="zh-CN"/>
        </w:rPr>
      </w:pPr>
      <w:r>
        <w:rPr>
          <w:rFonts w:hint="eastAsia" w:ascii="仿宋_GB2312" w:hAnsi="仿宋_GB2312" w:eastAsia="仿宋_GB2312" w:cs="仿宋_GB2312"/>
          <w:b/>
          <w:bCs/>
          <w:highlight w:val="none"/>
          <w:lang w:val="en-US" w:eastAsia="zh-CN"/>
        </w:rPr>
        <w:t>6</w:t>
      </w:r>
      <w:r>
        <w:rPr>
          <w:rFonts w:hint="eastAsia" w:ascii="仿宋_GB2312" w:hAnsi="仿宋_GB2312" w:eastAsia="仿宋_GB2312" w:cs="仿宋_GB2312"/>
          <w:b/>
          <w:bCs/>
          <w:highlight w:val="none"/>
        </w:rPr>
        <w:t>.产出情况。</w:t>
      </w:r>
      <w:r>
        <w:rPr>
          <w:rFonts w:hint="eastAsia" w:ascii="仿宋_GB2312" w:hAnsi="仿宋_GB2312" w:eastAsia="仿宋_GB2312" w:cs="仿宋_GB2312"/>
          <w:highlight w:val="none"/>
        </w:rPr>
        <w:t>权重</w:t>
      </w:r>
      <w:r>
        <w:rPr>
          <w:rFonts w:hint="eastAsia" w:ascii="仿宋_GB2312" w:hAnsi="仿宋_GB2312" w:eastAsia="仿宋_GB2312" w:cs="仿宋_GB2312"/>
          <w:highlight w:val="none"/>
          <w:lang w:eastAsia="zh-CN"/>
        </w:rPr>
        <w:t>分值为</w:t>
      </w:r>
      <w:r>
        <w:rPr>
          <w:rFonts w:hint="eastAsia" w:ascii="Times New Roman" w:hAnsi="Times New Roman" w:eastAsia="仿宋_GB2312" w:cs="Times New Roman"/>
          <w:bCs/>
          <w:color w:val="auto"/>
          <w:sz w:val="32"/>
          <w:szCs w:val="32"/>
          <w:lang w:val="en-US" w:eastAsia="zh-CN"/>
        </w:rPr>
        <w:t>27分</w:t>
      </w:r>
      <w:r>
        <w:rPr>
          <w:rFonts w:hint="eastAsia" w:ascii="仿宋_GB2312" w:hAnsi="仿宋_GB2312" w:eastAsia="仿宋_GB2312" w:cs="仿宋_GB2312"/>
          <w:highlight w:val="none"/>
          <w:lang w:val="en-US" w:eastAsia="zh-CN"/>
        </w:rPr>
        <w:t>，</w:t>
      </w:r>
      <w:r>
        <w:rPr>
          <w:rFonts w:hint="eastAsia" w:ascii="仿宋_GB2312" w:hAnsi="仿宋_GB2312" w:eastAsia="仿宋_GB2312" w:cs="仿宋_GB2312"/>
          <w:highlight w:val="none"/>
          <w:lang w:val="zh-CN"/>
        </w:rPr>
        <w:t>主要</w:t>
      </w:r>
      <w:r>
        <w:rPr>
          <w:rFonts w:hint="eastAsia" w:ascii="仿宋_GB2312" w:hAnsi="仿宋_GB2312" w:cs="仿宋_GB2312"/>
          <w:highlight w:val="none"/>
          <w:lang w:val="zh-CN"/>
        </w:rPr>
        <w:t>评价</w:t>
      </w:r>
      <w:r>
        <w:rPr>
          <w:rFonts w:hint="eastAsia" w:cs="仿宋_GB2312"/>
          <w:highlight w:val="none"/>
          <w:lang w:val="en-US" w:eastAsia="zh-CN"/>
        </w:rPr>
        <w:t>前营街幼儿园</w:t>
      </w:r>
      <w:r>
        <w:rPr>
          <w:rFonts w:hint="eastAsia" w:ascii="仿宋_GB2312" w:hAnsi="仿宋_GB2312" w:cs="仿宋_GB2312"/>
          <w:highlight w:val="none"/>
          <w:lang w:val="zh-CN"/>
        </w:rPr>
        <w:t>建设内容是否按照实施方案、相关要求、规定保质保量完成工程建设工作，工程完工、验收竣工决算是否及时；成本节约情况。</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highlight w:val="none"/>
          <w:lang w:val="en-US" w:eastAsia="zh-CN"/>
        </w:rPr>
        <w:t>7</w:t>
      </w:r>
      <w:r>
        <w:rPr>
          <w:rFonts w:hint="eastAsia" w:ascii="仿宋_GB2312" w:hAnsi="仿宋_GB2312" w:eastAsia="仿宋_GB2312" w:cs="仿宋_GB2312"/>
          <w:b/>
          <w:bCs/>
          <w:highlight w:val="none"/>
        </w:rPr>
        <w:t>.效益情况。</w:t>
      </w:r>
      <w:r>
        <w:rPr>
          <w:rFonts w:hint="eastAsia" w:ascii="仿宋_GB2312" w:hAnsi="仿宋_GB2312" w:eastAsia="仿宋_GB2312" w:cs="仿宋_GB2312"/>
          <w:highlight w:val="none"/>
        </w:rPr>
        <w:t>权重</w:t>
      </w:r>
      <w:r>
        <w:rPr>
          <w:rFonts w:hint="eastAsia" w:ascii="仿宋_GB2312" w:hAnsi="仿宋_GB2312" w:eastAsia="仿宋_GB2312" w:cs="仿宋_GB2312"/>
          <w:highlight w:val="none"/>
          <w:lang w:eastAsia="zh-CN"/>
        </w:rPr>
        <w:t>分值为</w:t>
      </w:r>
      <w:r>
        <w:rPr>
          <w:rFonts w:hint="eastAsia" w:ascii="Times New Roman" w:hAnsi="Times New Roman" w:eastAsia="仿宋_GB2312" w:cs="Times New Roman"/>
          <w:bCs/>
          <w:color w:val="auto"/>
          <w:sz w:val="32"/>
          <w:szCs w:val="32"/>
          <w:lang w:val="en-US" w:eastAsia="zh-CN"/>
        </w:rPr>
        <w:t>39分，</w:t>
      </w:r>
      <w:r>
        <w:rPr>
          <w:rFonts w:hint="eastAsia" w:ascii="仿宋_GB2312" w:hAnsi="仿宋_GB2312" w:eastAsia="仿宋_GB2312" w:cs="仿宋_GB2312"/>
          <w:highlight w:val="none"/>
        </w:rPr>
        <w:t>主要</w:t>
      </w:r>
      <w:r>
        <w:rPr>
          <w:rFonts w:hint="eastAsia" w:ascii="仿宋_GB2312" w:hAnsi="仿宋_GB2312" w:cs="仿宋_GB2312"/>
          <w:highlight w:val="none"/>
          <w:lang w:eastAsia="zh-CN"/>
        </w:rPr>
        <w:t>评价项目工程建设完工投入运营后，对</w:t>
      </w:r>
      <w:r>
        <w:rPr>
          <w:rFonts w:hint="eastAsia" w:cs="仿宋_GB2312"/>
          <w:highlight w:val="none"/>
          <w:lang w:val="en-US" w:eastAsia="zh-CN"/>
        </w:rPr>
        <w:t>节约保教费支出</w:t>
      </w:r>
      <w:r>
        <w:rPr>
          <w:rFonts w:hint="eastAsia" w:ascii="仿宋_GB2312" w:hAnsi="仿宋_GB2312" w:cs="仿宋_GB2312"/>
          <w:highlight w:val="none"/>
          <w:lang w:val="en-US" w:eastAsia="zh-CN"/>
        </w:rPr>
        <w:t>产生的经济效益；对改善幼儿入园难</w:t>
      </w:r>
      <w:r>
        <w:rPr>
          <w:rFonts w:hint="eastAsia" w:cs="仿宋_GB2312"/>
          <w:highlight w:val="none"/>
          <w:lang w:val="en-US" w:eastAsia="zh-CN"/>
        </w:rPr>
        <w:t>、</w:t>
      </w:r>
      <w:r>
        <w:rPr>
          <w:rFonts w:hint="eastAsia" w:ascii="仿宋_GB2312" w:hAnsi="仿宋_GB2312" w:cs="仿宋_GB2312"/>
          <w:highlight w:val="none"/>
          <w:lang w:val="en-US" w:eastAsia="zh-CN"/>
        </w:rPr>
        <w:t>改善城中区幼儿园教育环境</w:t>
      </w:r>
      <w:r>
        <w:rPr>
          <w:rFonts w:hint="eastAsia" w:cs="仿宋_GB2312"/>
          <w:highlight w:val="none"/>
          <w:lang w:val="en-US" w:eastAsia="zh-CN"/>
        </w:rPr>
        <w:t>、</w:t>
      </w:r>
      <w:r>
        <w:rPr>
          <w:rFonts w:hint="eastAsia" w:ascii="仿宋_GB2312" w:hAnsi="仿宋_GB2312" w:cs="仿宋_GB2312"/>
          <w:highlight w:val="none"/>
          <w:lang w:val="en-US" w:eastAsia="zh-CN"/>
        </w:rPr>
        <w:t>提升学前教育水平产生</w:t>
      </w:r>
      <w:r>
        <w:rPr>
          <w:rFonts w:hint="eastAsia" w:ascii="仿宋_GB2312" w:hAnsi="仿宋_GB2312" w:cs="仿宋_GB2312"/>
          <w:highlight w:val="none"/>
          <w:lang w:eastAsia="zh-CN"/>
        </w:rPr>
        <w:t>的社会效益情况；对扩大城中区学前教育资源</w:t>
      </w:r>
      <w:r>
        <w:rPr>
          <w:rFonts w:hint="eastAsia" w:cs="仿宋_GB2312"/>
          <w:highlight w:val="none"/>
          <w:lang w:eastAsia="zh-CN"/>
        </w:rPr>
        <w:t>、</w:t>
      </w:r>
      <w:r>
        <w:rPr>
          <w:rFonts w:hint="eastAsia" w:ascii="仿宋_GB2312" w:hAnsi="仿宋_GB2312" w:cs="仿宋_GB2312"/>
          <w:highlight w:val="none"/>
          <w:lang w:eastAsia="zh-CN"/>
        </w:rPr>
        <w:t>完善学前教育体系</w:t>
      </w:r>
      <w:r>
        <w:rPr>
          <w:rFonts w:hint="eastAsia" w:cs="仿宋_GB2312"/>
          <w:highlight w:val="none"/>
          <w:lang w:eastAsia="zh-CN"/>
        </w:rPr>
        <w:t>、</w:t>
      </w:r>
      <w:r>
        <w:rPr>
          <w:rFonts w:hint="eastAsia" w:ascii="仿宋_GB2312" w:hAnsi="仿宋_GB2312" w:cs="仿宋_GB2312"/>
          <w:highlight w:val="none"/>
          <w:lang w:eastAsia="zh-CN"/>
        </w:rPr>
        <w:t>推动学前教育事业发展等方面产生的可持续影响情况；</w:t>
      </w:r>
      <w:r>
        <w:rPr>
          <w:rFonts w:hint="eastAsia" w:cs="仿宋_GB2312"/>
          <w:highlight w:val="none"/>
          <w:lang w:val="en-US" w:eastAsia="zh-CN"/>
        </w:rPr>
        <w:t>教师及社会公众</w:t>
      </w:r>
      <w:r>
        <w:rPr>
          <w:rFonts w:hint="eastAsia" w:ascii="仿宋_GB2312" w:hAnsi="仿宋_GB2312" w:cs="仿宋_GB2312"/>
          <w:highlight w:val="none"/>
          <w:lang w:eastAsia="zh-CN"/>
        </w:rPr>
        <w:t>对工程</w:t>
      </w:r>
      <w:r>
        <w:rPr>
          <w:rFonts w:hint="eastAsia" w:cs="仿宋_GB2312"/>
          <w:highlight w:val="none"/>
          <w:lang w:val="en-US" w:eastAsia="zh-CN"/>
        </w:rPr>
        <w:t>建设和投入使用</w:t>
      </w:r>
      <w:r>
        <w:rPr>
          <w:rFonts w:hint="eastAsia" w:ascii="仿宋_GB2312" w:hAnsi="仿宋_GB2312" w:cs="仿宋_GB2312"/>
          <w:highlight w:val="none"/>
          <w:lang w:eastAsia="zh-CN"/>
        </w:rPr>
        <w:t>整体满意度及认可度</w:t>
      </w:r>
      <w:r>
        <w:rPr>
          <w:rFonts w:hint="eastAsia" w:ascii="仿宋_GB2312" w:hAnsi="仿宋_GB2312" w:eastAsia="仿宋_GB2312" w:cs="仿宋_GB2312"/>
          <w:highlight w:val="none"/>
        </w:rPr>
        <w:t>。</w:t>
      </w:r>
    </w:p>
    <w:p>
      <w:pPr>
        <w:keepNext w:val="0"/>
        <w:keepLines w:val="0"/>
        <w:pageBreakBefore w:val="0"/>
        <w:widowControl w:val="0"/>
        <w:kinsoku/>
        <w:wordWrap/>
        <w:overflowPunct/>
        <w:topLinePunct w:val="0"/>
        <w:bidi w:val="0"/>
        <w:adjustRightInd w:val="0"/>
        <w:snapToGrid w:val="0"/>
        <w:spacing w:line="576" w:lineRule="exact"/>
        <w:ind w:left="0" w:leftChars="0" w:firstLine="643"/>
        <w:textAlignment w:val="auto"/>
        <w:outlineLvl w:val="1"/>
        <w:rPr>
          <w:rFonts w:hint="eastAsia" w:cs="Times New Roman"/>
          <w:color w:val="0000FF"/>
          <w:lang w:val="en-US" w:eastAsia="zh-CN"/>
        </w:rPr>
      </w:pPr>
      <w:bookmarkStart w:id="1247" w:name="_Toc3657"/>
      <w:bookmarkStart w:id="1248" w:name="_Toc27560"/>
      <w:bookmarkStart w:id="1249" w:name="_Toc7358"/>
      <w:bookmarkStart w:id="1250" w:name="_Toc2215"/>
      <w:r>
        <w:rPr>
          <w:rFonts w:hint="eastAsia" w:ascii="楷体_GB2312" w:hAnsi="楷体_GB2312" w:eastAsia="楷体_GB2312" w:cs="楷体_GB2312"/>
          <w:b/>
          <w:bCs/>
          <w:szCs w:val="32"/>
          <w:lang w:val="zh-CN"/>
        </w:rPr>
        <w:t>（六）评价人员组成</w:t>
      </w:r>
      <w:bookmarkEnd w:id="1247"/>
      <w:bookmarkEnd w:id="1248"/>
      <w:bookmarkEnd w:id="1249"/>
      <w:bookmarkEnd w:id="1250"/>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Ansi="Calibri" w:cs="黑体"/>
          <w:bCs/>
          <w:szCs w:val="32"/>
        </w:rPr>
      </w:pPr>
      <w:r>
        <w:rPr>
          <w:rFonts w:hint="eastAsia" w:hAnsi="Calibri" w:cs="黑体"/>
          <w:bCs/>
          <w:szCs w:val="32"/>
        </w:rPr>
        <w:t>为加强对绩效评价工作的组织和管理，绩效评价机构根据此次工作需求，成立此次项目绩效评价工作组，负责项目绩效评价的组织协调、调研访谈及报告撰写等工作。在具体工作开展过程中，</w:t>
      </w:r>
      <w:r>
        <w:rPr>
          <w:rFonts w:hint="eastAsia" w:hAnsi="Calibri" w:cs="黑体"/>
          <w:bCs/>
          <w:szCs w:val="32"/>
          <w:lang w:val="en-US" w:eastAsia="zh-CN"/>
        </w:rPr>
        <w:t>绩效评价工作组</w:t>
      </w:r>
      <w:r>
        <w:rPr>
          <w:rFonts w:hint="eastAsia" w:hAnsi="Calibri" w:cs="黑体"/>
          <w:bCs/>
          <w:szCs w:val="32"/>
        </w:rPr>
        <w:t>的构成将采取“</w:t>
      </w:r>
      <w:r>
        <w:rPr>
          <w:rFonts w:hint="eastAsia" w:hAnsi="Calibri" w:cs="黑体"/>
          <w:bCs/>
          <w:szCs w:val="32"/>
          <w:lang w:eastAsia="zh-CN"/>
        </w:rPr>
        <w:t>主评人</w:t>
      </w:r>
      <w:r>
        <w:rPr>
          <w:rFonts w:hint="eastAsia" w:hAnsi="Calibri" w:cs="黑体"/>
          <w:bCs/>
          <w:szCs w:val="32"/>
          <w:lang w:val="en-US" w:eastAsia="zh-CN"/>
        </w:rPr>
        <w:t>+</w:t>
      </w:r>
      <w:r>
        <w:rPr>
          <w:rFonts w:hint="eastAsia" w:hAnsi="Calibri" w:cs="黑体"/>
          <w:bCs/>
          <w:szCs w:val="32"/>
        </w:rPr>
        <w:t>项目经理+项目助理”的模式。具体人员组成如下：</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Ansi="Calibri" w:cs="黑体"/>
          <w:bCs/>
        </w:rPr>
      </w:pPr>
      <w:r>
        <w:rPr>
          <w:rFonts w:hint="eastAsia" w:hAnsi="Calibri" w:cs="黑体"/>
          <w:b/>
          <w:lang w:eastAsia="zh-CN"/>
        </w:rPr>
        <w:t>主评人</w:t>
      </w:r>
      <w:r>
        <w:rPr>
          <w:rFonts w:hint="eastAsia" w:hAnsi="Calibri" w:cs="黑体"/>
          <w:b/>
        </w:rPr>
        <w:t>：</w:t>
      </w:r>
      <w:r>
        <w:rPr>
          <w:rFonts w:hint="eastAsia" w:hAnsi="Calibri" w:cs="黑体"/>
          <w:bCs/>
        </w:rPr>
        <w:t>为项目绩效评价的总负责人，统筹绩效评价整体工作。</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hAnsi="Calibri" w:cs="黑体"/>
          <w:bCs/>
          <w:lang w:eastAsia="zh-CN"/>
        </w:rPr>
      </w:pPr>
      <w:r>
        <w:rPr>
          <w:rFonts w:hint="eastAsia" w:hAnsi="Calibri" w:cs="黑体"/>
          <w:b/>
          <w:lang w:val="en-US" w:eastAsia="zh-CN"/>
        </w:rPr>
        <w:t>项目经理：</w:t>
      </w:r>
      <w:r>
        <w:rPr>
          <w:rFonts w:hint="eastAsia" w:hAnsi="Calibri" w:cs="黑体"/>
          <w:bCs/>
          <w:lang w:val="en-US" w:eastAsia="zh-CN"/>
        </w:rPr>
        <w:t>主要负责绩</w:t>
      </w:r>
      <w:r>
        <w:rPr>
          <w:rFonts w:hint="eastAsia" w:hAnsi="Calibri" w:cs="黑体"/>
          <w:bCs/>
        </w:rPr>
        <w:t>效评价前期资料的准备、现场核查工作的安排、</w:t>
      </w:r>
      <w:r>
        <w:rPr>
          <w:rFonts w:hint="eastAsia" w:hAnsi="Calibri" w:cs="黑体"/>
          <w:bCs/>
          <w:lang w:val="en-US" w:eastAsia="zh-CN"/>
        </w:rPr>
        <w:t>调研项目对接、资料查阅汇总</w:t>
      </w:r>
      <w:r>
        <w:rPr>
          <w:rFonts w:hint="eastAsia" w:hAnsi="Calibri" w:cs="黑体"/>
          <w:bCs/>
        </w:rPr>
        <w:t>、数据分析及报告撰写等工作</w:t>
      </w:r>
      <w:r>
        <w:rPr>
          <w:rFonts w:hint="eastAsia" w:hAnsi="Calibri" w:cs="黑体"/>
          <w:bCs/>
          <w:lang w:eastAsia="zh-CN"/>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hAnsi="Calibri" w:cs="黑体"/>
          <w:bCs/>
          <w:lang w:eastAsia="zh-CN"/>
        </w:rPr>
      </w:pPr>
      <w:r>
        <w:rPr>
          <w:rFonts w:hint="eastAsia" w:hAnsi="Calibri" w:cs="黑体"/>
          <w:b/>
        </w:rPr>
        <w:t>项目助理：</w:t>
      </w:r>
      <w:r>
        <w:rPr>
          <w:rFonts w:hint="eastAsia" w:hAnsi="Calibri" w:cs="黑体"/>
          <w:bCs/>
        </w:rPr>
        <w:t>负责辅助项目经理</w:t>
      </w:r>
      <w:r>
        <w:rPr>
          <w:rFonts w:hint="eastAsia" w:hAnsi="Calibri" w:cs="黑体"/>
          <w:bCs/>
          <w:lang w:val="en-US" w:eastAsia="zh-CN"/>
        </w:rPr>
        <w:t>和主评人</w:t>
      </w:r>
      <w:r>
        <w:rPr>
          <w:rFonts w:hint="eastAsia" w:hAnsi="Calibri" w:cs="黑体"/>
          <w:bCs/>
        </w:rPr>
        <w:t>的工作，帮助收集</w:t>
      </w:r>
      <w:r>
        <w:rPr>
          <w:rFonts w:hint="eastAsia" w:hAnsi="Calibri" w:cs="黑体"/>
          <w:bCs/>
          <w:lang w:eastAsia="zh-CN"/>
        </w:rPr>
        <w:t>核查资料、</w:t>
      </w:r>
      <w:r>
        <w:rPr>
          <w:rFonts w:hint="eastAsia" w:hAnsi="Calibri" w:cs="黑体"/>
          <w:bCs/>
        </w:rPr>
        <w:t>现场问卷的发放</w:t>
      </w:r>
      <w:r>
        <w:rPr>
          <w:rFonts w:hint="eastAsia" w:hAnsi="Calibri" w:cs="黑体"/>
          <w:bCs/>
          <w:lang w:eastAsia="zh-CN"/>
        </w:rPr>
        <w:t>、访谈以及拍照取证</w:t>
      </w:r>
      <w:r>
        <w:rPr>
          <w:rFonts w:hint="eastAsia" w:hAnsi="Calibri" w:cs="黑体"/>
          <w:bCs/>
        </w:rPr>
        <w:t>等基础性工作。</w:t>
      </w:r>
      <w:r>
        <w:rPr>
          <w:rFonts w:hint="eastAsia" w:hAnsi="Calibri" w:cs="黑体"/>
          <w:bCs/>
          <w:lang w:eastAsia="zh-CN"/>
        </w:rPr>
        <w:t>同时，负责项目组人员衣食住行、保障项目组人员在外期间的安全</w:t>
      </w:r>
      <w:r>
        <w:rPr>
          <w:rFonts w:hint="eastAsia" w:hAnsi="Calibri" w:cs="黑体"/>
          <w:bCs/>
          <w:lang w:val="en-US" w:eastAsia="zh-CN"/>
        </w:rPr>
        <w:t>等。</w:t>
      </w:r>
      <w:r>
        <w:rPr>
          <w:rFonts w:hint="eastAsia" w:hAnsi="Calibri" w:cs="黑体"/>
          <w:bCs/>
        </w:rPr>
        <w:t>具体人员的安排如下</w:t>
      </w:r>
      <w:r>
        <w:rPr>
          <w:rFonts w:hint="eastAsia" w:hAnsi="Calibri" w:cs="黑体"/>
          <w:bCs/>
          <w:lang w:eastAsia="zh-CN"/>
        </w:rPr>
        <w:t>：</w:t>
      </w:r>
    </w:p>
    <w:p>
      <w:pPr>
        <w:pageBreakBefore w:val="0"/>
        <w:overflowPunct/>
        <w:topLinePunct w:val="0"/>
        <w:bidi w:val="0"/>
        <w:spacing w:line="576" w:lineRule="exact"/>
        <w:ind w:left="0" w:leftChars="0" w:firstLine="0" w:firstLineChars="0"/>
        <w:jc w:val="center"/>
        <w:rPr>
          <w:rFonts w:hint="eastAsia" w:ascii="宋体" w:hAnsi="宋体" w:eastAsia="宋体" w:cs="宋体"/>
          <w:b/>
          <w:sz w:val="28"/>
          <w:szCs w:val="28"/>
        </w:rPr>
      </w:pPr>
      <w:r>
        <w:rPr>
          <w:rFonts w:hint="eastAsia" w:ascii="宋体" w:hAnsi="宋体" w:eastAsia="宋体" w:cs="宋体"/>
          <w:b/>
          <w:sz w:val="28"/>
          <w:szCs w:val="28"/>
          <w:lang w:val="en-US" w:eastAsia="zh-CN"/>
        </w:rPr>
        <w:t>西宁市城中区前营街幼儿园建设项目</w:t>
      </w:r>
      <w:r>
        <w:rPr>
          <w:rFonts w:hint="eastAsia" w:ascii="宋体" w:hAnsi="宋体" w:eastAsia="宋体" w:cs="宋体"/>
          <w:b/>
          <w:sz w:val="28"/>
          <w:szCs w:val="28"/>
          <w:lang w:eastAsia="zh-CN"/>
        </w:rPr>
        <w:t>绩效评价工作组</w:t>
      </w:r>
      <w:r>
        <w:rPr>
          <w:rFonts w:hint="eastAsia" w:ascii="宋体" w:hAnsi="宋体" w:eastAsia="宋体" w:cs="宋体"/>
          <w:b/>
          <w:sz w:val="28"/>
          <w:szCs w:val="28"/>
        </w:rPr>
        <w:t>人员安排</w:t>
      </w:r>
    </w:p>
    <w:tbl>
      <w:tblPr>
        <w:tblStyle w:val="14"/>
        <w:tblW w:w="48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924"/>
        <w:gridCol w:w="1631"/>
        <w:gridCol w:w="3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1" w:type="pct"/>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姓名</w:t>
            </w:r>
          </w:p>
        </w:tc>
        <w:tc>
          <w:tcPr>
            <w:tcW w:w="1091"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职称</w:t>
            </w:r>
          </w:p>
        </w:tc>
        <w:tc>
          <w:tcPr>
            <w:tcW w:w="925"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b/>
                <w:kern w:val="2"/>
                <w:sz w:val="24"/>
                <w:szCs w:val="24"/>
                <w:highlight w:val="none"/>
                <w:lang w:val="en-US" w:eastAsia="zh-CN" w:bidi="ar-SA"/>
              </w:rPr>
            </w:pPr>
            <w:r>
              <w:rPr>
                <w:rFonts w:hint="eastAsia" w:ascii="宋体" w:hAnsi="宋体" w:eastAsia="宋体" w:cs="宋体"/>
                <w:b/>
                <w:sz w:val="24"/>
                <w:szCs w:val="24"/>
                <w:highlight w:val="none"/>
                <w:lang w:eastAsia="zh-CN"/>
              </w:rPr>
              <w:t>职责</w:t>
            </w:r>
          </w:p>
        </w:tc>
        <w:tc>
          <w:tcPr>
            <w:tcW w:w="2202" w:type="pct"/>
            <w:vAlign w:val="center"/>
          </w:tcPr>
          <w:p>
            <w:pPr>
              <w:pageBreakBefore w:val="0"/>
              <w:overflowPunct/>
              <w:topLinePunct w:val="0"/>
              <w:bidi w:val="0"/>
              <w:adjustRightInd w:val="0"/>
              <w:snapToGrid w:val="0"/>
              <w:spacing w:line="576" w:lineRule="exact"/>
              <w:ind w:left="0" w:leftChars="0" w:firstLine="0" w:firstLineChars="0"/>
              <w:jc w:val="center"/>
              <w:rPr>
                <w:rFonts w:ascii="宋体" w:hAnsi="宋体" w:eastAsia="宋体" w:cs="宋体"/>
                <w:b/>
                <w:sz w:val="24"/>
                <w:szCs w:val="24"/>
                <w:highlight w:val="none"/>
              </w:rPr>
            </w:pPr>
            <w:r>
              <w:rPr>
                <w:rFonts w:hint="eastAsia" w:ascii="宋体" w:hAnsi="宋体" w:eastAsia="宋体" w:cs="宋体"/>
                <w:b/>
                <w:sz w:val="24"/>
                <w:szCs w:val="24"/>
                <w:highlight w:val="none"/>
              </w:rPr>
              <w:t>工作内容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81" w:type="pct"/>
            <w:shd w:val="clear" w:color="auto" w:fill="auto"/>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王守成</w:t>
            </w:r>
          </w:p>
        </w:tc>
        <w:tc>
          <w:tcPr>
            <w:tcW w:w="1091" w:type="pct"/>
            <w:shd w:val="clear" w:color="auto" w:fill="auto"/>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中级会计师</w:t>
            </w:r>
          </w:p>
        </w:tc>
        <w:tc>
          <w:tcPr>
            <w:tcW w:w="925" w:type="pct"/>
            <w:shd w:val="clear" w:color="auto" w:fill="auto"/>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主评人</w:t>
            </w:r>
          </w:p>
        </w:tc>
        <w:tc>
          <w:tcPr>
            <w:tcW w:w="2202" w:type="pct"/>
            <w:shd w:val="clear" w:color="auto" w:fill="auto"/>
            <w:vAlign w:val="center"/>
          </w:tcPr>
          <w:p>
            <w:pPr>
              <w:pageBreakBefore w:val="0"/>
              <w:overflowPunct/>
              <w:topLinePunct w:val="0"/>
              <w:bidi w:val="0"/>
              <w:adjustRightInd w:val="0"/>
              <w:snapToGrid w:val="0"/>
              <w:spacing w:line="576" w:lineRule="exact"/>
              <w:ind w:left="0" w:leftChars="0" w:firstLine="0" w:firstLineChars="0"/>
              <w:jc w:val="both"/>
              <w:rPr>
                <w:rFonts w:ascii="宋体" w:hAnsi="宋体" w:eastAsia="宋体" w:cs="宋体"/>
                <w:b/>
                <w:sz w:val="24"/>
                <w:szCs w:val="24"/>
                <w:highlight w:val="none"/>
              </w:rPr>
            </w:pPr>
            <w:r>
              <w:rPr>
                <w:rFonts w:hint="eastAsia" w:ascii="宋体" w:hAnsi="宋体" w:eastAsia="宋体" w:cs="宋体"/>
                <w:kern w:val="2"/>
                <w:sz w:val="24"/>
                <w:szCs w:val="24"/>
                <w:highlight w:val="none"/>
                <w:lang w:val="en-US" w:eastAsia="zh-CN" w:bidi="ar-SA"/>
              </w:rPr>
              <w:t>统筹绩效评价整体工作。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pct"/>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高瑞</w:t>
            </w:r>
          </w:p>
        </w:tc>
        <w:tc>
          <w:tcPr>
            <w:tcW w:w="1091"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中级</w:t>
            </w:r>
            <w:r>
              <w:rPr>
                <w:rFonts w:hint="eastAsia" w:ascii="宋体" w:hAnsi="宋体" w:eastAsia="宋体" w:cs="宋体"/>
                <w:sz w:val="24"/>
                <w:szCs w:val="24"/>
                <w:highlight w:val="none"/>
                <w:lang w:val="en-US" w:eastAsia="zh-CN"/>
              </w:rPr>
              <w:t>经济师</w:t>
            </w:r>
          </w:p>
        </w:tc>
        <w:tc>
          <w:tcPr>
            <w:tcW w:w="925"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eastAsia="zh-CN"/>
              </w:rPr>
              <w:t>项目经理</w:t>
            </w:r>
          </w:p>
        </w:tc>
        <w:tc>
          <w:tcPr>
            <w:tcW w:w="2202" w:type="pct"/>
            <w:vAlign w:val="center"/>
          </w:tcPr>
          <w:p>
            <w:pPr>
              <w:pageBreakBefore w:val="0"/>
              <w:overflowPunct/>
              <w:topLinePunct w:val="0"/>
              <w:bidi w:val="0"/>
              <w:adjustRightInd w:val="0"/>
              <w:snapToGrid w:val="0"/>
              <w:spacing w:line="576" w:lineRule="exact"/>
              <w:ind w:left="0" w:leftChars="0" w:firstLine="0" w:firstLineChars="0"/>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总体负责实地调研项目对接、查阅项目资料（包括项目和资金）总体负责对项目实施情况的核查调研、对项目助理发现的问题建议进行判断确认并进行汇总</w:t>
            </w:r>
            <w:r>
              <w:rPr>
                <w:rFonts w:hint="eastAsia" w:ascii="宋体" w:hAnsi="宋体" w:eastAsia="宋体" w:cs="宋体"/>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pct"/>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马志芳</w:t>
            </w:r>
          </w:p>
        </w:tc>
        <w:tc>
          <w:tcPr>
            <w:tcW w:w="1091" w:type="pct"/>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925"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项目助理</w:t>
            </w:r>
          </w:p>
        </w:tc>
        <w:tc>
          <w:tcPr>
            <w:tcW w:w="2202" w:type="pct"/>
            <w:vAlign w:val="center"/>
          </w:tcPr>
          <w:p>
            <w:pPr>
              <w:pageBreakBefore w:val="0"/>
              <w:overflowPunct/>
              <w:topLinePunct w:val="0"/>
              <w:bidi w:val="0"/>
              <w:adjustRightInd w:val="0"/>
              <w:snapToGrid w:val="0"/>
              <w:spacing w:line="576" w:lineRule="exact"/>
              <w:ind w:left="0" w:leftChars="0" w:firstLine="0" w:firstLineChars="0"/>
              <w:jc w:val="both"/>
              <w:rPr>
                <w:rFonts w:ascii="宋体" w:hAnsi="宋体" w:eastAsia="宋体" w:cs="宋体"/>
                <w:b/>
                <w:sz w:val="24"/>
                <w:szCs w:val="24"/>
                <w:highlight w:val="none"/>
              </w:rPr>
            </w:pPr>
            <w:r>
              <w:rPr>
                <w:rFonts w:hint="eastAsia" w:ascii="宋体" w:hAnsi="宋体" w:eastAsia="宋体" w:cs="宋体"/>
                <w:sz w:val="24"/>
                <w:szCs w:val="24"/>
                <w:highlight w:val="none"/>
              </w:rPr>
              <w:t>协助调研负责人开展项目实施文件的查阅，按照项目资料清单确认全部资料已查看到位，填写项目基本情况汇总表并交由</w:t>
            </w:r>
            <w:r>
              <w:rPr>
                <w:rFonts w:hint="eastAsia" w:ascii="宋体" w:hAnsi="宋体" w:eastAsia="宋体" w:cs="宋体"/>
                <w:sz w:val="24"/>
                <w:szCs w:val="24"/>
                <w:highlight w:val="none"/>
                <w:lang w:eastAsia="zh-CN"/>
              </w:rPr>
              <w:t>项目经理</w:t>
            </w:r>
            <w:r>
              <w:rPr>
                <w:rFonts w:hint="eastAsia" w:ascii="宋体" w:hAnsi="宋体" w:eastAsia="宋体" w:cs="宋体"/>
                <w:sz w:val="24"/>
                <w:szCs w:val="24"/>
                <w:highlight w:val="none"/>
              </w:rPr>
              <w:t>确认</w:t>
            </w:r>
            <w:r>
              <w:rPr>
                <w:rFonts w:hint="eastAsia" w:ascii="宋体" w:hAnsi="宋体" w:eastAsia="宋体" w:cs="宋体"/>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pct"/>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师琼</w:t>
            </w:r>
          </w:p>
        </w:tc>
        <w:tc>
          <w:tcPr>
            <w:tcW w:w="1091"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初级会计师</w:t>
            </w:r>
          </w:p>
        </w:tc>
        <w:tc>
          <w:tcPr>
            <w:tcW w:w="925"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项目助理</w:t>
            </w:r>
          </w:p>
        </w:tc>
        <w:tc>
          <w:tcPr>
            <w:tcW w:w="2202" w:type="pct"/>
            <w:vAlign w:val="center"/>
          </w:tcPr>
          <w:p>
            <w:pPr>
              <w:pageBreakBefore w:val="0"/>
              <w:overflowPunct/>
              <w:topLinePunct w:val="0"/>
              <w:bidi w:val="0"/>
              <w:adjustRightInd w:val="0"/>
              <w:snapToGrid w:val="0"/>
              <w:spacing w:line="576" w:lineRule="exact"/>
              <w:ind w:left="0" w:leftChars="0" w:firstLine="0" w:firstLineChars="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协助</w:t>
            </w:r>
            <w:r>
              <w:rPr>
                <w:rFonts w:hint="eastAsia" w:ascii="宋体" w:hAnsi="宋体" w:eastAsia="宋体" w:cs="宋体"/>
                <w:sz w:val="24"/>
                <w:szCs w:val="24"/>
                <w:highlight w:val="none"/>
                <w:lang w:eastAsia="zh-CN"/>
              </w:rPr>
              <w:t>项目经理</w:t>
            </w:r>
            <w:r>
              <w:rPr>
                <w:rFonts w:hint="eastAsia" w:ascii="宋体" w:hAnsi="宋体" w:eastAsia="宋体" w:cs="宋体"/>
                <w:sz w:val="24"/>
                <w:szCs w:val="24"/>
                <w:highlight w:val="none"/>
              </w:rPr>
              <w:t>查看项目资金相关资料包括资金下达文件、核对资金使用数、会计账簿、项目明细账等；协助</w:t>
            </w:r>
            <w:r>
              <w:rPr>
                <w:rFonts w:hint="eastAsia" w:ascii="宋体" w:hAnsi="宋体" w:eastAsia="宋体" w:cs="宋体"/>
                <w:sz w:val="24"/>
                <w:szCs w:val="24"/>
                <w:highlight w:val="none"/>
                <w:lang w:eastAsia="zh-CN"/>
              </w:rPr>
              <w:t>项目经理</w:t>
            </w:r>
            <w:r>
              <w:rPr>
                <w:rFonts w:hint="eastAsia" w:ascii="宋体" w:hAnsi="宋体" w:eastAsia="宋体" w:cs="宋体"/>
                <w:sz w:val="24"/>
                <w:szCs w:val="24"/>
                <w:highlight w:val="none"/>
              </w:rPr>
              <w:t>对所收集的数据资料进行整理分析。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1"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魏巧玲</w:t>
            </w:r>
          </w:p>
        </w:tc>
        <w:tc>
          <w:tcPr>
            <w:tcW w:w="1091"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中级经济师</w:t>
            </w:r>
          </w:p>
        </w:tc>
        <w:tc>
          <w:tcPr>
            <w:tcW w:w="925"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eastAsia="zh-CN"/>
              </w:rPr>
              <w:t>质控人员</w:t>
            </w:r>
          </w:p>
        </w:tc>
        <w:tc>
          <w:tcPr>
            <w:tcW w:w="2202" w:type="pct"/>
            <w:vAlign w:val="center"/>
          </w:tcPr>
          <w:p>
            <w:pPr>
              <w:pageBreakBefore w:val="0"/>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sz w:val="24"/>
                <w:szCs w:val="24"/>
                <w:highlight w:val="none"/>
                <w:lang w:val="en-US" w:eastAsia="zh-CN"/>
              </w:rPr>
              <w:t>负责项目报告的质量控制，包括项目实施方案、指标体系、绩效评价报告等工作的审核及质量把控。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81"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吴雪洁</w:t>
            </w:r>
          </w:p>
        </w:tc>
        <w:tc>
          <w:tcPr>
            <w:tcW w:w="1091" w:type="pct"/>
            <w:vAlign w:val="center"/>
          </w:tcPr>
          <w:p>
            <w:pPr>
              <w:pageBreakBefore w:val="0"/>
              <w:overflowPunct/>
              <w:topLinePunct w:val="0"/>
              <w:bidi w:val="0"/>
              <w:adjustRightInd w:val="0"/>
              <w:snapToGrid w:val="0"/>
              <w:spacing w:line="576" w:lineRule="exact"/>
              <w:ind w:left="0" w:leftChars="0" w:firstLine="0" w:firstLine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初级会计师</w:t>
            </w:r>
          </w:p>
        </w:tc>
        <w:tc>
          <w:tcPr>
            <w:tcW w:w="925" w:type="pct"/>
            <w:vAlign w:val="center"/>
          </w:tcPr>
          <w:p>
            <w:pPr>
              <w:pageBreakBefore w:val="0"/>
              <w:overflowPunct/>
              <w:topLinePunct w:val="0"/>
              <w:bidi w:val="0"/>
              <w:adjustRightInd w:val="0"/>
              <w:snapToGrid w:val="0"/>
              <w:spacing w:line="576" w:lineRule="exact"/>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eastAsia="zh-CN"/>
              </w:rPr>
              <w:t>质控人员</w:t>
            </w:r>
          </w:p>
        </w:tc>
        <w:tc>
          <w:tcPr>
            <w:tcW w:w="2202" w:type="pct"/>
            <w:vAlign w:val="center"/>
          </w:tcPr>
          <w:p>
            <w:pPr>
              <w:pageBreakBefore w:val="0"/>
              <w:kinsoku/>
              <w:wordWrap/>
              <w:overflowPunct/>
              <w:topLinePunct w:val="0"/>
              <w:autoSpaceDE/>
              <w:autoSpaceDN/>
              <w:bidi w:val="0"/>
              <w:adjustRightInd w:val="0"/>
              <w:snapToGrid w:val="0"/>
              <w:spacing w:line="576" w:lineRule="exact"/>
              <w:ind w:left="0" w:leftChars="0" w:firstLine="0" w:firstLineChars="0"/>
              <w:jc w:val="both"/>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负责项目报告的质量控制，包括项目实施方案、指标体系、绩效评价报告等工作的审核及质量把控。</w:t>
            </w:r>
          </w:p>
        </w:tc>
      </w:tr>
    </w:tbl>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outlineLvl w:val="1"/>
        <w:rPr>
          <w:rFonts w:hint="eastAsia" w:ascii="楷体_GB2312" w:hAnsi="楷体_GB2312" w:eastAsia="楷体_GB2312" w:cs="楷体_GB2312"/>
          <w:b/>
          <w:bCs/>
          <w:color w:val="auto"/>
          <w:szCs w:val="32"/>
          <w:lang w:val="zh-CN"/>
        </w:rPr>
      </w:pPr>
      <w:bookmarkStart w:id="1251" w:name="_Toc26767"/>
      <w:bookmarkStart w:id="1252" w:name="_Toc5720"/>
      <w:bookmarkStart w:id="1253" w:name="_Toc15300"/>
      <w:bookmarkStart w:id="1254" w:name="_Toc19922"/>
      <w:r>
        <w:rPr>
          <w:rFonts w:hint="eastAsia" w:ascii="楷体_GB2312" w:hAnsi="楷体_GB2312" w:eastAsia="楷体_GB2312" w:cs="楷体_GB2312"/>
          <w:b/>
          <w:bCs/>
          <w:color w:val="auto"/>
          <w:szCs w:val="32"/>
          <w:lang w:val="zh-CN"/>
        </w:rPr>
        <w:t>（七）绩效评价工作过程</w:t>
      </w:r>
      <w:bookmarkEnd w:id="1251"/>
      <w:bookmarkEnd w:id="1252"/>
      <w:bookmarkEnd w:id="1253"/>
      <w:bookmarkEnd w:id="1254"/>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eastAsia" w:ascii="仿宋_GB2312" w:hAnsi="仿宋_GB2312" w:eastAsia="仿宋_GB2312" w:cs="仿宋_GB2312"/>
          <w:b/>
          <w:bCs/>
          <w:color w:val="auto"/>
          <w:kern w:val="2"/>
          <w:sz w:val="32"/>
          <w:szCs w:val="32"/>
          <w:highlight w:val="none"/>
          <w:lang w:val="en-US" w:eastAsia="zh-CN" w:bidi="ar-SA"/>
        </w:rPr>
      </w:pPr>
      <w:bookmarkStart w:id="1255" w:name="_Toc22335"/>
      <w:bookmarkStart w:id="1256" w:name="_Toc32350"/>
      <w:r>
        <w:rPr>
          <w:rFonts w:hint="eastAsia" w:ascii="仿宋_GB2312" w:hAnsi="仿宋_GB2312" w:eastAsia="仿宋_GB2312" w:cs="仿宋_GB2312"/>
          <w:b/>
          <w:bCs/>
          <w:color w:val="auto"/>
          <w:kern w:val="2"/>
          <w:sz w:val="32"/>
          <w:szCs w:val="32"/>
          <w:highlight w:val="none"/>
          <w:lang w:val="en-US" w:eastAsia="zh-CN" w:bidi="ar-SA"/>
        </w:rPr>
        <w:t>1.项目前期准备</w:t>
      </w:r>
      <w:bookmarkEnd w:id="1255"/>
      <w:bookmarkEnd w:id="1256"/>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eastAsia="仿宋_GB2312" w:cs="Times New Roman"/>
          <w:bCs/>
          <w:color w:val="auto"/>
          <w:sz w:val="32"/>
          <w:szCs w:val="32"/>
          <w:highlight w:val="none"/>
          <w:lang w:val="en-US" w:eastAsia="zh-CN"/>
        </w:rPr>
      </w:pPr>
      <w:r>
        <w:rPr>
          <w:rFonts w:hint="eastAsia" w:ascii="Times New Roman" w:hAnsi="Times New Roman" w:eastAsia="仿宋_GB2312" w:cs="Times New Roman"/>
          <w:bCs/>
          <w:color w:val="auto"/>
          <w:sz w:val="32"/>
          <w:szCs w:val="32"/>
          <w:lang w:val="en-US" w:eastAsia="zh-CN"/>
        </w:rPr>
        <w:t>10月26日至11月24日</w:t>
      </w:r>
      <w:r>
        <w:rPr>
          <w:rFonts w:hint="eastAsia" w:cs="仿宋_GB2312"/>
          <w:b w:val="0"/>
          <w:bCs w:val="0"/>
          <w:color w:val="auto"/>
          <w:sz w:val="32"/>
          <w:szCs w:val="32"/>
          <w:highlight w:val="none"/>
          <w:lang w:val="en-US" w:eastAsia="zh-CN"/>
        </w:rPr>
        <w:t>，项目绩效评价工作组由于疫情影响重点开展项目绩效评价非现场工作。</w:t>
      </w:r>
      <w:r>
        <w:rPr>
          <w:rFonts w:hint="eastAsia" w:cs="仿宋_GB2312"/>
          <w:b/>
          <w:bCs/>
          <w:color w:val="auto"/>
          <w:sz w:val="32"/>
          <w:szCs w:val="32"/>
          <w:highlight w:val="none"/>
          <w:lang w:val="en-US" w:eastAsia="zh-CN"/>
        </w:rPr>
        <w:t>一是</w:t>
      </w:r>
      <w:r>
        <w:rPr>
          <w:rFonts w:hint="eastAsia" w:ascii="仿宋_GB2312" w:eastAsia="仿宋_GB2312" w:cs="Times New Roman"/>
          <w:bCs/>
          <w:color w:val="auto"/>
          <w:sz w:val="32"/>
          <w:szCs w:val="32"/>
          <w:highlight w:val="none"/>
        </w:rPr>
        <w:t>在与委托方及项目主管单位充分沟通的基础</w:t>
      </w:r>
      <w:r>
        <w:rPr>
          <w:rFonts w:hint="eastAsia" w:cs="Times New Roman"/>
          <w:bCs/>
          <w:color w:val="auto"/>
          <w:sz w:val="32"/>
          <w:szCs w:val="32"/>
          <w:highlight w:val="none"/>
          <w:lang w:val="en-US" w:eastAsia="zh-CN"/>
        </w:rPr>
        <w:t>后</w:t>
      </w:r>
      <w:r>
        <w:rPr>
          <w:rFonts w:hint="eastAsia" w:ascii="仿宋_GB2312" w:eastAsia="仿宋_GB2312" w:cs="Times New Roman"/>
          <w:bCs/>
          <w:color w:val="auto"/>
          <w:sz w:val="32"/>
          <w:szCs w:val="32"/>
          <w:highlight w:val="none"/>
        </w:rPr>
        <w:t>，结合</w:t>
      </w:r>
      <w:r>
        <w:rPr>
          <w:rFonts w:hint="eastAsia" w:cs="Times New Roman"/>
          <w:bCs/>
          <w:color w:val="auto"/>
          <w:sz w:val="32"/>
          <w:szCs w:val="32"/>
          <w:highlight w:val="none"/>
          <w:lang w:eastAsia="zh-CN"/>
        </w:rPr>
        <w:t>收集的基础资料</w:t>
      </w:r>
      <w:r>
        <w:rPr>
          <w:rFonts w:hint="eastAsia" w:ascii="仿宋_GB2312" w:eastAsia="仿宋_GB2312" w:cs="Times New Roman"/>
          <w:bCs/>
          <w:color w:val="auto"/>
          <w:sz w:val="32"/>
          <w:szCs w:val="32"/>
          <w:highlight w:val="none"/>
        </w:rPr>
        <w:t>，</w:t>
      </w:r>
      <w:r>
        <w:rPr>
          <w:rFonts w:hint="eastAsia" w:cs="Times New Roman"/>
          <w:bCs/>
          <w:color w:val="auto"/>
          <w:sz w:val="32"/>
          <w:szCs w:val="32"/>
          <w:highlight w:val="none"/>
          <w:lang w:eastAsia="zh-CN"/>
        </w:rPr>
        <w:t>制定包括符合项目特性的</w:t>
      </w:r>
      <w:r>
        <w:rPr>
          <w:rFonts w:hint="eastAsia" w:ascii="仿宋_GB2312" w:eastAsia="仿宋_GB2312" w:cs="Times New Roman"/>
          <w:bCs/>
          <w:color w:val="auto"/>
          <w:sz w:val="32"/>
          <w:szCs w:val="32"/>
          <w:highlight w:val="none"/>
        </w:rPr>
        <w:t>绩效评价指标体系</w:t>
      </w:r>
      <w:r>
        <w:rPr>
          <w:rFonts w:hint="eastAsia" w:cs="Times New Roman"/>
          <w:bCs/>
          <w:color w:val="auto"/>
          <w:sz w:val="32"/>
          <w:szCs w:val="32"/>
          <w:highlight w:val="none"/>
          <w:lang w:eastAsia="zh-CN"/>
        </w:rPr>
        <w:t>、调查问卷、资料清单、工作底稿以及工作流程的绩效评价实施方案</w:t>
      </w:r>
      <w:r>
        <w:rPr>
          <w:rFonts w:hint="eastAsia" w:ascii="仿宋_GB2312" w:eastAsia="仿宋_GB2312" w:cs="Times New Roman"/>
          <w:bCs/>
          <w:color w:val="auto"/>
          <w:sz w:val="32"/>
          <w:szCs w:val="32"/>
          <w:highlight w:val="none"/>
        </w:rPr>
        <w:t>。</w:t>
      </w:r>
      <w:r>
        <w:rPr>
          <w:rFonts w:hint="eastAsia" w:cs="Times New Roman"/>
          <w:b/>
          <w:bCs w:val="0"/>
          <w:color w:val="auto"/>
          <w:sz w:val="32"/>
          <w:szCs w:val="32"/>
          <w:highlight w:val="none"/>
          <w:lang w:eastAsia="zh-CN"/>
        </w:rPr>
        <w:t>二是</w:t>
      </w:r>
      <w:r>
        <w:rPr>
          <w:rFonts w:hint="eastAsia" w:ascii="仿宋_GB2312" w:eastAsia="仿宋_GB2312" w:cs="Times New Roman"/>
          <w:bCs/>
          <w:color w:val="auto"/>
          <w:sz w:val="32"/>
          <w:szCs w:val="32"/>
          <w:highlight w:val="none"/>
        </w:rPr>
        <w:t>与</w:t>
      </w:r>
      <w:r>
        <w:rPr>
          <w:rFonts w:hint="eastAsia" w:cs="Times New Roman"/>
          <w:bCs/>
          <w:color w:val="auto"/>
          <w:sz w:val="32"/>
          <w:szCs w:val="32"/>
          <w:highlight w:val="none"/>
          <w:lang w:eastAsia="zh-CN"/>
        </w:rPr>
        <w:t>项目主管单位</w:t>
      </w:r>
      <w:r>
        <w:rPr>
          <w:rFonts w:hint="eastAsia" w:ascii="仿宋_GB2312" w:eastAsia="仿宋_GB2312" w:cs="Times New Roman"/>
          <w:bCs/>
          <w:color w:val="auto"/>
          <w:sz w:val="32"/>
          <w:szCs w:val="32"/>
          <w:highlight w:val="none"/>
        </w:rPr>
        <w:t>对接人员</w:t>
      </w:r>
      <w:r>
        <w:rPr>
          <w:rFonts w:hint="eastAsia" w:cs="Times New Roman"/>
          <w:bCs/>
          <w:color w:val="auto"/>
          <w:sz w:val="32"/>
          <w:szCs w:val="32"/>
          <w:highlight w:val="none"/>
          <w:lang w:eastAsia="zh-CN"/>
        </w:rPr>
        <w:t>进行沟通，</w:t>
      </w:r>
      <w:r>
        <w:rPr>
          <w:rFonts w:hint="eastAsia" w:ascii="仿宋_GB2312" w:eastAsia="仿宋_GB2312" w:cs="Times New Roman"/>
          <w:bCs/>
          <w:color w:val="auto"/>
          <w:sz w:val="32"/>
          <w:szCs w:val="32"/>
          <w:highlight w:val="none"/>
        </w:rPr>
        <w:t>将评价所需文件资料清单</w:t>
      </w:r>
      <w:r>
        <w:rPr>
          <w:rFonts w:hint="eastAsia" w:cs="Times New Roman"/>
          <w:bCs/>
          <w:color w:val="auto"/>
          <w:sz w:val="32"/>
          <w:szCs w:val="32"/>
          <w:highlight w:val="none"/>
          <w:lang w:eastAsia="zh-CN"/>
        </w:rPr>
        <w:t>与</w:t>
      </w:r>
      <w:r>
        <w:rPr>
          <w:rFonts w:hint="eastAsia" w:ascii="仿宋_GB2312" w:eastAsia="仿宋_GB2312" w:cs="Times New Roman"/>
          <w:bCs/>
          <w:color w:val="auto"/>
          <w:sz w:val="32"/>
          <w:szCs w:val="32"/>
          <w:highlight w:val="none"/>
        </w:rPr>
        <w:t>评价工作通知提前发送至相关单位进行准备。</w:t>
      </w:r>
      <w:r>
        <w:rPr>
          <w:rFonts w:hint="eastAsia" w:cs="Times New Roman"/>
          <w:b/>
          <w:bCs w:val="0"/>
          <w:color w:val="auto"/>
          <w:sz w:val="32"/>
          <w:szCs w:val="32"/>
          <w:highlight w:val="none"/>
          <w:lang w:eastAsia="zh-CN"/>
        </w:rPr>
        <w:t>三是</w:t>
      </w:r>
      <w:r>
        <w:rPr>
          <w:rFonts w:hint="eastAsia" w:cs="Times New Roman"/>
          <w:b w:val="0"/>
          <w:bCs/>
          <w:color w:val="auto"/>
          <w:sz w:val="32"/>
          <w:szCs w:val="32"/>
          <w:highlight w:val="none"/>
          <w:lang w:eastAsia="zh-CN"/>
        </w:rPr>
        <w:t>就收集的文件资料进行核查整理，并将未能提供的佐证材料电话沟通及时补充资料。</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eastAsia" w:ascii="仿宋_GB2312" w:hAnsi="仿宋_GB2312" w:eastAsia="仿宋_GB2312" w:cs="仿宋_GB2312"/>
          <w:b/>
          <w:bCs/>
          <w:color w:val="auto"/>
          <w:kern w:val="2"/>
          <w:sz w:val="32"/>
          <w:szCs w:val="32"/>
          <w:highlight w:val="none"/>
          <w:lang w:val="en-US" w:eastAsia="zh-CN" w:bidi="ar-SA"/>
        </w:rPr>
      </w:pPr>
      <w:bookmarkStart w:id="1257" w:name="_Toc32602"/>
      <w:bookmarkStart w:id="1258" w:name="_Toc22078"/>
      <w:r>
        <w:rPr>
          <w:rFonts w:hint="eastAsia" w:ascii="仿宋_GB2312" w:hAnsi="仿宋_GB2312" w:eastAsia="仿宋_GB2312" w:cs="仿宋_GB2312"/>
          <w:b/>
          <w:bCs/>
          <w:color w:val="auto"/>
          <w:kern w:val="2"/>
          <w:sz w:val="32"/>
          <w:szCs w:val="32"/>
          <w:highlight w:val="none"/>
          <w:lang w:val="en-US" w:eastAsia="zh-CN" w:bidi="ar-SA"/>
        </w:rPr>
        <w:t>2.项目现场工作</w:t>
      </w:r>
      <w:bookmarkEnd w:id="1257"/>
      <w:bookmarkEnd w:id="1258"/>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ascii="Times New Roman" w:hAnsi="Times New Roman" w:eastAsia="仿宋_GB2312" w:cs="Times New Roman"/>
          <w:bCs/>
          <w:color w:val="auto"/>
          <w:sz w:val="32"/>
          <w:szCs w:val="32"/>
          <w:lang w:val="en-US" w:eastAsia="zh-CN"/>
        </w:rPr>
        <w:t>11月24日，</w:t>
      </w:r>
      <w:r>
        <w:rPr>
          <w:rFonts w:hint="eastAsia" w:cs="仿宋_GB2312"/>
          <w:b w:val="0"/>
          <w:bCs w:val="0"/>
          <w:color w:val="auto"/>
          <w:sz w:val="32"/>
          <w:szCs w:val="32"/>
          <w:highlight w:val="none"/>
          <w:lang w:val="en-US" w:eastAsia="zh-CN"/>
        </w:rPr>
        <w:t>项目绩效评价工作组赴城中区教育局开展现场评价工作。</w:t>
      </w:r>
      <w:r>
        <w:rPr>
          <w:rFonts w:hint="eastAsia" w:cs="仿宋_GB2312"/>
          <w:b/>
          <w:bCs/>
          <w:color w:val="auto"/>
          <w:sz w:val="32"/>
          <w:szCs w:val="32"/>
          <w:highlight w:val="none"/>
          <w:lang w:val="en-US" w:eastAsia="zh-CN"/>
        </w:rPr>
        <w:t>一是</w:t>
      </w:r>
      <w:r>
        <w:rPr>
          <w:rFonts w:hint="eastAsia" w:cs="仿宋_GB2312"/>
          <w:b w:val="0"/>
          <w:bCs w:val="0"/>
          <w:color w:val="auto"/>
          <w:sz w:val="32"/>
          <w:szCs w:val="32"/>
          <w:highlight w:val="none"/>
          <w:lang w:val="en-US" w:eastAsia="zh-CN"/>
        </w:rPr>
        <w:t>核查收集项目剩余资料；</w:t>
      </w:r>
      <w:r>
        <w:rPr>
          <w:rFonts w:hint="eastAsia" w:cs="仿宋_GB2312"/>
          <w:b/>
          <w:bCs/>
          <w:color w:val="auto"/>
          <w:sz w:val="32"/>
          <w:szCs w:val="32"/>
          <w:highlight w:val="none"/>
          <w:lang w:val="en-US" w:eastAsia="zh-CN"/>
        </w:rPr>
        <w:t>二是</w:t>
      </w:r>
      <w:r>
        <w:rPr>
          <w:rFonts w:hint="eastAsia" w:cs="仿宋_GB2312"/>
          <w:b w:val="0"/>
          <w:bCs w:val="0"/>
          <w:color w:val="auto"/>
          <w:sz w:val="32"/>
          <w:szCs w:val="32"/>
          <w:highlight w:val="none"/>
          <w:lang w:val="en-US" w:eastAsia="zh-CN"/>
        </w:rPr>
        <w:t>就相关问题与项目负责人深入沟通了解项目实际情况，主要了解建设资金支出情况、幼儿园建设及投入使用情况等；</w:t>
      </w:r>
      <w:r>
        <w:rPr>
          <w:rFonts w:hint="eastAsia" w:cs="仿宋_GB2312"/>
          <w:b/>
          <w:bCs/>
          <w:color w:val="auto"/>
          <w:sz w:val="32"/>
          <w:szCs w:val="32"/>
          <w:highlight w:val="none"/>
          <w:lang w:val="en-US" w:eastAsia="zh-CN"/>
        </w:rPr>
        <w:t>三是</w:t>
      </w:r>
      <w:r>
        <w:rPr>
          <w:rFonts w:hint="eastAsia" w:cs="仿宋_GB2312"/>
          <w:b w:val="0"/>
          <w:bCs w:val="0"/>
          <w:color w:val="auto"/>
          <w:sz w:val="32"/>
          <w:szCs w:val="32"/>
          <w:highlight w:val="none"/>
          <w:lang w:val="en-US" w:eastAsia="zh-CN"/>
        </w:rPr>
        <w:t>因疫情防控要求，考虑以幼儿园儿童安全为主，与城中区教育局协商以电子问卷的形式开展满意度调查，主要了解幼儿园教师和社会公众对西宁市城中区前营街幼儿园建设及投入运营的满意度及认可度。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仿宋_GB2312" w:cs="Times New Roman"/>
          <w:bCs/>
          <w:color w:val="auto"/>
          <w:sz w:val="32"/>
          <w:szCs w:val="32"/>
          <w:lang w:val="en-US" w:eastAsia="zh-CN"/>
        </w:rPr>
      </w:pPr>
      <w:r>
        <w:rPr>
          <w:rFonts w:hint="eastAsia" w:cs="仿宋_GB2312"/>
          <w:color w:val="auto"/>
          <w:szCs w:val="22"/>
          <w:lang w:val="zh-CN"/>
        </w:rPr>
        <w:t>经对回收的电子问卷统计分析，共回收问</w:t>
      </w:r>
      <w:r>
        <w:rPr>
          <w:rFonts w:hint="eastAsia" w:ascii="Times New Roman" w:hAnsi="Times New Roman" w:eastAsia="仿宋_GB2312" w:cs="Times New Roman"/>
          <w:bCs/>
          <w:color w:val="auto"/>
          <w:sz w:val="32"/>
          <w:szCs w:val="32"/>
          <w:lang w:val="zh-CN"/>
        </w:rPr>
        <w:t>卷</w:t>
      </w:r>
      <w:r>
        <w:rPr>
          <w:rFonts w:hint="eastAsia" w:ascii="Times New Roman" w:hAnsi="Times New Roman" w:eastAsia="仿宋_GB2312" w:cs="Times New Roman"/>
          <w:bCs/>
          <w:color w:val="auto"/>
          <w:sz w:val="32"/>
          <w:szCs w:val="32"/>
          <w:lang w:val="en-US" w:eastAsia="zh-CN"/>
        </w:rPr>
        <w:t>377份，其中：62份问卷表示不了解西宁市城中区前营街幼儿园建设项目，315份问卷表示了解西宁市城中区前营街幼儿园建设项目。绩效评价工作组对回收了解项目的315份</w:t>
      </w:r>
      <w:r>
        <w:rPr>
          <w:rFonts w:hint="eastAsia" w:ascii="Times New Roman" w:hAnsi="Times New Roman" w:eastAsia="仿宋_GB2312" w:cs="Times New Roman"/>
          <w:bCs/>
          <w:color w:val="auto"/>
          <w:sz w:val="32"/>
          <w:szCs w:val="32"/>
          <w:lang w:val="zh-CN"/>
        </w:rPr>
        <w:t>有效问卷统计分析，其中：家长问卷</w:t>
      </w:r>
      <w:r>
        <w:rPr>
          <w:rFonts w:hint="eastAsia" w:ascii="Times New Roman" w:hAnsi="Times New Roman" w:eastAsia="仿宋_GB2312" w:cs="Times New Roman"/>
          <w:bCs/>
          <w:color w:val="auto"/>
          <w:sz w:val="32"/>
          <w:szCs w:val="32"/>
          <w:lang w:val="en-US" w:eastAsia="zh-CN"/>
        </w:rPr>
        <w:t>274份，在校教师34份，其他人员7份</w:t>
      </w:r>
      <w:bookmarkStart w:id="1259" w:name="_Hlk86503300"/>
      <w:r>
        <w:rPr>
          <w:rFonts w:hint="eastAsia" w:ascii="Times New Roman" w:hAnsi="Times New Roman" w:eastAsia="仿宋_GB2312" w:cs="Times New Roman"/>
          <w:bCs/>
          <w:color w:val="auto"/>
          <w:sz w:val="32"/>
          <w:szCs w:val="32"/>
          <w:lang w:val="zh-CN"/>
        </w:rPr>
        <w:t>。</w:t>
      </w:r>
      <w:bookmarkEnd w:id="1259"/>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eastAsia" w:ascii="仿宋_GB2312" w:hAnsi="仿宋_GB2312" w:eastAsia="仿宋_GB2312" w:cs="仿宋_GB2312"/>
          <w:b/>
          <w:bCs/>
          <w:color w:val="auto"/>
          <w:kern w:val="2"/>
          <w:sz w:val="32"/>
          <w:szCs w:val="32"/>
          <w:highlight w:val="none"/>
          <w:lang w:val="en-US" w:eastAsia="zh-CN" w:bidi="ar-SA"/>
        </w:rPr>
      </w:pPr>
      <w:bookmarkStart w:id="1260" w:name="_Toc10959"/>
      <w:bookmarkStart w:id="1261" w:name="_Toc5380"/>
      <w:r>
        <w:rPr>
          <w:rFonts w:hint="eastAsia" w:ascii="仿宋_GB2312" w:hAnsi="仿宋_GB2312" w:eastAsia="仿宋_GB2312" w:cs="仿宋_GB2312"/>
          <w:b/>
          <w:bCs/>
          <w:color w:val="auto"/>
          <w:kern w:val="2"/>
          <w:sz w:val="32"/>
          <w:szCs w:val="32"/>
          <w:highlight w:val="none"/>
          <w:lang w:val="en-US" w:eastAsia="zh-CN" w:bidi="ar-SA"/>
        </w:rPr>
        <w:t>3.绩效评价打分</w:t>
      </w:r>
      <w:bookmarkEnd w:id="1260"/>
      <w:bookmarkEnd w:id="1261"/>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ascii="仿宋_GB2312" w:eastAsia="仿宋_GB2312" w:cs="Times New Roman"/>
          <w:bCs/>
          <w:color w:val="auto"/>
          <w:sz w:val="32"/>
          <w:szCs w:val="32"/>
          <w:highlight w:val="none"/>
        </w:rPr>
      </w:pPr>
      <w:r>
        <w:rPr>
          <w:rFonts w:hint="eastAsia" w:cs="仿宋_GB2312"/>
          <w:color w:val="auto"/>
          <w:sz w:val="32"/>
          <w:szCs w:val="32"/>
          <w:highlight w:val="none"/>
          <w:lang w:val="en-US" w:eastAsia="zh-CN"/>
        </w:rPr>
        <w:t>项目</w:t>
      </w:r>
      <w:r>
        <w:rPr>
          <w:rFonts w:hint="eastAsia" w:ascii="仿宋_GB2312" w:hAnsi="仿宋_GB2312" w:eastAsia="仿宋_GB2312" w:cs="仿宋_GB2312"/>
          <w:color w:val="auto"/>
          <w:sz w:val="32"/>
          <w:szCs w:val="32"/>
          <w:highlight w:val="none"/>
          <w:lang w:val="en-US" w:eastAsia="zh-CN"/>
        </w:rPr>
        <w:t>绩效</w:t>
      </w:r>
      <w:r>
        <w:rPr>
          <w:rFonts w:hint="eastAsia" w:ascii="仿宋_GB2312" w:hAnsi="仿宋_GB2312" w:eastAsia="仿宋_GB2312" w:cs="仿宋_GB2312"/>
          <w:color w:val="auto"/>
          <w:sz w:val="32"/>
          <w:szCs w:val="32"/>
          <w:highlight w:val="none"/>
        </w:rPr>
        <w:t>评价</w:t>
      </w:r>
      <w:r>
        <w:rPr>
          <w:rFonts w:hint="eastAsia" w:ascii="仿宋_GB2312" w:hAnsi="仿宋_GB2312" w:eastAsia="仿宋_GB2312" w:cs="仿宋_GB2312"/>
          <w:color w:val="auto"/>
          <w:sz w:val="32"/>
          <w:szCs w:val="32"/>
          <w:highlight w:val="none"/>
          <w:lang w:eastAsia="zh-CN"/>
        </w:rPr>
        <w:t>工</w:t>
      </w:r>
      <w:r>
        <w:rPr>
          <w:rFonts w:hint="eastAsia" w:cs="Times New Roman"/>
          <w:bCs/>
          <w:color w:val="auto"/>
          <w:sz w:val="32"/>
          <w:szCs w:val="32"/>
          <w:highlight w:val="none"/>
          <w:lang w:eastAsia="zh-CN"/>
        </w:rPr>
        <w:t>作组</w:t>
      </w:r>
      <w:r>
        <w:rPr>
          <w:rFonts w:hint="eastAsia" w:ascii="仿宋_GB2312" w:eastAsia="仿宋_GB2312" w:cs="Times New Roman"/>
          <w:bCs/>
          <w:color w:val="auto"/>
          <w:sz w:val="32"/>
          <w:szCs w:val="32"/>
          <w:highlight w:val="none"/>
        </w:rPr>
        <w:t>运用科学的方法对现场评价所收集的数据资料进行整理、汇总、分析。</w:t>
      </w:r>
      <w:r>
        <w:rPr>
          <w:rFonts w:hint="eastAsia" w:ascii="仿宋_GB2312" w:hAnsi="仿宋_GB2312" w:eastAsia="仿宋_GB2312" w:cs="仿宋_GB2312"/>
          <w:color w:val="auto"/>
          <w:sz w:val="32"/>
          <w:szCs w:val="32"/>
          <w:highlight w:val="none"/>
          <w:lang w:bidi="ar"/>
        </w:rPr>
        <w:t>对照绩效评价指标体系，</w:t>
      </w:r>
      <w:r>
        <w:rPr>
          <w:rFonts w:hint="eastAsia" w:ascii="仿宋_GB2312" w:hAnsi="仿宋_GB2312" w:eastAsia="仿宋_GB2312" w:cs="仿宋_GB2312"/>
          <w:color w:val="auto"/>
          <w:sz w:val="32"/>
          <w:szCs w:val="32"/>
          <w:highlight w:val="none"/>
        </w:rPr>
        <w:t>以佐证材料为支撑，根据考核标准和实际情况逐项评价打分，做到实事求是，客观公正。</w:t>
      </w:r>
      <w:r>
        <w:rPr>
          <w:rFonts w:hint="eastAsia" w:ascii="仿宋_GB2312" w:hAnsi="仿宋_GB2312" w:eastAsia="仿宋_GB2312" w:cs="仿宋_GB2312"/>
          <w:color w:val="auto"/>
          <w:sz w:val="32"/>
          <w:szCs w:val="24"/>
          <w:highlight w:val="none"/>
        </w:rPr>
        <w:t>绩效评分采用打分法，总分设置</w:t>
      </w:r>
      <w:r>
        <w:rPr>
          <w:rFonts w:hint="eastAsia" w:ascii="Times New Roman" w:hAnsi="Times New Roman" w:eastAsia="仿宋_GB2312" w:cs="Times New Roman"/>
          <w:bCs/>
          <w:color w:val="auto"/>
          <w:sz w:val="32"/>
          <w:szCs w:val="32"/>
        </w:rPr>
        <w:t>100分；按照评分标准，达到要求的指标记标准分满分，不能达到标准的根据评分标准打分，得分最低为0分</w:t>
      </w:r>
      <w:r>
        <w:rPr>
          <w:rFonts w:hint="eastAsia" w:ascii="仿宋_GB2312" w:hAnsi="仿宋_GB2312" w:eastAsia="仿宋_GB2312" w:cs="仿宋_GB2312"/>
          <w:color w:val="auto"/>
          <w:sz w:val="32"/>
          <w:szCs w:val="24"/>
          <w:highlight w:val="none"/>
        </w:rPr>
        <w:t>。在此基础上，</w:t>
      </w:r>
      <w:r>
        <w:rPr>
          <w:rFonts w:hint="eastAsia" w:ascii="仿宋_GB2312" w:eastAsia="仿宋_GB2312" w:cs="Times New Roman"/>
          <w:bCs/>
          <w:color w:val="auto"/>
          <w:sz w:val="32"/>
          <w:szCs w:val="32"/>
          <w:highlight w:val="none"/>
        </w:rPr>
        <w:t>对项目总体情况进行</w:t>
      </w:r>
      <w:r>
        <w:rPr>
          <w:rFonts w:hint="eastAsia" w:cs="Times New Roman"/>
          <w:bCs/>
          <w:color w:val="auto"/>
          <w:sz w:val="32"/>
          <w:szCs w:val="32"/>
          <w:highlight w:val="none"/>
          <w:lang w:val="en-US" w:eastAsia="zh-CN"/>
        </w:rPr>
        <w:t>了</w:t>
      </w:r>
      <w:r>
        <w:rPr>
          <w:rFonts w:hint="eastAsia" w:ascii="仿宋_GB2312" w:eastAsia="仿宋_GB2312" w:cs="Times New Roman"/>
          <w:bCs/>
          <w:color w:val="auto"/>
          <w:sz w:val="32"/>
          <w:szCs w:val="32"/>
          <w:highlight w:val="none"/>
        </w:rPr>
        <w:t>综合评价，形成绩效评价结果。</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eastAsia" w:ascii="仿宋_GB2312" w:hAnsi="仿宋_GB2312" w:eastAsia="仿宋_GB2312" w:cs="仿宋_GB2312"/>
          <w:b/>
          <w:bCs/>
          <w:color w:val="auto"/>
          <w:kern w:val="2"/>
          <w:sz w:val="32"/>
          <w:szCs w:val="32"/>
          <w:highlight w:val="none"/>
          <w:lang w:val="en-US" w:eastAsia="zh-CN" w:bidi="ar-SA"/>
        </w:rPr>
      </w:pPr>
      <w:bookmarkStart w:id="1262" w:name="_Toc17104"/>
      <w:bookmarkStart w:id="1263" w:name="_Toc15541"/>
      <w:r>
        <w:rPr>
          <w:rFonts w:hint="eastAsia" w:ascii="仿宋_GB2312" w:hAnsi="仿宋_GB2312" w:eastAsia="仿宋_GB2312" w:cs="仿宋_GB2312"/>
          <w:b/>
          <w:bCs/>
          <w:color w:val="auto"/>
          <w:kern w:val="2"/>
          <w:sz w:val="32"/>
          <w:szCs w:val="32"/>
          <w:highlight w:val="none"/>
          <w:lang w:val="en-US" w:eastAsia="zh-CN" w:bidi="ar-SA"/>
        </w:rPr>
        <w:t>4.撰写报告</w:t>
      </w:r>
      <w:bookmarkEnd w:id="1262"/>
      <w:bookmarkEnd w:id="1263"/>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rPr>
          <w:rFonts w:ascii="仿宋_GB2312" w:hAnsi="仿宋_GB2312" w:eastAsia="仿宋_GB2312" w:cs="Times New Roman"/>
          <w:bCs/>
          <w:color w:val="auto"/>
          <w:kern w:val="2"/>
          <w:sz w:val="32"/>
          <w:szCs w:val="32"/>
          <w:highlight w:val="none"/>
          <w:lang w:val="en-US" w:eastAsia="zh-CN" w:bidi="ar-SA"/>
        </w:rPr>
      </w:pPr>
      <w:r>
        <w:rPr>
          <w:rFonts w:hint="eastAsia" w:ascii="仿宋_GB2312" w:hAnsi="仿宋_GB2312" w:eastAsia="仿宋_GB2312" w:cs="Times New Roman"/>
          <w:b/>
          <w:color w:val="auto"/>
          <w:kern w:val="2"/>
          <w:sz w:val="32"/>
          <w:szCs w:val="32"/>
          <w:highlight w:val="none"/>
          <w:lang w:val="en-US" w:eastAsia="zh-CN" w:bidi="ar-SA"/>
        </w:rPr>
        <w:t>（1）撰写报告初稿。</w:t>
      </w:r>
      <w:r>
        <w:rPr>
          <w:rFonts w:hint="eastAsia" w:ascii="仿宋_GB2312" w:hAnsi="仿宋_GB2312" w:eastAsia="仿宋_GB2312" w:cs="仿宋_GB2312"/>
          <w:color w:val="auto"/>
          <w:kern w:val="2"/>
          <w:sz w:val="32"/>
          <w:szCs w:val="32"/>
          <w:highlight w:val="none"/>
          <w:lang w:val="en-US" w:eastAsia="zh-CN" w:bidi="ar-SA"/>
        </w:rPr>
        <w:t>按照拟定的报告提纲，以数据为支撑，参考相关文件资料，挈领提纲、突出要点、提炼亮点，分点陈述存在的问题并提出针对性强的建议。在约定的时期内撰写并提交格式规范、内容完整、结论明确的绩效评价报告初稿。</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left"/>
        <w:textAlignment w:val="auto"/>
        <w:rPr>
          <w:rFonts w:hint="eastAsia" w:ascii="仿宋_GB2312" w:hAnsi="仿宋_GB2312" w:eastAsia="仿宋_GB2312" w:cs="Times New Roman"/>
          <w:bCs/>
          <w:color w:val="auto"/>
          <w:kern w:val="2"/>
          <w:sz w:val="32"/>
          <w:szCs w:val="32"/>
          <w:highlight w:val="none"/>
          <w:lang w:val="en-US" w:eastAsia="zh-CN" w:bidi="ar-SA"/>
        </w:rPr>
      </w:pPr>
      <w:r>
        <w:rPr>
          <w:rFonts w:hint="eastAsia" w:ascii="仿宋_GB2312" w:hAnsi="仿宋_GB2312" w:eastAsia="仿宋_GB2312" w:cs="Times New Roman"/>
          <w:b/>
          <w:color w:val="auto"/>
          <w:kern w:val="2"/>
          <w:sz w:val="32"/>
          <w:szCs w:val="32"/>
          <w:highlight w:val="none"/>
          <w:lang w:val="en-US" w:eastAsia="zh-CN" w:bidi="ar-SA"/>
        </w:rPr>
        <w:t>（2）报告内部质控。</w:t>
      </w:r>
      <w:r>
        <w:rPr>
          <w:rFonts w:hint="eastAsia" w:ascii="仿宋_GB2312" w:hAnsi="仿宋_GB2312" w:eastAsia="仿宋_GB2312" w:cs="Times New Roman"/>
          <w:bCs/>
          <w:color w:val="auto"/>
          <w:kern w:val="2"/>
          <w:sz w:val="32"/>
          <w:szCs w:val="32"/>
          <w:highlight w:val="none"/>
          <w:lang w:val="en-US" w:eastAsia="zh-CN" w:bidi="ar-SA"/>
        </w:rPr>
        <w:t>评价报告初稿撰写完毕后，质控部就评价报告的完整性、合理性、充分性、逻辑性等进行公司内部的报告质控审核，修改完善报告初稿。</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cs="仿宋_GB2312"/>
          <w:color w:val="auto"/>
          <w:lang w:val="zh-CN"/>
        </w:rPr>
      </w:pPr>
      <w:r>
        <w:rPr>
          <w:rFonts w:hint="eastAsia" w:cs="Times New Roman"/>
          <w:b/>
          <w:bCs w:val="0"/>
          <w:color w:val="auto"/>
          <w:sz w:val="32"/>
          <w:szCs w:val="32"/>
          <w:highlight w:val="none"/>
          <w:lang w:val="en-US" w:eastAsia="zh-CN"/>
        </w:rPr>
        <w:t>（3）</w:t>
      </w:r>
      <w:r>
        <w:rPr>
          <w:rFonts w:hint="eastAsia" w:hAnsi="Calibri" w:cs="Times New Roman"/>
          <w:b/>
          <w:bCs w:val="0"/>
          <w:color w:val="auto"/>
          <w:szCs w:val="32"/>
        </w:rPr>
        <w:t>征求意见</w:t>
      </w:r>
      <w:r>
        <w:rPr>
          <w:rFonts w:hint="eastAsia" w:hAnsi="Calibri" w:cs="Times New Roman"/>
          <w:b/>
          <w:bCs w:val="0"/>
          <w:color w:val="auto"/>
          <w:szCs w:val="32"/>
          <w:lang w:eastAsia="zh-CN"/>
        </w:rPr>
        <w:t>。</w:t>
      </w:r>
      <w:r>
        <w:rPr>
          <w:rFonts w:hint="eastAsia" w:cs="仿宋_GB2312"/>
          <w:color w:val="auto"/>
          <w:szCs w:val="22"/>
          <w:lang w:val="zh-CN"/>
        </w:rPr>
        <w:t>评价报告初稿撰写完毕后，第三方机构就评价报告的完整性、合理性、充分性、逻辑性等书面征求委托方、项目实施单位的意见建议。</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textAlignment w:val="auto"/>
        <w:rPr>
          <w:rFonts w:cs="仿宋_GB2312"/>
          <w:color w:val="auto"/>
          <w:lang w:val="zh-CN"/>
        </w:rPr>
      </w:pPr>
      <w:r>
        <w:rPr>
          <w:rFonts w:hint="eastAsia" w:hAnsi="Calibri" w:cs="Times New Roman"/>
          <w:b/>
          <w:bCs w:val="0"/>
          <w:color w:val="auto"/>
          <w:szCs w:val="32"/>
        </w:rPr>
        <w:t>（</w:t>
      </w:r>
      <w:r>
        <w:rPr>
          <w:rFonts w:hint="eastAsia" w:hAnsi="Calibri" w:cs="Times New Roman"/>
          <w:b/>
          <w:bCs w:val="0"/>
          <w:color w:val="auto"/>
          <w:szCs w:val="32"/>
          <w:lang w:val="en-US" w:eastAsia="zh-CN"/>
        </w:rPr>
        <w:t>4</w:t>
      </w:r>
      <w:r>
        <w:rPr>
          <w:rFonts w:hint="eastAsia" w:hAnsi="Calibri" w:cs="Times New Roman"/>
          <w:b/>
          <w:bCs w:val="0"/>
          <w:color w:val="auto"/>
          <w:szCs w:val="32"/>
        </w:rPr>
        <w:t>）提交报告终稿</w:t>
      </w:r>
      <w:r>
        <w:rPr>
          <w:rFonts w:hint="eastAsia" w:hAnsi="Calibri" w:cs="Times New Roman"/>
          <w:b/>
          <w:bCs w:val="0"/>
          <w:color w:val="auto"/>
          <w:szCs w:val="32"/>
          <w:lang w:eastAsia="zh-CN"/>
        </w:rPr>
        <w:t>。</w:t>
      </w:r>
      <w:r>
        <w:rPr>
          <w:rFonts w:hint="eastAsia" w:cs="仿宋_GB2312"/>
          <w:color w:val="auto"/>
          <w:szCs w:val="22"/>
          <w:lang w:val="zh-CN"/>
        </w:rPr>
        <w:t>第三方机构对委托方、项目实施单位的反馈意见逐一核实，对评价报告进行修改和完善，在规定时间内将评价报告终稿连同各方反馈意见提交委托方。</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jc w:val="both"/>
        <w:textAlignment w:val="auto"/>
        <w:outlineLvl w:val="2"/>
        <w:rPr>
          <w:rFonts w:hint="eastAsia" w:ascii="仿宋_GB2312" w:hAnsi="仿宋_GB2312" w:eastAsia="仿宋_GB2312" w:cs="仿宋_GB2312"/>
          <w:b/>
          <w:bCs/>
          <w:color w:val="auto"/>
          <w:kern w:val="2"/>
          <w:sz w:val="32"/>
          <w:szCs w:val="32"/>
          <w:highlight w:val="none"/>
          <w:lang w:val="en-US" w:eastAsia="zh-CN" w:bidi="ar-SA"/>
        </w:rPr>
      </w:pPr>
      <w:bookmarkStart w:id="1264" w:name="_Toc23200"/>
      <w:bookmarkStart w:id="1265" w:name="_Toc13317"/>
      <w:r>
        <w:rPr>
          <w:rFonts w:hint="eastAsia" w:ascii="仿宋_GB2312" w:hAnsi="仿宋_GB2312" w:eastAsia="仿宋_GB2312" w:cs="仿宋_GB2312"/>
          <w:b/>
          <w:bCs/>
          <w:color w:val="auto"/>
          <w:kern w:val="2"/>
          <w:sz w:val="32"/>
          <w:szCs w:val="32"/>
          <w:highlight w:val="none"/>
          <w:lang w:val="en-US" w:eastAsia="zh-CN" w:bidi="ar-SA"/>
        </w:rPr>
        <w:t>5.归集评价档案</w:t>
      </w:r>
      <w:bookmarkEnd w:id="1264"/>
      <w:bookmarkEnd w:id="1265"/>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firstLineChars="200"/>
        <w:textAlignment w:val="auto"/>
        <w:rPr>
          <w:rFonts w:cs="Times New Roman"/>
          <w:color w:val="auto"/>
          <w:highlight w:val="none"/>
        </w:rPr>
      </w:pPr>
      <w:r>
        <w:rPr>
          <w:rFonts w:hint="eastAsia" w:cs="Times New Roman"/>
          <w:bCs/>
          <w:color w:val="auto"/>
          <w:sz w:val="32"/>
          <w:szCs w:val="32"/>
          <w:highlight w:val="none"/>
          <w:lang w:eastAsia="zh-CN"/>
        </w:rPr>
        <w:t>绩效评价工作组</w:t>
      </w:r>
      <w:r>
        <w:rPr>
          <w:rFonts w:hint="eastAsia" w:ascii="仿宋_GB2312" w:eastAsia="仿宋_GB2312" w:cs="Times New Roman"/>
          <w:bCs/>
          <w:color w:val="auto"/>
          <w:sz w:val="32"/>
          <w:szCs w:val="32"/>
          <w:highlight w:val="none"/>
        </w:rPr>
        <w:t>按照完整、有序、规范的要求，及时对评价业务资料进行收集、整理、建档工作。归档资料包括但不限于：委托评价协议</w:t>
      </w:r>
      <w:r>
        <w:rPr>
          <w:rFonts w:hint="eastAsia" w:cs="Times New Roman"/>
          <w:bCs/>
          <w:color w:val="auto"/>
          <w:sz w:val="32"/>
          <w:szCs w:val="32"/>
          <w:highlight w:val="none"/>
          <w:lang w:eastAsia="zh-CN"/>
        </w:rPr>
        <w:t>（</w:t>
      </w:r>
      <w:r>
        <w:rPr>
          <w:rFonts w:hint="eastAsia" w:ascii="仿宋_GB2312" w:eastAsia="仿宋_GB2312" w:cs="Times New Roman"/>
          <w:bCs/>
          <w:color w:val="auto"/>
          <w:sz w:val="32"/>
          <w:szCs w:val="32"/>
          <w:highlight w:val="none"/>
        </w:rPr>
        <w:t>合同</w:t>
      </w:r>
      <w:r>
        <w:rPr>
          <w:rFonts w:hint="eastAsia" w:cs="Times New Roman"/>
          <w:bCs/>
          <w:color w:val="auto"/>
          <w:sz w:val="32"/>
          <w:szCs w:val="32"/>
          <w:highlight w:val="none"/>
          <w:lang w:eastAsia="zh-CN"/>
        </w:rPr>
        <w:t>）</w:t>
      </w:r>
      <w:r>
        <w:rPr>
          <w:rFonts w:hint="eastAsia" w:ascii="仿宋_GB2312" w:eastAsia="仿宋_GB2312" w:cs="Times New Roman"/>
          <w:bCs/>
          <w:color w:val="auto"/>
          <w:sz w:val="32"/>
          <w:szCs w:val="32"/>
          <w:highlight w:val="none"/>
        </w:rPr>
        <w:t>、评价项目基本情况和相关文件、评价实施方案、评价指标体系及评分表、基础数据报表、现场核查记录、评价工作底稿及附件、绩效评价报告等。</w:t>
      </w:r>
    </w:p>
    <w:p>
      <w:pPr>
        <w:pageBreakBefore w:val="0"/>
        <w:overflowPunct/>
        <w:topLinePunct w:val="0"/>
        <w:autoSpaceDE w:val="0"/>
        <w:autoSpaceDN w:val="0"/>
        <w:bidi w:val="0"/>
        <w:spacing w:line="576" w:lineRule="exact"/>
        <w:ind w:left="0" w:leftChars="0"/>
        <w:jc w:val="left"/>
        <w:outlineLvl w:val="0"/>
        <w:rPr>
          <w:rFonts w:hint="eastAsia" w:ascii="黑体" w:hAnsi="黑体" w:eastAsia="黑体" w:cs="黑体"/>
          <w:b/>
          <w:bCs/>
          <w:szCs w:val="32"/>
          <w:lang w:val="zh-CN"/>
        </w:rPr>
      </w:pPr>
      <w:bookmarkStart w:id="1266" w:name="_Toc31004"/>
      <w:bookmarkStart w:id="1267" w:name="_Toc18838"/>
      <w:bookmarkStart w:id="1268" w:name="_Toc9958"/>
      <w:bookmarkStart w:id="1269" w:name="_Toc29593"/>
      <w:r>
        <w:rPr>
          <w:rFonts w:hint="eastAsia" w:ascii="黑体" w:hAnsi="黑体" w:eastAsia="黑体" w:cs="黑体"/>
          <w:b/>
          <w:bCs/>
          <w:szCs w:val="32"/>
          <w:lang w:val="zh-CN"/>
        </w:rPr>
        <w:t>四、评价结论及分析</w:t>
      </w:r>
      <w:bookmarkEnd w:id="1266"/>
      <w:bookmarkEnd w:id="1267"/>
      <w:bookmarkEnd w:id="1268"/>
      <w:bookmarkEnd w:id="1269"/>
    </w:p>
    <w:p>
      <w:pPr>
        <w:pageBreakBefore w:val="0"/>
        <w:overflowPunct/>
        <w:topLinePunct w:val="0"/>
        <w:bidi w:val="0"/>
        <w:spacing w:line="576" w:lineRule="exact"/>
        <w:ind w:left="0" w:leftChars="0" w:firstLine="643"/>
        <w:outlineLvl w:val="1"/>
        <w:rPr>
          <w:rFonts w:hint="eastAsia" w:ascii="楷体_GB2312" w:hAnsi="楷体_GB2312" w:eastAsia="楷体_GB2312" w:cs="楷体_GB2312"/>
          <w:b/>
          <w:bCs/>
          <w:szCs w:val="32"/>
          <w:lang w:val="zh-CN"/>
        </w:rPr>
      </w:pPr>
      <w:bookmarkStart w:id="1270" w:name="_Toc15270"/>
      <w:bookmarkStart w:id="1271" w:name="_Toc5977"/>
      <w:bookmarkStart w:id="1272" w:name="_Toc11616"/>
      <w:bookmarkStart w:id="1273" w:name="_Toc12869"/>
      <w:r>
        <w:rPr>
          <w:rFonts w:hint="eastAsia" w:ascii="楷体_GB2312" w:hAnsi="楷体_GB2312" w:eastAsia="楷体_GB2312" w:cs="楷体_GB2312"/>
          <w:b/>
          <w:bCs/>
          <w:szCs w:val="32"/>
          <w:lang w:val="zh-CN"/>
        </w:rPr>
        <w:t>（一）评价评分</w:t>
      </w:r>
      <w:bookmarkEnd w:id="1270"/>
      <w:bookmarkEnd w:id="1271"/>
      <w:bookmarkEnd w:id="1272"/>
      <w:bookmarkEnd w:id="1273"/>
    </w:p>
    <w:p>
      <w:pPr>
        <w:pageBreakBefore w:val="0"/>
        <w:overflowPunct/>
        <w:topLinePunct w:val="0"/>
        <w:bidi w:val="0"/>
        <w:adjustRightInd w:val="0"/>
        <w:snapToGrid w:val="0"/>
        <w:spacing w:line="576" w:lineRule="exact"/>
        <w:ind w:left="0" w:leftChars="0" w:firstLine="0" w:firstLineChars="0"/>
        <w:jc w:val="center"/>
        <w:rPr>
          <w:rFonts w:hint="eastAsia" w:cs="Times New Roman"/>
          <w:lang w:val="zh-CN"/>
        </w:rPr>
      </w:pPr>
      <w:r>
        <w:rPr>
          <w:rFonts w:hint="eastAsia" w:ascii="宋体" w:hAnsi="宋体" w:eastAsia="宋体" w:cs="宋体"/>
          <w:b/>
          <w:bCs/>
          <w:sz w:val="28"/>
          <w:szCs w:val="28"/>
        </w:rPr>
        <w:t>表</w:t>
      </w:r>
      <w:r>
        <w:rPr>
          <w:rFonts w:hint="eastAsia" w:ascii="宋体" w:hAnsi="宋体" w:eastAsia="宋体" w:cs="宋体"/>
          <w:b/>
          <w:bCs/>
          <w:sz w:val="28"/>
          <w:szCs w:val="28"/>
          <w:lang w:val="en-US" w:eastAsia="zh-CN"/>
        </w:rPr>
        <w:t>1西宁市城中区前营街幼儿园建设</w:t>
      </w:r>
      <w:r>
        <w:rPr>
          <w:rFonts w:hint="eastAsia" w:ascii="宋体" w:hAnsi="宋体" w:eastAsia="宋体" w:cs="宋体"/>
          <w:b/>
          <w:bCs/>
          <w:sz w:val="28"/>
          <w:szCs w:val="28"/>
        </w:rPr>
        <w:t>项目绩效评价综合评分表</w:t>
      </w:r>
    </w:p>
    <w:tbl>
      <w:tblPr>
        <w:tblStyle w:val="1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84"/>
        <w:gridCol w:w="1089"/>
        <w:gridCol w:w="1236"/>
        <w:gridCol w:w="1144"/>
        <w:gridCol w:w="2305"/>
        <w:gridCol w:w="1144"/>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7" w:hRule="exact"/>
        </w:trPr>
        <w:tc>
          <w:tcPr>
            <w:tcW w:w="4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一级指标</w:t>
            </w:r>
          </w:p>
        </w:tc>
        <w:tc>
          <w:tcPr>
            <w:tcW w:w="60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分值</w:t>
            </w:r>
          </w:p>
        </w:tc>
        <w:tc>
          <w:tcPr>
            <w:tcW w:w="68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二级指标</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分值</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三级指标</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分值</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决策</w:t>
            </w:r>
          </w:p>
        </w:tc>
        <w:tc>
          <w:tcPr>
            <w:tcW w:w="60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682"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项目决策</w:t>
            </w:r>
          </w:p>
        </w:tc>
        <w:tc>
          <w:tcPr>
            <w:tcW w:w="63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立项依据充分性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项目立项规范性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绩效目标管理</w:t>
            </w:r>
          </w:p>
        </w:tc>
        <w:tc>
          <w:tcPr>
            <w:tcW w:w="63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绩效目标合理性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绩效目标明确性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资金投入</w:t>
            </w:r>
          </w:p>
        </w:tc>
        <w:tc>
          <w:tcPr>
            <w:tcW w:w="63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预算编制合理性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资金到位率</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过程</w:t>
            </w:r>
          </w:p>
        </w:tc>
        <w:tc>
          <w:tcPr>
            <w:tcW w:w="60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682"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项目管理</w:t>
            </w:r>
          </w:p>
        </w:tc>
        <w:tc>
          <w:tcPr>
            <w:tcW w:w="63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管理制度健全性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采购招投标合规性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合同管理完备性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施工管理规范性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工程监理管理规范性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项目验收规范性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移交手续完备性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档案管理完整性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资金管理</w:t>
            </w:r>
          </w:p>
        </w:tc>
        <w:tc>
          <w:tcPr>
            <w:tcW w:w="63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资金支出进度</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资金使用合规性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财务管理规范性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产出</w:t>
            </w:r>
          </w:p>
        </w:tc>
        <w:tc>
          <w:tcPr>
            <w:tcW w:w="60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68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数量</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工程建设内容完工率</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质量</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工程建设合格情况</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时效</w:t>
            </w:r>
          </w:p>
        </w:tc>
        <w:tc>
          <w:tcPr>
            <w:tcW w:w="63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工程完工及时性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竣工验收、决算及时性</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72"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成本节约率</w:t>
            </w:r>
          </w:p>
        </w:tc>
        <w:tc>
          <w:tcPr>
            <w:tcW w:w="63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restart"/>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68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经济效益</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节约保教费支出</w:t>
            </w:r>
          </w:p>
        </w:tc>
        <w:tc>
          <w:tcPr>
            <w:tcW w:w="63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社会效益</w:t>
            </w:r>
          </w:p>
        </w:tc>
        <w:tc>
          <w:tcPr>
            <w:tcW w:w="63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改善幼儿入园难</w:t>
            </w:r>
          </w:p>
        </w:tc>
        <w:tc>
          <w:tcPr>
            <w:tcW w:w="63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改善城中区幼儿园教育设施环境</w:t>
            </w:r>
          </w:p>
        </w:tc>
        <w:tc>
          <w:tcPr>
            <w:tcW w:w="63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提升学前教育水平</w:t>
            </w:r>
          </w:p>
        </w:tc>
        <w:tc>
          <w:tcPr>
            <w:tcW w:w="63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可持续影响</w:t>
            </w:r>
          </w:p>
        </w:tc>
        <w:tc>
          <w:tcPr>
            <w:tcW w:w="63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扩大城中区学前教育资源</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完善学前教育体系</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推动学前教育事业发展</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满意度</w:t>
            </w:r>
          </w:p>
        </w:tc>
        <w:tc>
          <w:tcPr>
            <w:tcW w:w="631"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教师满意度</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01" w:type="pct"/>
            <w:vMerge w:val="continue"/>
            <w:shd w:val="clear" w:color="auto" w:fill="auto"/>
            <w:noWrap/>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82"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631" w:type="pct"/>
            <w:vMerge w:val="continue"/>
            <w:shd w:val="clear" w:color="auto" w:fill="auto"/>
            <w:vAlign w:val="center"/>
          </w:tcPr>
          <w:p>
            <w:pPr>
              <w:keepNext w:val="0"/>
              <w:keepLines w:val="0"/>
              <w:pageBreakBefore w:val="0"/>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2"/>
                <w:szCs w:val="22"/>
                <w:u w:val="none"/>
              </w:rPr>
            </w:pP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社会公众满意度</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48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合计</w:t>
            </w:r>
          </w:p>
        </w:tc>
        <w:tc>
          <w:tcPr>
            <w:tcW w:w="60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100</w:t>
            </w:r>
          </w:p>
        </w:tc>
        <w:tc>
          <w:tcPr>
            <w:tcW w:w="68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100</w:t>
            </w:r>
          </w:p>
        </w:tc>
        <w:tc>
          <w:tcPr>
            <w:tcW w:w="1272"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w:t>
            </w:r>
          </w:p>
        </w:tc>
        <w:tc>
          <w:tcPr>
            <w:tcW w:w="631"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100</w:t>
            </w:r>
          </w:p>
        </w:tc>
        <w:tc>
          <w:tcPr>
            <w:tcW w:w="691"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86.85</w:t>
            </w:r>
          </w:p>
        </w:tc>
      </w:tr>
    </w:tbl>
    <w:p>
      <w:pPr>
        <w:pageBreakBefore w:val="0"/>
        <w:overflowPunct/>
        <w:topLinePunct w:val="0"/>
        <w:bidi w:val="0"/>
        <w:spacing w:line="576" w:lineRule="exact"/>
        <w:ind w:left="0" w:leftChars="0" w:firstLine="643"/>
        <w:outlineLvl w:val="1"/>
        <w:rPr>
          <w:rFonts w:hint="eastAsia" w:ascii="楷体_GB2312" w:hAnsi="楷体_GB2312" w:eastAsia="楷体_GB2312" w:cs="楷体_GB2312"/>
          <w:b/>
          <w:bCs/>
          <w:szCs w:val="32"/>
          <w:lang w:val="zh-CN"/>
        </w:rPr>
      </w:pPr>
      <w:bookmarkStart w:id="1274" w:name="_Toc11421"/>
      <w:bookmarkStart w:id="1275" w:name="_Toc16217"/>
      <w:bookmarkStart w:id="1276" w:name="_Toc18964"/>
      <w:bookmarkStart w:id="1277" w:name="_Toc29752"/>
      <w:bookmarkStart w:id="1278" w:name="_Toc9407"/>
      <w:bookmarkStart w:id="1279" w:name="_Toc23561"/>
      <w:bookmarkStart w:id="1280" w:name="_Toc14336"/>
      <w:r>
        <w:rPr>
          <w:rFonts w:hint="eastAsia" w:ascii="楷体_GB2312" w:hAnsi="楷体_GB2312" w:eastAsia="楷体_GB2312" w:cs="楷体_GB2312"/>
          <w:b/>
          <w:bCs/>
          <w:szCs w:val="32"/>
          <w:lang w:val="zh-CN"/>
        </w:rPr>
        <w:t>（二）</w:t>
      </w:r>
      <w:bookmarkEnd w:id="1274"/>
      <w:bookmarkEnd w:id="1275"/>
      <w:bookmarkEnd w:id="1276"/>
      <w:r>
        <w:rPr>
          <w:rFonts w:hint="eastAsia" w:ascii="楷体_GB2312" w:hAnsi="楷体_GB2312" w:eastAsia="楷体_GB2312" w:cs="楷体_GB2312"/>
          <w:b/>
          <w:bCs/>
          <w:szCs w:val="32"/>
          <w:lang w:val="zh-CN"/>
        </w:rPr>
        <w:t>综合评价情况及评价结论</w:t>
      </w:r>
      <w:bookmarkEnd w:id="1277"/>
      <w:bookmarkEnd w:id="1278"/>
      <w:bookmarkEnd w:id="1279"/>
      <w:bookmarkEnd w:id="1280"/>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outlineLvl w:val="9"/>
        <w:rPr>
          <w:rFonts w:hint="eastAsia" w:cs="Times New Roman"/>
          <w:color w:val="auto"/>
          <w:highlight w:val="none"/>
          <w:lang w:val="en-US" w:eastAsia="zh-CN"/>
        </w:rPr>
      </w:pPr>
      <w:r>
        <w:rPr>
          <w:rFonts w:hint="eastAsia" w:cs="仿宋_GB2312"/>
          <w:color w:val="auto"/>
          <w:szCs w:val="32"/>
          <w:lang w:eastAsia="zh-CN"/>
        </w:rPr>
        <w:t>绩效评价工作组通过核查项目</w:t>
      </w:r>
      <w:r>
        <w:rPr>
          <w:rFonts w:hint="eastAsia" w:cs="仿宋_GB2312"/>
          <w:color w:val="auto"/>
          <w:szCs w:val="32"/>
        </w:rPr>
        <w:t>资料</w:t>
      </w:r>
      <w:r>
        <w:rPr>
          <w:rFonts w:hint="eastAsia" w:cs="仿宋_GB2312"/>
          <w:color w:val="auto"/>
          <w:szCs w:val="32"/>
          <w:lang w:eastAsia="zh-CN"/>
        </w:rPr>
        <w:t>，实地调研、问询答疑</w:t>
      </w:r>
      <w:r>
        <w:rPr>
          <w:rFonts w:hint="eastAsia" w:cs="仿宋_GB2312"/>
          <w:color w:val="auto"/>
          <w:szCs w:val="32"/>
        </w:rPr>
        <w:t>，结合问卷调查</w:t>
      </w:r>
      <w:r>
        <w:rPr>
          <w:rFonts w:hint="eastAsia" w:cs="仿宋_GB2312"/>
          <w:color w:val="auto"/>
          <w:szCs w:val="32"/>
          <w:lang w:eastAsia="zh-CN"/>
        </w:rPr>
        <w:t>及</w:t>
      </w:r>
      <w:r>
        <w:rPr>
          <w:rFonts w:hint="eastAsia" w:cs="仿宋_GB2312"/>
          <w:color w:val="auto"/>
          <w:szCs w:val="32"/>
        </w:rPr>
        <w:t>访谈</w:t>
      </w:r>
      <w:r>
        <w:rPr>
          <w:rFonts w:hint="eastAsia" w:cs="仿宋_GB2312"/>
          <w:color w:val="auto"/>
          <w:szCs w:val="32"/>
          <w:lang w:val="en-US" w:eastAsia="zh-CN"/>
        </w:rPr>
        <w:t>分析结果，严格按</w:t>
      </w:r>
      <w:r>
        <w:rPr>
          <w:rFonts w:hint="eastAsia" w:cs="仿宋_GB2312"/>
          <w:color w:val="auto"/>
          <w:szCs w:val="32"/>
          <w:highlight w:val="none"/>
          <w:lang w:val="en-US" w:eastAsia="zh-CN"/>
        </w:rPr>
        <w:t>照</w:t>
      </w:r>
      <w:r>
        <w:rPr>
          <w:rFonts w:hint="eastAsia" w:cs="Times New Roman"/>
          <w:color w:val="auto"/>
          <w:highlight w:val="none"/>
          <w:lang w:val="en-US" w:eastAsia="zh-CN"/>
        </w:rPr>
        <w:t>项目绩效评价指标体系评分标准</w:t>
      </w:r>
      <w:r>
        <w:rPr>
          <w:rFonts w:hint="eastAsia" w:cs="仿宋_GB2312"/>
          <w:color w:val="auto"/>
          <w:szCs w:val="32"/>
          <w:highlight w:val="none"/>
        </w:rPr>
        <w:t>进行量化打分，综合评价得分为</w:t>
      </w:r>
      <w:r>
        <w:rPr>
          <w:rFonts w:hint="eastAsia" w:cs="Times New Roman"/>
          <w:b/>
          <w:bCs/>
          <w:color w:val="auto"/>
          <w:highlight w:val="none"/>
          <w:lang w:val="en-US" w:eastAsia="zh-CN"/>
        </w:rPr>
        <w:t>86.85分</w:t>
      </w:r>
      <w:r>
        <w:rPr>
          <w:rFonts w:hint="eastAsia" w:cs="Times New Roman"/>
          <w:color w:val="auto"/>
          <w:highlight w:val="none"/>
          <w:lang w:val="en-US" w:eastAsia="zh-CN"/>
        </w:rPr>
        <w:t>，根据《财政部关于印发&lt;项目支出绩效评价管理办法&gt;的通知》（</w:t>
      </w:r>
      <w:r>
        <w:rPr>
          <w:rFonts w:hint="eastAsia" w:ascii="Times New Roman" w:hAnsi="Times New Roman" w:eastAsia="仿宋_GB2312" w:cs="Times New Roman"/>
          <w:bCs/>
          <w:color w:val="auto"/>
          <w:sz w:val="32"/>
          <w:szCs w:val="32"/>
          <w:lang w:val="en-US" w:eastAsia="zh-CN"/>
        </w:rPr>
        <w:t>财预〔2020〕10号）</w:t>
      </w:r>
      <w:r>
        <w:rPr>
          <w:rFonts w:hint="eastAsia" w:cs="Times New Roman"/>
          <w:color w:val="auto"/>
          <w:highlight w:val="none"/>
          <w:lang w:val="en-US" w:eastAsia="zh-CN"/>
        </w:rPr>
        <w:t>规定，绩效评价结果等级为</w:t>
      </w:r>
      <w:r>
        <w:rPr>
          <w:rFonts w:hint="eastAsia" w:cs="Times New Roman"/>
          <w:b/>
          <w:bCs/>
          <w:color w:val="auto"/>
          <w:highlight w:val="none"/>
          <w:lang w:val="en-US" w:eastAsia="zh-CN"/>
        </w:rPr>
        <w:t>：良。</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Times New Roman"/>
          <w:color w:val="0000FF"/>
          <w:highlight w:val="yellow"/>
          <w:lang w:val="en-US" w:eastAsia="zh-CN"/>
        </w:rPr>
      </w:pPr>
      <w:bookmarkStart w:id="1281" w:name="_Toc24837"/>
      <w:r>
        <w:rPr>
          <w:rFonts w:hint="eastAsia" w:cs="仿宋_GB2312"/>
          <w:b/>
          <w:bCs/>
          <w:color w:val="auto"/>
          <w:kern w:val="2"/>
          <w:sz w:val="32"/>
          <w:szCs w:val="24"/>
          <w:highlight w:val="none"/>
          <w:lang w:val="en-US" w:eastAsia="zh-CN" w:bidi="ar-SA"/>
        </w:rPr>
        <w:t>总体认为</w:t>
      </w:r>
      <w:r>
        <w:rPr>
          <w:rFonts w:hint="eastAsia" w:cs="仿宋_GB2312"/>
          <w:color w:val="auto"/>
          <w:kern w:val="2"/>
          <w:sz w:val="32"/>
          <w:szCs w:val="24"/>
          <w:highlight w:val="none"/>
          <w:lang w:val="en-US" w:eastAsia="zh-CN" w:bidi="ar-SA"/>
        </w:rPr>
        <w:t>：</w:t>
      </w:r>
      <w:r>
        <w:rPr>
          <w:rFonts w:hint="eastAsia" w:cs="Times New Roman"/>
          <w:color w:val="auto"/>
          <w:highlight w:val="none"/>
          <w:lang w:val="en-US" w:eastAsia="zh-CN"/>
        </w:rPr>
        <w:t>西宁市城中区前营街幼儿园建设项目立项依据充分、程序规范，项目相关制度健全，项目招投标、合同、管理规范，项目工程计划建设内容按照预期目标已全部完成，资金使用效益显著。西宁市城中区前营街幼儿园的投入运营</w:t>
      </w:r>
      <w:r>
        <w:rPr>
          <w:rFonts w:hint="eastAsia" w:cs="Times New Roman"/>
          <w:color w:val="auto"/>
          <w:lang w:val="en-US" w:eastAsia="zh-CN"/>
        </w:rPr>
        <w:t>切实改善了西宁市城中区学前教育整体规模不足、幼儿园布局不合理的现状，保障了儿童均能就近接受高质量的学前教育，提高了学前教</w:t>
      </w:r>
      <w:r>
        <w:rPr>
          <w:rFonts w:hint="eastAsia" w:cs="Times New Roman"/>
          <w:color w:val="auto"/>
          <w:highlight w:val="none"/>
          <w:lang w:val="en-US" w:eastAsia="zh-CN"/>
        </w:rPr>
        <w:t>育质量和水平，在校教师及家长对项目实施效果的满意度和认可度较高。但仍存在以下问题：</w:t>
      </w:r>
      <w:r>
        <w:rPr>
          <w:rFonts w:hint="eastAsia" w:cs="Times New Roman"/>
          <w:b/>
          <w:bCs/>
          <w:color w:val="auto"/>
          <w:highlight w:val="none"/>
          <w:lang w:val="en-US" w:eastAsia="zh-CN"/>
        </w:rPr>
        <w:t>一是</w:t>
      </w:r>
      <w:r>
        <w:rPr>
          <w:rFonts w:hint="eastAsia" w:cs="Times New Roman"/>
          <w:color w:val="auto"/>
          <w:highlight w:val="none"/>
          <w:lang w:val="en-US" w:eastAsia="zh-CN"/>
        </w:rPr>
        <w:t>绩效指标编制水平不足；</w:t>
      </w:r>
      <w:r>
        <w:rPr>
          <w:rFonts w:hint="eastAsia" w:cs="Times New Roman"/>
          <w:b/>
          <w:bCs/>
          <w:color w:val="auto"/>
          <w:highlight w:val="none"/>
          <w:lang w:val="en-US" w:eastAsia="zh-CN"/>
        </w:rPr>
        <w:t>二是</w:t>
      </w:r>
      <w:r>
        <w:rPr>
          <w:rFonts w:hint="eastAsia" w:cs="Times New Roman"/>
          <w:color w:val="auto"/>
          <w:highlight w:val="none"/>
          <w:lang w:val="en-US" w:eastAsia="zh-CN"/>
        </w:rPr>
        <w:t>存在“边施工边补手续”手续的现象；</w:t>
      </w:r>
      <w:r>
        <w:rPr>
          <w:rFonts w:hint="eastAsia" w:cs="Times New Roman"/>
          <w:b/>
          <w:bCs/>
          <w:color w:val="auto"/>
          <w:highlight w:val="none"/>
          <w:lang w:val="en-US" w:eastAsia="zh-CN"/>
        </w:rPr>
        <w:t>三是</w:t>
      </w:r>
      <w:r>
        <w:rPr>
          <w:rFonts w:hint="eastAsia" w:cs="Times New Roman"/>
          <w:color w:val="auto"/>
          <w:highlight w:val="none"/>
          <w:lang w:val="en-US" w:eastAsia="zh-CN"/>
        </w:rPr>
        <w:t>项目资产交付使用手续尚未办理；</w:t>
      </w:r>
      <w:r>
        <w:rPr>
          <w:rFonts w:hint="eastAsia" w:cs="Times New Roman"/>
          <w:b/>
          <w:bCs/>
          <w:color w:val="auto"/>
          <w:highlight w:val="none"/>
          <w:lang w:val="en-US" w:eastAsia="zh-CN"/>
        </w:rPr>
        <w:t>四是</w:t>
      </w:r>
      <w:r>
        <w:rPr>
          <w:rFonts w:hint="eastAsia" w:cs="Times New Roman"/>
          <w:color w:val="auto"/>
          <w:highlight w:val="none"/>
          <w:lang w:val="en-US" w:eastAsia="zh-CN"/>
        </w:rPr>
        <w:t>项目完工、竣工结算审核不及时；</w:t>
      </w:r>
      <w:r>
        <w:rPr>
          <w:rFonts w:hint="eastAsia" w:cs="Times New Roman"/>
          <w:b/>
          <w:bCs/>
          <w:color w:val="auto"/>
          <w:highlight w:val="none"/>
          <w:lang w:val="en-US" w:eastAsia="zh-CN"/>
        </w:rPr>
        <w:t>五是</w:t>
      </w:r>
      <w:r>
        <w:rPr>
          <w:rFonts w:hint="eastAsia" w:cs="Times New Roman"/>
          <w:color w:val="auto"/>
          <w:highlight w:val="none"/>
          <w:lang w:val="en-US" w:eastAsia="zh-CN"/>
        </w:rPr>
        <w:t>项目实际投资超项目批复资金</w:t>
      </w:r>
      <w:r>
        <w:rPr>
          <w:rFonts w:hint="eastAsia" w:ascii="Times New Roman" w:hAnsi="Times New Roman" w:eastAsia="仿宋_GB2312" w:cs="Times New Roman"/>
          <w:bCs/>
          <w:color w:val="auto"/>
          <w:sz w:val="32"/>
          <w:szCs w:val="32"/>
          <w:lang w:val="en-US" w:eastAsia="zh-CN"/>
        </w:rPr>
        <w:t>8.84%，</w:t>
      </w:r>
      <w:r>
        <w:rPr>
          <w:rFonts w:hint="eastAsia" w:cs="Times New Roman"/>
          <w:color w:val="auto"/>
          <w:highlight w:val="none"/>
          <w:lang w:val="en-US" w:eastAsia="zh-CN"/>
        </w:rPr>
        <w:t>成本控制较差。</w:t>
      </w:r>
      <w:bookmarkEnd w:id="1281"/>
    </w:p>
    <w:p>
      <w:pPr>
        <w:keepNext w:val="0"/>
        <w:keepLines w:val="0"/>
        <w:pageBreakBefore w:val="0"/>
        <w:widowControl w:val="0"/>
        <w:kinsoku/>
        <w:wordWrap/>
        <w:overflowPunct/>
        <w:topLinePunct w:val="0"/>
        <w:autoSpaceDE w:val="0"/>
        <w:autoSpaceDN w:val="0"/>
        <w:bidi w:val="0"/>
        <w:adjustRightInd w:val="0"/>
        <w:snapToGrid w:val="0"/>
        <w:spacing w:line="576" w:lineRule="exact"/>
        <w:ind w:left="0" w:leftChars="0"/>
        <w:jc w:val="left"/>
        <w:textAlignment w:val="auto"/>
        <w:outlineLvl w:val="0"/>
        <w:rPr>
          <w:rFonts w:hint="eastAsia" w:ascii="黑体" w:hAnsi="黑体" w:eastAsia="黑体" w:cs="黑体"/>
          <w:b/>
          <w:bCs/>
          <w:szCs w:val="32"/>
          <w:lang w:val="zh-CN"/>
        </w:rPr>
      </w:pPr>
      <w:bookmarkStart w:id="1282" w:name="_Toc11700"/>
      <w:bookmarkStart w:id="1283" w:name="_Toc2733"/>
      <w:bookmarkStart w:id="1284" w:name="_Toc30763"/>
      <w:bookmarkStart w:id="1285" w:name="_Toc4582"/>
      <w:r>
        <w:rPr>
          <w:rFonts w:hint="eastAsia" w:ascii="黑体" w:hAnsi="黑体" w:eastAsia="黑体" w:cs="黑体"/>
          <w:b/>
          <w:bCs/>
          <w:szCs w:val="32"/>
          <w:lang w:val="zh-CN"/>
        </w:rPr>
        <w:t>五、绩效评价指标分析</w:t>
      </w:r>
      <w:bookmarkEnd w:id="1282"/>
      <w:bookmarkEnd w:id="1283"/>
      <w:bookmarkEnd w:id="1284"/>
      <w:bookmarkEnd w:id="1285"/>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cs="仿宋_GB2312"/>
          <w:szCs w:val="32"/>
        </w:rPr>
      </w:pPr>
      <w:r>
        <w:rPr>
          <w:rFonts w:hint="eastAsia" w:cs="仿宋_GB2312"/>
          <w:szCs w:val="32"/>
        </w:rPr>
        <w:t>依据制定的绩效评价指标体系，分别从决策、过程、产出和效益四个方面对</w:t>
      </w:r>
      <w:r>
        <w:rPr>
          <w:rFonts w:hint="eastAsia" w:cs="仿宋_GB2312"/>
          <w:szCs w:val="32"/>
          <w:lang w:val="en-US" w:eastAsia="zh-CN"/>
        </w:rPr>
        <w:t>西宁市城中区前营街幼儿园建设</w:t>
      </w:r>
      <w:r>
        <w:rPr>
          <w:rFonts w:hint="eastAsia" w:cs="仿宋_GB2312"/>
        </w:rPr>
        <w:t>项目</w:t>
      </w:r>
      <w:r>
        <w:rPr>
          <w:rFonts w:hint="eastAsia" w:cs="仿宋_GB2312"/>
          <w:szCs w:val="32"/>
        </w:rPr>
        <w:t>进行绩效分析。</w:t>
      </w:r>
    </w:p>
    <w:p>
      <w:pPr>
        <w:keepNext w:val="0"/>
        <w:keepLines w:val="0"/>
        <w:pageBreakBefore w:val="0"/>
        <w:widowControl w:val="0"/>
        <w:kinsoku/>
        <w:wordWrap/>
        <w:overflowPunct/>
        <w:topLinePunct w:val="0"/>
        <w:bidi w:val="0"/>
        <w:adjustRightInd w:val="0"/>
        <w:snapToGrid w:val="0"/>
        <w:spacing w:line="576" w:lineRule="exact"/>
        <w:ind w:left="0" w:leftChars="0" w:firstLine="643"/>
        <w:textAlignment w:val="auto"/>
        <w:rPr>
          <w:rFonts w:hint="eastAsia" w:cs="仿宋_GB2312"/>
          <w:szCs w:val="32"/>
        </w:rPr>
      </w:pPr>
      <w:r>
        <w:rPr>
          <w:rFonts w:hint="eastAsia" w:cs="仿宋_GB2312"/>
          <w:szCs w:val="32"/>
          <w:lang w:val="en-US" w:eastAsia="zh-CN"/>
        </w:rPr>
        <w:t>西宁市城中区前营街幼儿园建设</w:t>
      </w:r>
      <w:r>
        <w:rPr>
          <w:rFonts w:hint="eastAsia" w:cs="仿宋_GB2312"/>
          <w:szCs w:val="32"/>
        </w:rPr>
        <w:t>项目绩效评价总体得分情况如下</w:t>
      </w:r>
      <w:r>
        <w:rPr>
          <w:rFonts w:hint="eastAsia" w:cs="仿宋_GB2312"/>
          <w:szCs w:val="32"/>
          <w:lang w:eastAsia="zh-CN"/>
        </w:rPr>
        <w:t>表</w:t>
      </w:r>
      <w:r>
        <w:rPr>
          <w:rFonts w:hint="eastAsia" w:cs="仿宋_GB2312"/>
          <w:szCs w:val="32"/>
        </w:rPr>
        <w:t>所示：</w:t>
      </w:r>
    </w:p>
    <w:p>
      <w:pPr>
        <w:pageBreakBefore w:val="0"/>
        <w:overflowPunct/>
        <w:topLinePunct w:val="0"/>
        <w:bidi w:val="0"/>
        <w:spacing w:line="576" w:lineRule="exact"/>
        <w:ind w:left="0" w:leftChars="0" w:firstLine="643"/>
        <w:jc w:val="center"/>
        <w:rPr>
          <w:rFonts w:cs="Times New Roman"/>
          <w:sz w:val="36"/>
          <w:szCs w:val="28"/>
          <w:highlight w:val="none"/>
        </w:rPr>
      </w:pPr>
      <w:r>
        <w:rPr>
          <w:rFonts w:hint="eastAsia" w:ascii="宋体" w:eastAsia="宋体" w:cs="Times New Roman"/>
          <w:b/>
          <w:bCs/>
          <w:sz w:val="28"/>
          <w:szCs w:val="28"/>
          <w:highlight w:val="none"/>
        </w:rPr>
        <w:t>表</w:t>
      </w:r>
      <w:r>
        <w:rPr>
          <w:rFonts w:hint="eastAsia" w:ascii="宋体" w:eastAsia="宋体" w:cs="Times New Roman"/>
          <w:b/>
          <w:bCs/>
          <w:sz w:val="28"/>
          <w:szCs w:val="28"/>
          <w:highlight w:val="none"/>
          <w:lang w:val="en-US" w:eastAsia="zh-CN"/>
        </w:rPr>
        <w:t>2</w:t>
      </w:r>
      <w:r>
        <w:rPr>
          <w:rFonts w:hint="eastAsia" w:ascii="宋体" w:hAnsi="宋体" w:eastAsia="宋体" w:cs="宋体"/>
          <w:b/>
          <w:bCs/>
          <w:sz w:val="28"/>
          <w:szCs w:val="28"/>
          <w:lang w:val="en-US" w:eastAsia="zh-CN"/>
        </w:rPr>
        <w:t>西宁市城中区前营街幼儿园建设</w:t>
      </w:r>
      <w:r>
        <w:rPr>
          <w:rFonts w:hint="eastAsia" w:ascii="宋体" w:hAnsi="宋体" w:eastAsia="宋体" w:cs="宋体"/>
          <w:b/>
          <w:bCs/>
          <w:sz w:val="28"/>
          <w:szCs w:val="28"/>
        </w:rPr>
        <w:t>项目</w:t>
      </w:r>
      <w:r>
        <w:rPr>
          <w:rFonts w:hint="eastAsia" w:ascii="宋体" w:eastAsia="宋体" w:cs="Times New Roman"/>
          <w:b/>
          <w:bCs/>
          <w:sz w:val="28"/>
          <w:szCs w:val="28"/>
          <w:highlight w:val="none"/>
        </w:rPr>
        <w:t>绩效评价</w:t>
      </w:r>
      <w:r>
        <w:rPr>
          <w:rFonts w:hint="eastAsia" w:ascii="宋体" w:eastAsia="宋体" w:cs="Times New Roman"/>
          <w:b/>
          <w:bCs/>
          <w:sz w:val="28"/>
          <w:szCs w:val="28"/>
          <w:highlight w:val="none"/>
          <w:lang w:eastAsia="zh-CN"/>
        </w:rPr>
        <w:t>总体</w:t>
      </w:r>
      <w:r>
        <w:rPr>
          <w:rFonts w:hint="eastAsia" w:ascii="宋体" w:eastAsia="宋体" w:cs="Times New Roman"/>
          <w:b/>
          <w:bCs/>
          <w:sz w:val="28"/>
          <w:szCs w:val="28"/>
          <w:highlight w:val="none"/>
        </w:rPr>
        <w:t>得分表</w:t>
      </w:r>
    </w:p>
    <w:tbl>
      <w:tblPr>
        <w:tblStyle w:val="13"/>
        <w:tblW w:w="4997" w:type="pct"/>
        <w:jc w:val="center"/>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60"/>
        <w:gridCol w:w="1451"/>
        <w:gridCol w:w="1600"/>
        <w:gridCol w:w="1767"/>
        <w:gridCol w:w="1165"/>
        <w:gridCol w:w="1412"/>
      </w:tblGrid>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PrEx>
        <w:trPr>
          <w:trHeight w:val="595" w:hRule="atLeast"/>
          <w:jc w:val="center"/>
        </w:trPr>
        <w:tc>
          <w:tcPr>
            <w:tcW w:w="916"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指标</w:t>
            </w:r>
          </w:p>
        </w:tc>
        <w:tc>
          <w:tcPr>
            <w:tcW w:w="801"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决策</w:t>
            </w:r>
          </w:p>
        </w:tc>
        <w:tc>
          <w:tcPr>
            <w:tcW w:w="883"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过程</w:t>
            </w:r>
          </w:p>
        </w:tc>
        <w:tc>
          <w:tcPr>
            <w:tcW w:w="975"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产出</w:t>
            </w:r>
          </w:p>
        </w:tc>
        <w:tc>
          <w:tcPr>
            <w:tcW w:w="643"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效益</w:t>
            </w:r>
          </w:p>
        </w:tc>
        <w:tc>
          <w:tcPr>
            <w:tcW w:w="779"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合计</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16"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分值</w:t>
            </w:r>
          </w:p>
        </w:tc>
        <w:tc>
          <w:tcPr>
            <w:tcW w:w="801"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12</w:t>
            </w:r>
          </w:p>
        </w:tc>
        <w:tc>
          <w:tcPr>
            <w:tcW w:w="883"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23</w:t>
            </w:r>
          </w:p>
        </w:tc>
        <w:tc>
          <w:tcPr>
            <w:tcW w:w="975"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28</w:t>
            </w:r>
          </w:p>
        </w:tc>
        <w:tc>
          <w:tcPr>
            <w:tcW w:w="643"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37</w:t>
            </w:r>
          </w:p>
        </w:tc>
        <w:tc>
          <w:tcPr>
            <w:tcW w:w="77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10</w:t>
            </w:r>
          </w:p>
        </w:tc>
      </w:tr>
      <w:tr>
        <w:tblPrEx>
          <w:tblBorders>
            <w:top w:val="double" w:color="000000" w:sz="4" w:space="0"/>
            <w:left w:val="none" w:color="auto" w:sz="0" w:space="0"/>
            <w:bottom w:val="doub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16"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lang w:eastAsia="zh-CN"/>
              </w:rPr>
            </w:pPr>
            <w:r>
              <w:rPr>
                <w:rFonts w:hint="eastAsia" w:ascii="宋体" w:hAnsi="宋体" w:eastAsia="宋体" w:cs="宋体"/>
                <w:b/>
                <w:color w:val="auto"/>
                <w:sz w:val="24"/>
                <w:szCs w:val="22"/>
                <w:highlight w:val="none"/>
                <w:lang w:eastAsia="zh-CN"/>
              </w:rPr>
              <w:t>得分</w:t>
            </w:r>
          </w:p>
        </w:tc>
        <w:tc>
          <w:tcPr>
            <w:tcW w:w="801"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11.25</w:t>
            </w:r>
          </w:p>
        </w:tc>
        <w:tc>
          <w:tcPr>
            <w:tcW w:w="883"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20.4</w:t>
            </w:r>
          </w:p>
        </w:tc>
        <w:tc>
          <w:tcPr>
            <w:tcW w:w="975"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20</w:t>
            </w:r>
          </w:p>
        </w:tc>
        <w:tc>
          <w:tcPr>
            <w:tcW w:w="643" w:type="pct"/>
            <w:tcBorders>
              <w:tl2br w:val="nil"/>
              <w:tr2bl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35.2</w:t>
            </w:r>
          </w:p>
        </w:tc>
        <w:tc>
          <w:tcPr>
            <w:tcW w:w="77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86.85</w:t>
            </w:r>
          </w:p>
        </w:tc>
      </w:tr>
    </w:tbl>
    <w:p>
      <w:pPr>
        <w:pageBreakBefore w:val="0"/>
        <w:overflowPunct/>
        <w:topLinePunct w:val="0"/>
        <w:bidi w:val="0"/>
        <w:spacing w:line="576" w:lineRule="exact"/>
        <w:ind w:left="0" w:leftChars="0" w:firstLine="643"/>
        <w:outlineLvl w:val="1"/>
        <w:rPr>
          <w:rFonts w:hint="eastAsia" w:ascii="楷体_GB2312" w:hAnsi="楷体_GB2312" w:eastAsia="楷体_GB2312" w:cs="楷体_GB2312"/>
          <w:b/>
          <w:bCs/>
          <w:color w:val="C00000"/>
          <w:szCs w:val="32"/>
          <w:lang w:val="zh-CN"/>
        </w:rPr>
      </w:pPr>
      <w:bookmarkStart w:id="1286" w:name="_Toc8112"/>
      <w:bookmarkStart w:id="1287" w:name="_Toc25278"/>
      <w:bookmarkStart w:id="1288" w:name="_Toc898"/>
      <w:bookmarkStart w:id="1289" w:name="_Toc13819"/>
      <w:r>
        <w:rPr>
          <w:rFonts w:hint="eastAsia" w:ascii="楷体_GB2312" w:hAnsi="楷体_GB2312" w:eastAsia="楷体_GB2312" w:cs="楷体_GB2312"/>
          <w:b/>
          <w:bCs/>
          <w:szCs w:val="32"/>
          <w:lang w:val="zh-CN"/>
        </w:rPr>
        <w:t>（一）项目决策情况</w:t>
      </w:r>
      <w:bookmarkEnd w:id="1286"/>
      <w:bookmarkEnd w:id="1287"/>
      <w:bookmarkEnd w:id="1288"/>
      <w:bookmarkEnd w:id="1289"/>
    </w:p>
    <w:p>
      <w:pPr>
        <w:pageBreakBefore w:val="0"/>
        <w:overflowPunct/>
        <w:topLinePunct w:val="0"/>
        <w:bidi w:val="0"/>
        <w:spacing w:line="576" w:lineRule="exact"/>
        <w:ind w:left="0" w:leftChars="0"/>
        <w:rPr>
          <w:rFonts w:cs="Times New Roman"/>
        </w:rPr>
      </w:pPr>
      <w:r>
        <w:rPr>
          <w:rFonts w:hint="eastAsia" w:cs="Times New Roman"/>
          <w:lang w:val="en-US" w:eastAsia="zh-CN"/>
        </w:rPr>
        <w:t>西宁市城中区前营街幼儿园建设</w:t>
      </w:r>
      <w:r>
        <w:rPr>
          <w:rFonts w:hint="eastAsia" w:cs="Times New Roman"/>
        </w:rPr>
        <w:t>项目绩效评价决策类指标得分情况如下表所示：</w:t>
      </w:r>
    </w:p>
    <w:p>
      <w:pPr>
        <w:pageBreakBefore w:val="0"/>
        <w:overflowPunct/>
        <w:topLinePunct w:val="0"/>
        <w:bidi w:val="0"/>
        <w:adjustRightInd w:val="0"/>
        <w:snapToGrid w:val="0"/>
        <w:spacing w:line="576" w:lineRule="exact"/>
        <w:ind w:left="0" w:leftChars="0" w:firstLine="0" w:firstLineChars="0"/>
        <w:jc w:val="center"/>
        <w:rPr>
          <w:rFonts w:ascii="宋体" w:eastAsia="宋体" w:cs="Times New Roman"/>
          <w:b/>
          <w:bCs/>
          <w:sz w:val="28"/>
          <w:szCs w:val="28"/>
        </w:rPr>
      </w:pPr>
      <w:r>
        <w:rPr>
          <w:rFonts w:hint="eastAsia" w:ascii="宋体" w:eastAsia="宋体" w:cs="Times New Roman"/>
          <w:b/>
          <w:bCs/>
          <w:sz w:val="28"/>
          <w:szCs w:val="28"/>
        </w:rPr>
        <w:t>表</w:t>
      </w:r>
      <w:r>
        <w:rPr>
          <w:rFonts w:hint="eastAsia" w:ascii="宋体" w:eastAsia="宋体" w:cs="Times New Roman"/>
          <w:b/>
          <w:bCs/>
          <w:sz w:val="28"/>
          <w:szCs w:val="28"/>
          <w:lang w:val="en-US" w:eastAsia="zh-CN"/>
        </w:rPr>
        <w:t>3</w:t>
      </w:r>
      <w:r>
        <w:rPr>
          <w:rFonts w:hint="eastAsia" w:ascii="宋体" w:eastAsia="宋体" w:cs="Times New Roman"/>
          <w:b/>
          <w:bCs/>
          <w:sz w:val="28"/>
          <w:szCs w:val="28"/>
        </w:rPr>
        <w:t>项目决策类各项指标绩效评价得分表</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9"/>
        <w:gridCol w:w="2336"/>
        <w:gridCol w:w="3445"/>
        <w:gridCol w:w="7"/>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58" w:type="pct"/>
            <w:tcBorders>
              <w:top w:val="double" w:color="000000" w:sz="4" w:space="0"/>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1289" w:type="pct"/>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1901" w:type="pct"/>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650" w:type="pct"/>
            <w:gridSpan w:val="2"/>
            <w:tcBorders>
              <w:top w:val="double" w:color="000000" w:sz="4" w:space="0"/>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58" w:type="pct"/>
            <w:vMerge w:val="restart"/>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eastAsia="zh-CN"/>
              </w:rPr>
            </w:pPr>
            <w:r>
              <w:rPr>
                <w:rFonts w:hint="eastAsia" w:ascii="宋体" w:hAnsi="宋体" w:eastAsia="宋体" w:cs="宋体"/>
                <w:b/>
                <w:color w:val="auto"/>
                <w:sz w:val="24"/>
                <w:szCs w:val="22"/>
                <w:highlight w:val="none"/>
                <w:u w:val="single"/>
                <w:lang w:val="en-US" w:eastAsia="zh-CN"/>
              </w:rPr>
              <w:t>决策</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93.75</w:t>
            </w:r>
            <w:r>
              <w:rPr>
                <w:rFonts w:hint="eastAsia" w:ascii="宋体" w:hAnsi="宋体" w:eastAsia="宋体" w:cs="宋体"/>
                <w:bCs/>
                <w:color w:val="auto"/>
                <w:sz w:val="24"/>
                <w:szCs w:val="22"/>
                <w:highlight w:val="none"/>
              </w:rPr>
              <w:t>%</w:t>
            </w: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项目决策</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100.00</w:t>
            </w:r>
            <w:r>
              <w:rPr>
                <w:rFonts w:hint="eastAsia" w:ascii="宋体" w:hAnsi="宋体" w:eastAsia="宋体" w:cs="宋体"/>
                <w:bCs/>
                <w:color w:val="auto"/>
                <w:sz w:val="24"/>
                <w:szCs w:val="22"/>
                <w:highlight w:val="none"/>
              </w:rPr>
              <w:t>%</w:t>
            </w:r>
          </w:p>
        </w:tc>
        <w:tc>
          <w:tcPr>
            <w:tcW w:w="1901"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Cs/>
                <w:i w:val="0"/>
                <w:iCs w:val="0"/>
                <w:color w:val="auto"/>
                <w:sz w:val="24"/>
                <w:szCs w:val="22"/>
                <w:highlight w:val="none"/>
              </w:rPr>
            </w:pPr>
            <w:r>
              <w:rPr>
                <w:rFonts w:hint="eastAsia" w:ascii="宋体" w:hAnsi="宋体" w:eastAsia="宋体" w:cs="宋体"/>
                <w:color w:val="auto"/>
                <w:sz w:val="24"/>
                <w:szCs w:val="24"/>
                <w:highlight w:val="none"/>
                <w:lang w:val="en-US" w:eastAsia="zh-CN"/>
              </w:rPr>
              <w:t>立项依据充分性</w:t>
            </w:r>
          </w:p>
        </w:tc>
        <w:tc>
          <w:tcPr>
            <w:tcW w:w="1110" w:type="dxa"/>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default"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01"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Cs/>
                <w:i w:val="0"/>
                <w:iCs w:val="0"/>
                <w:color w:val="auto"/>
                <w:kern w:val="2"/>
                <w:sz w:val="24"/>
                <w:szCs w:val="22"/>
                <w:highlight w:val="none"/>
                <w:lang w:val="en-US" w:eastAsia="zh-CN" w:bidi="ar-SA"/>
              </w:rPr>
            </w:pPr>
            <w:r>
              <w:rPr>
                <w:rFonts w:hint="eastAsia" w:ascii="宋体" w:hAnsi="宋体" w:eastAsia="宋体" w:cs="宋体"/>
                <w:color w:val="auto"/>
                <w:sz w:val="24"/>
                <w:szCs w:val="24"/>
                <w:highlight w:val="none"/>
                <w:lang w:val="en-US" w:eastAsia="zh-CN"/>
              </w:rPr>
              <w:t>项目立项规范性</w:t>
            </w:r>
          </w:p>
        </w:tc>
        <w:tc>
          <w:tcPr>
            <w:tcW w:w="1110" w:type="dxa"/>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绩效目标</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81.25</w:t>
            </w:r>
            <w:r>
              <w:rPr>
                <w:rFonts w:hint="eastAsia" w:ascii="宋体" w:hAnsi="宋体" w:eastAsia="宋体" w:cs="宋体"/>
                <w:bCs/>
                <w:color w:val="auto"/>
                <w:sz w:val="24"/>
                <w:szCs w:val="22"/>
                <w:highlight w:val="none"/>
              </w:rPr>
              <w:t>%</w:t>
            </w:r>
          </w:p>
        </w:tc>
        <w:tc>
          <w:tcPr>
            <w:tcW w:w="190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Cs/>
                <w:i w:val="0"/>
                <w:iCs w:val="0"/>
                <w:color w:val="auto"/>
                <w:sz w:val="24"/>
                <w:szCs w:val="22"/>
                <w:highlight w:val="none"/>
              </w:rPr>
            </w:pPr>
            <w:r>
              <w:rPr>
                <w:rFonts w:hint="eastAsia" w:ascii="宋体" w:hAnsi="宋体" w:eastAsia="宋体" w:cs="宋体"/>
                <w:color w:val="auto"/>
                <w:kern w:val="0"/>
                <w:sz w:val="24"/>
                <w:szCs w:val="24"/>
                <w:highlight w:val="none"/>
              </w:rPr>
              <w:t>绩效目标合理性</w:t>
            </w:r>
          </w:p>
        </w:tc>
        <w:tc>
          <w:tcPr>
            <w:tcW w:w="1110" w:type="dxa"/>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Cs/>
                <w:i w:val="0"/>
                <w:iCs w:val="0"/>
                <w:color w:val="auto"/>
                <w:sz w:val="24"/>
                <w:szCs w:val="22"/>
                <w:highlight w:val="none"/>
              </w:rPr>
            </w:pPr>
            <w:r>
              <w:rPr>
                <w:rFonts w:hint="eastAsia" w:ascii="宋体" w:hAnsi="宋体" w:eastAsia="宋体" w:cs="宋体"/>
                <w:color w:val="auto"/>
                <w:kern w:val="0"/>
                <w:sz w:val="24"/>
                <w:szCs w:val="24"/>
                <w:highlight w:val="none"/>
              </w:rPr>
              <w:t>绩效指标明确性</w:t>
            </w:r>
          </w:p>
        </w:tc>
        <w:tc>
          <w:tcPr>
            <w:tcW w:w="1110" w:type="dxa"/>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62.50%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资金投入</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100.00</w:t>
            </w:r>
            <w:r>
              <w:rPr>
                <w:rFonts w:hint="eastAsia" w:ascii="宋体" w:hAnsi="宋体" w:eastAsia="宋体" w:cs="宋体"/>
                <w:bCs/>
                <w:color w:val="auto"/>
                <w:sz w:val="24"/>
                <w:szCs w:val="22"/>
                <w:highlight w:val="none"/>
              </w:rPr>
              <w:t>%</w:t>
            </w:r>
          </w:p>
        </w:tc>
        <w:tc>
          <w:tcPr>
            <w:tcW w:w="1904" w:type="pct"/>
            <w:gridSpan w:val="2"/>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rPr>
            </w:pPr>
            <w:r>
              <w:rPr>
                <w:rFonts w:hint="eastAsia" w:ascii="宋体" w:hAnsi="宋体" w:eastAsia="宋体" w:cs="宋体"/>
                <w:color w:val="auto"/>
                <w:sz w:val="24"/>
                <w:szCs w:val="24"/>
                <w:highlight w:val="none"/>
                <w:lang w:val="en-US" w:eastAsia="zh-CN"/>
              </w:rPr>
              <w:t>预算编制科学性</w:t>
            </w:r>
          </w:p>
        </w:tc>
        <w:tc>
          <w:tcPr>
            <w:tcW w:w="647"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8"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89"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04" w:type="pct"/>
            <w:gridSpan w:val="2"/>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rPr>
            </w:pPr>
            <w:r>
              <w:rPr>
                <w:rFonts w:hint="eastAsia" w:ascii="宋体" w:hAnsi="宋体" w:eastAsia="宋体" w:cs="宋体"/>
                <w:color w:val="auto"/>
                <w:sz w:val="24"/>
                <w:szCs w:val="24"/>
                <w:highlight w:val="none"/>
                <w:lang w:val="en-US" w:eastAsia="zh-CN"/>
              </w:rPr>
              <w:t>资金到位率</w:t>
            </w:r>
          </w:p>
        </w:tc>
        <w:tc>
          <w:tcPr>
            <w:tcW w:w="647" w:type="pct"/>
            <w:tcBorders>
              <w:right w:val="nil"/>
            </w:tcBorders>
            <w:shd w:val="clear" w:color="auto" w:fill="auto"/>
            <w:vAlign w:val="center"/>
          </w:tcPr>
          <w:p>
            <w:pPr>
              <w:keepNext w:val="0"/>
              <w:keepLines w:val="0"/>
              <w:pageBreakBefore w:val="0"/>
              <w:widowControl w:val="0"/>
              <w:kinsoku/>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iCs/>
                <w:color w:val="auto"/>
                <w:sz w:val="24"/>
                <w:szCs w:val="22"/>
                <w:highlight w:val="none"/>
                <w:lang w:val="en-US" w:eastAsia="zh-CN"/>
              </w:rPr>
            </w:pPr>
            <w:r>
              <w:rPr>
                <w:rFonts w:hint="eastAsia" w:ascii="宋体" w:hAnsi="宋体" w:eastAsia="宋体" w:cs="宋体"/>
                <w:i/>
                <w:iCs/>
                <w:color w:val="auto"/>
                <w:sz w:val="24"/>
                <w:szCs w:val="22"/>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52" w:type="pct"/>
            <w:gridSpan w:val="4"/>
            <w:tcBorders>
              <w:left w:val="nil"/>
              <w:bottom w:val="doub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val="en-US" w:eastAsia="zh-CN"/>
              </w:rPr>
              <w:t>决策</w:t>
            </w:r>
            <w:r>
              <w:rPr>
                <w:rFonts w:hint="eastAsia" w:ascii="宋体" w:hAnsi="宋体" w:eastAsia="宋体" w:cs="宋体"/>
                <w:b/>
                <w:color w:val="auto"/>
                <w:sz w:val="24"/>
                <w:szCs w:val="22"/>
                <w:highlight w:val="none"/>
              </w:rPr>
              <w:t>”情况评级</w:t>
            </w:r>
          </w:p>
        </w:tc>
        <w:tc>
          <w:tcPr>
            <w:tcW w:w="647" w:type="pct"/>
            <w:tcBorders>
              <w:bottom w:val="doub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优</w:t>
            </w:r>
          </w:p>
        </w:tc>
      </w:tr>
    </w:tbl>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1.项目决策</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仿宋_GB2312"/>
          <w:b/>
          <w:bCs/>
          <w:color w:val="auto"/>
          <w:szCs w:val="32"/>
        </w:rPr>
      </w:pPr>
      <w:r>
        <w:rPr>
          <w:rFonts w:hint="eastAsia" w:cs="Times New Roman"/>
          <w:b/>
          <w:bCs/>
          <w:color w:val="auto"/>
          <w:lang w:val="en-US" w:eastAsia="zh-CN"/>
        </w:rPr>
        <w:t>（1）立项依据充分性</w:t>
      </w:r>
      <w:r>
        <w:rPr>
          <w:rFonts w:hint="eastAsia" w:cs="仿宋_GB2312"/>
          <w:b/>
          <w:bCs/>
          <w:color w:val="auto"/>
          <w:szCs w:val="32"/>
        </w:rPr>
        <w:t>（指标分值</w:t>
      </w:r>
      <w:r>
        <w:rPr>
          <w:rFonts w:hint="eastAsia" w:cs="仿宋_GB2312"/>
          <w:b/>
          <w:bCs/>
          <w:color w:val="auto"/>
          <w:szCs w:val="32"/>
          <w:lang w:val="en-US" w:eastAsia="zh-CN"/>
        </w:rPr>
        <w:t>2</w:t>
      </w:r>
      <w:r>
        <w:rPr>
          <w:rFonts w:hint="eastAsia" w:cs="仿宋_GB2312"/>
          <w:b/>
          <w:bCs/>
          <w:color w:val="auto"/>
          <w:szCs w:val="32"/>
        </w:rPr>
        <w:t>分）（得分</w:t>
      </w:r>
      <w:r>
        <w:rPr>
          <w:rFonts w:hint="eastAsia" w:cs="仿宋_GB2312"/>
          <w:b/>
          <w:bCs/>
          <w:color w:val="auto"/>
          <w:szCs w:val="32"/>
          <w:lang w:val="en-US" w:eastAsia="zh-CN"/>
        </w:rPr>
        <w:t>2</w:t>
      </w:r>
      <w:r>
        <w:rPr>
          <w:rFonts w:hint="eastAsia" w:cs="仿宋_GB2312"/>
          <w:b/>
          <w:bCs/>
          <w:color w:val="auto"/>
          <w:szCs w:val="32"/>
        </w:rPr>
        <w:t>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为进一步改善西宁市城中区学前教育整体规模不足、幼儿园布局不合理的现状，保障儿童均能就近接受高质量的学前教育，促进城乡学前教育均衡发展，提高学前教育质量和水平，切实改善西宁市教育长足稳定发展，西宁市教育局、城中区教育局根据《教育部办公厅国家发展改革委办公厅&lt;关于实施中西部农村学前教育推进工程试点项目&gt;的指导意见》《青海省中长期教育改革和发展规划纲要（</w:t>
      </w:r>
      <w:r>
        <w:rPr>
          <w:rFonts w:hint="eastAsia" w:ascii="Times New Roman" w:hAnsi="Times New Roman" w:eastAsia="仿宋_GB2312" w:cs="Times New Roman"/>
          <w:bCs/>
          <w:color w:val="auto"/>
          <w:sz w:val="32"/>
          <w:szCs w:val="32"/>
          <w:lang w:val="en-US" w:eastAsia="zh-CN"/>
        </w:rPr>
        <w:t>2010—2020</w:t>
      </w:r>
      <w:r>
        <w:rPr>
          <w:rFonts w:hint="eastAsia" w:cs="Times New Roman"/>
          <w:color w:val="auto"/>
          <w:lang w:val="en-US" w:eastAsia="zh-CN"/>
        </w:rPr>
        <w:t>年）》《青海省人民政府办公厅转发&lt;青海省教育厅关于进一步促进学前教育发展意见&gt;的通知》和《青海省中小学布局调整规划目标和中小学校安工程实施计划》等相关政策精神，建设西宁市城中区前营街幼儿园。</w:t>
      </w:r>
      <w:r>
        <w:rPr>
          <w:rFonts w:hint="eastAsia" w:cs="仿宋_GB2312"/>
          <w:b w:val="0"/>
          <w:bCs w:val="0"/>
          <w:color w:val="auto"/>
          <w:sz w:val="32"/>
          <w:szCs w:val="32"/>
          <w:highlight w:val="none"/>
          <w:lang w:val="en-US" w:eastAsia="zh-CN"/>
        </w:rPr>
        <w:t>西宁市城中区前营街幼儿园建设项目符合国家法律法规、国民经济发展规划和相关政策，项目与城中区教育局职责相关。</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ascii="Times New Roman" w:hAnsi="Times New Roman" w:eastAsia="仿宋_GB2312" w:cs="Times New Roman"/>
          <w:bCs/>
          <w:color w:val="auto"/>
          <w:sz w:val="32"/>
          <w:szCs w:val="32"/>
          <w:lang w:val="zh-CN"/>
        </w:rPr>
      </w:pPr>
      <w:r>
        <w:rPr>
          <w:rFonts w:hint="eastAsia" w:cs="Times New Roman"/>
          <w:lang w:val="en-US" w:eastAsia="zh-CN"/>
        </w:rPr>
        <w:t>根据指标体系评分标准，</w:t>
      </w:r>
      <w:r>
        <w:rPr>
          <w:rFonts w:hint="eastAsia" w:cs="Times New Roman"/>
        </w:rPr>
        <w:t>项目立项符合国家法律法规、国民经济发展规划和相关政策</w:t>
      </w:r>
      <w:r>
        <w:rPr>
          <w:rFonts w:hint="eastAsia" w:cs="Times New Roman"/>
          <w:lang w:eastAsia="zh-CN"/>
        </w:rPr>
        <w:t>，</w:t>
      </w:r>
      <w:r>
        <w:rPr>
          <w:rFonts w:hint="eastAsia" w:ascii="Times New Roman" w:hAnsi="Times New Roman" w:eastAsia="仿宋_GB2312" w:cs="Times New Roman"/>
          <w:bCs/>
          <w:color w:val="auto"/>
          <w:sz w:val="32"/>
          <w:szCs w:val="32"/>
          <w:lang w:eastAsia="zh-CN"/>
        </w:rPr>
        <w:t>得</w:t>
      </w:r>
      <w:r>
        <w:rPr>
          <w:rFonts w:hint="eastAsia" w:ascii="Times New Roman" w:hAnsi="Times New Roman" w:eastAsia="仿宋_GB2312" w:cs="Times New Roman"/>
          <w:bCs/>
          <w:color w:val="auto"/>
          <w:sz w:val="32"/>
          <w:szCs w:val="32"/>
          <w:lang w:val="en-US" w:eastAsia="zh-CN"/>
        </w:rPr>
        <w:t>0.5分</w:t>
      </w:r>
      <w:r>
        <w:rPr>
          <w:rFonts w:hint="eastAsia" w:ascii="Times New Roman" w:hAnsi="Times New Roman" w:eastAsia="仿宋_GB2312" w:cs="Times New Roman"/>
          <w:bCs/>
          <w:color w:val="auto"/>
          <w:sz w:val="32"/>
          <w:szCs w:val="32"/>
        </w:rPr>
        <w:t>；符合行业发展规划和政策要求</w:t>
      </w:r>
      <w:r>
        <w:rPr>
          <w:rFonts w:hint="eastAsia" w:ascii="Times New Roman" w:hAnsi="Times New Roman" w:eastAsia="仿宋_GB2312" w:cs="Times New Roman"/>
          <w:bCs/>
          <w:color w:val="auto"/>
          <w:sz w:val="32"/>
          <w:szCs w:val="32"/>
          <w:lang w:eastAsia="zh-CN"/>
        </w:rPr>
        <w:t>，得</w:t>
      </w:r>
      <w:r>
        <w:rPr>
          <w:rFonts w:hint="eastAsia" w:ascii="Times New Roman" w:hAnsi="Times New Roman" w:eastAsia="仿宋_GB2312" w:cs="Times New Roman"/>
          <w:bCs/>
          <w:color w:val="auto"/>
          <w:sz w:val="32"/>
          <w:szCs w:val="32"/>
          <w:lang w:val="en-US" w:eastAsia="zh-CN"/>
        </w:rPr>
        <w:t>0.5分</w:t>
      </w:r>
      <w:r>
        <w:rPr>
          <w:rFonts w:hint="eastAsia" w:ascii="Times New Roman" w:hAnsi="Times New Roman" w:eastAsia="仿宋_GB2312" w:cs="Times New Roman"/>
          <w:bCs/>
          <w:color w:val="auto"/>
          <w:sz w:val="32"/>
          <w:szCs w:val="32"/>
        </w:rPr>
        <w:t>；与部门职责范围相符，属于部门履职所需</w:t>
      </w:r>
      <w:r>
        <w:rPr>
          <w:rFonts w:hint="eastAsia" w:ascii="Times New Roman" w:hAnsi="Times New Roman" w:eastAsia="仿宋_GB2312" w:cs="Times New Roman"/>
          <w:bCs/>
          <w:color w:val="auto"/>
          <w:sz w:val="32"/>
          <w:szCs w:val="32"/>
          <w:lang w:eastAsia="zh-CN"/>
        </w:rPr>
        <w:t>，得</w:t>
      </w:r>
      <w:r>
        <w:rPr>
          <w:rFonts w:hint="eastAsia" w:ascii="Times New Roman" w:hAnsi="Times New Roman" w:eastAsia="仿宋_GB2312" w:cs="Times New Roman"/>
          <w:bCs/>
          <w:color w:val="auto"/>
          <w:sz w:val="32"/>
          <w:szCs w:val="32"/>
          <w:lang w:val="en-US" w:eastAsia="zh-CN"/>
        </w:rPr>
        <w:t>0.5分</w:t>
      </w:r>
      <w:r>
        <w:rPr>
          <w:rFonts w:hint="eastAsia" w:ascii="Times New Roman" w:hAnsi="Times New Roman" w:eastAsia="仿宋_GB2312" w:cs="Times New Roman"/>
          <w:bCs/>
          <w:color w:val="auto"/>
          <w:sz w:val="32"/>
          <w:szCs w:val="32"/>
        </w:rPr>
        <w:t>；</w:t>
      </w:r>
      <w:r>
        <w:rPr>
          <w:rFonts w:hint="eastAsia" w:ascii="Times New Roman" w:hAnsi="Times New Roman" w:eastAsia="仿宋_GB2312" w:cs="Times New Roman"/>
          <w:bCs/>
          <w:color w:val="auto"/>
          <w:sz w:val="32"/>
          <w:szCs w:val="32"/>
          <w:lang w:eastAsia="zh-CN"/>
        </w:rPr>
        <w:t>项目与相关部门同类项目或部门内部相关项目无重复，得</w:t>
      </w:r>
      <w:r>
        <w:rPr>
          <w:rFonts w:hint="eastAsia" w:ascii="Times New Roman" w:hAnsi="Times New Roman" w:eastAsia="仿宋_GB2312" w:cs="Times New Roman"/>
          <w:bCs/>
          <w:color w:val="auto"/>
          <w:sz w:val="32"/>
          <w:szCs w:val="32"/>
          <w:lang w:val="en-US" w:eastAsia="zh-CN"/>
        </w:rPr>
        <w:t>0.5分</w:t>
      </w:r>
      <w:r>
        <w:rPr>
          <w:rFonts w:hint="eastAsia" w:ascii="Times New Roman" w:hAnsi="Times New Roman" w:eastAsia="仿宋_GB2312" w:cs="Times New Roman"/>
          <w:bCs/>
          <w:color w:val="auto"/>
          <w:sz w:val="32"/>
          <w:szCs w:val="32"/>
        </w:rPr>
        <w:t>。指标</w:t>
      </w:r>
      <w:r>
        <w:rPr>
          <w:rFonts w:hint="eastAsia" w:ascii="Times New Roman" w:hAnsi="Times New Roman" w:eastAsia="仿宋_GB2312" w:cs="Times New Roman"/>
          <w:bCs/>
          <w:color w:val="auto"/>
          <w:sz w:val="32"/>
          <w:szCs w:val="32"/>
          <w:lang w:eastAsia="zh-CN"/>
        </w:rPr>
        <w:t>综合</w:t>
      </w:r>
      <w:r>
        <w:rPr>
          <w:rFonts w:hint="eastAsia" w:ascii="Times New Roman" w:hAnsi="Times New Roman" w:eastAsia="仿宋_GB2312" w:cs="Times New Roman"/>
          <w:bCs/>
          <w:color w:val="auto"/>
          <w:sz w:val="32"/>
          <w:szCs w:val="32"/>
        </w:rPr>
        <w:t>得分</w:t>
      </w:r>
      <w:r>
        <w:rPr>
          <w:rFonts w:hint="eastAsia" w:ascii="Times New Roman" w:hAnsi="Times New Roman" w:eastAsia="仿宋_GB2312" w:cs="Times New Roman"/>
          <w:bCs/>
          <w:color w:val="auto"/>
          <w:sz w:val="32"/>
          <w:szCs w:val="32"/>
          <w:lang w:val="en-US" w:eastAsia="zh-CN"/>
        </w:rPr>
        <w:t>2</w:t>
      </w:r>
      <w:r>
        <w:rPr>
          <w:rFonts w:hint="eastAsia" w:ascii="Times New Roman" w:hAnsi="Times New Roman" w:eastAsia="仿宋_GB2312" w:cs="Times New Roman"/>
          <w:bCs/>
          <w:color w:val="auto"/>
          <w:sz w:val="32"/>
          <w:szCs w:val="32"/>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textAlignment w:val="auto"/>
        <w:rPr>
          <w:rFonts w:ascii="仿宋_GB2312" w:hAnsi="仿宋_GB2312" w:eastAsia="仿宋_GB2312" w:cs="仿宋_GB2312"/>
          <w:b/>
          <w:color w:val="auto"/>
          <w:szCs w:val="32"/>
          <w:highlight w:val="none"/>
        </w:rPr>
      </w:pPr>
      <w:r>
        <w:rPr>
          <w:rFonts w:hint="eastAsia" w:cs="仿宋_GB2312"/>
          <w:b/>
          <w:color w:val="auto"/>
          <w:szCs w:val="32"/>
          <w:highlight w:val="none"/>
          <w:lang w:eastAsia="zh-CN"/>
        </w:rPr>
        <w:t>（</w:t>
      </w:r>
      <w:r>
        <w:rPr>
          <w:rFonts w:hint="eastAsia" w:cs="仿宋_GB2312"/>
          <w:b/>
          <w:color w:val="auto"/>
          <w:szCs w:val="32"/>
          <w:highlight w:val="none"/>
          <w:lang w:val="en-US" w:eastAsia="zh-CN"/>
        </w:rPr>
        <w:t>2</w:t>
      </w:r>
      <w:r>
        <w:rPr>
          <w:rFonts w:hint="eastAsia" w:cs="仿宋_GB2312"/>
          <w:b/>
          <w:color w:val="auto"/>
          <w:szCs w:val="32"/>
          <w:highlight w:val="none"/>
          <w:lang w:eastAsia="zh-CN"/>
        </w:rPr>
        <w:t>）项目立项规范性</w:t>
      </w:r>
      <w:r>
        <w:rPr>
          <w:rFonts w:hint="eastAsia" w:ascii="仿宋_GB2312" w:hAnsi="仿宋_GB2312" w:eastAsia="仿宋_GB2312" w:cs="仿宋_GB2312"/>
          <w:b/>
          <w:color w:val="auto"/>
          <w:szCs w:val="32"/>
          <w:highlight w:val="none"/>
        </w:rPr>
        <w:t>（</w:t>
      </w:r>
      <w:r>
        <w:rPr>
          <w:rFonts w:hint="eastAsia" w:cs="仿宋_GB2312"/>
          <w:b/>
          <w:color w:val="auto"/>
          <w:szCs w:val="32"/>
          <w:highlight w:val="none"/>
          <w:lang w:eastAsia="zh-CN"/>
        </w:rPr>
        <w:t>指标分值</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w:t>
      </w:r>
      <w:r>
        <w:rPr>
          <w:rFonts w:hint="eastAsia" w:cs="仿宋_GB2312"/>
          <w:b/>
          <w:color w:val="auto"/>
          <w:szCs w:val="32"/>
          <w:highlight w:val="none"/>
          <w:lang w:eastAsia="zh-CN"/>
        </w:rPr>
        <w:t>（得分</w:t>
      </w:r>
      <w:r>
        <w:rPr>
          <w:rFonts w:hint="eastAsia" w:cs="仿宋_GB2312"/>
          <w:b/>
          <w:color w:val="auto"/>
          <w:szCs w:val="32"/>
          <w:highlight w:val="none"/>
          <w:lang w:val="en-US" w:eastAsia="zh-CN"/>
        </w:rPr>
        <w:t>2分</w:t>
      </w:r>
      <w:r>
        <w:rPr>
          <w:rFonts w:hint="eastAsia" w:cs="仿宋_GB2312"/>
          <w:b/>
          <w:color w:val="auto"/>
          <w:szCs w:val="32"/>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Times New Roman"/>
          <w:color w:val="auto"/>
          <w:lang w:val="zh-CN" w:eastAsia="zh-CN"/>
        </w:rPr>
      </w:pPr>
      <w:r>
        <w:rPr>
          <w:rFonts w:hint="eastAsia" w:cs="Times New Roman"/>
          <w:color w:val="auto"/>
          <w:lang w:val="zh-CN" w:eastAsia="zh-CN"/>
        </w:rPr>
        <w:t>根据《西宁市城中区发展改革和经济商务局</w:t>
      </w:r>
      <w:r>
        <w:rPr>
          <w:rFonts w:hint="eastAsia" w:cs="Times New Roman"/>
          <w:color w:val="auto"/>
          <w:lang w:val="en-US" w:eastAsia="zh-CN"/>
        </w:rPr>
        <w:t>&lt;关于前营街幼儿园（暂定名）项目可行性研究报告&gt;的批复</w:t>
      </w:r>
      <w:r>
        <w:rPr>
          <w:rFonts w:hint="eastAsia" w:cs="Times New Roman"/>
          <w:color w:val="auto"/>
          <w:lang w:val="zh-CN" w:eastAsia="zh-CN"/>
        </w:rPr>
        <w:t>》（城中发经字</w:t>
      </w:r>
      <w:r>
        <w:rPr>
          <w:rFonts w:hint="eastAsia" w:ascii="Times New Roman" w:hAnsi="Times New Roman" w:eastAsia="仿宋_GB2312" w:cs="Times New Roman"/>
          <w:bCs/>
          <w:color w:val="auto"/>
          <w:sz w:val="32"/>
          <w:szCs w:val="32"/>
          <w:lang w:val="en-US" w:eastAsia="zh-CN"/>
        </w:rPr>
        <w:t>〔2017〕93号</w:t>
      </w:r>
      <w:r>
        <w:rPr>
          <w:rFonts w:hint="eastAsia" w:ascii="Times New Roman" w:hAnsi="Times New Roman" w:eastAsia="仿宋_GB2312" w:cs="Times New Roman"/>
          <w:bCs/>
          <w:color w:val="auto"/>
          <w:sz w:val="32"/>
          <w:szCs w:val="32"/>
          <w:lang w:val="zh-CN" w:eastAsia="zh-CN"/>
        </w:rPr>
        <w:t>）和《西宁市城乡规划和建设局关于&lt;城中区前营街育儿园建设项目初步设计&gt;的批复》（</w:t>
      </w:r>
      <w:r>
        <w:rPr>
          <w:rFonts w:hint="eastAsia" w:ascii="Times New Roman" w:hAnsi="Times New Roman" w:eastAsia="仿宋_GB2312" w:cs="Times New Roman"/>
          <w:bCs/>
          <w:color w:val="auto"/>
          <w:sz w:val="32"/>
          <w:szCs w:val="32"/>
          <w:lang w:val="en-US" w:eastAsia="zh-CN"/>
        </w:rPr>
        <w:t>宁规建〔2017〕305号</w:t>
      </w:r>
      <w:r>
        <w:rPr>
          <w:rFonts w:hint="eastAsia" w:ascii="Times New Roman" w:hAnsi="Times New Roman" w:eastAsia="仿宋_GB2312" w:cs="Times New Roman"/>
          <w:bCs/>
          <w:color w:val="auto"/>
          <w:sz w:val="32"/>
          <w:szCs w:val="32"/>
          <w:lang w:val="zh-CN" w:eastAsia="zh-CN"/>
        </w:rPr>
        <w:t>），城中区教育局计划在城中区法院以北，原玉井巷小学院内建设城中区前营街幼儿园，总建筑面积4981.55平方米。其中：新建幼教楼一栋，建筑面积4979.55平方米，地下一层、地上三层，框架结构；新建门卫值班室一栋，建筑面积3平方米，单层框架结</w:t>
      </w:r>
      <w:r>
        <w:rPr>
          <w:rFonts w:hint="eastAsia" w:cs="Times New Roman"/>
          <w:color w:val="auto"/>
          <w:lang w:val="zh-CN" w:eastAsia="zh-CN"/>
        </w:rPr>
        <w:t>构。项目经过可行性研究，且申报审批程序合规，审批资料齐全。</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ascii="Times New Roman" w:hAnsi="Times New Roman" w:eastAsia="仿宋_GB2312" w:cs="Times New Roman"/>
          <w:bCs/>
          <w:color w:val="auto"/>
          <w:sz w:val="32"/>
          <w:szCs w:val="32"/>
          <w:lang w:val="en-US" w:eastAsia="zh-CN"/>
        </w:rPr>
      </w:pPr>
      <w:r>
        <w:rPr>
          <w:rFonts w:hint="eastAsia" w:cs="Times New Roman"/>
          <w:b w:val="0"/>
          <w:bCs/>
          <w:color w:val="auto"/>
          <w:sz w:val="32"/>
          <w:szCs w:val="32"/>
          <w:highlight w:val="none"/>
          <w:lang w:val="en-US" w:eastAsia="zh-CN"/>
        </w:rPr>
        <w:t>根据指标体系评分标准，项目按照规定的程序申请立项，得</w:t>
      </w:r>
      <w:r>
        <w:rPr>
          <w:rFonts w:hint="eastAsia" w:ascii="Times New Roman" w:hAnsi="Times New Roman" w:eastAsia="仿宋_GB2312" w:cs="Times New Roman"/>
          <w:bCs/>
          <w:color w:val="auto"/>
          <w:sz w:val="32"/>
          <w:szCs w:val="32"/>
          <w:lang w:val="en-US" w:eastAsia="zh-CN"/>
        </w:rPr>
        <w:t>0.5分；事前经过必要的可行性研究，得1分；审批文件符合相关要求，得0.5分。指标综合得分2分。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2.绩效目标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color w:val="auto"/>
          <w:szCs w:val="32"/>
          <w:highlight w:val="none"/>
          <w:lang w:eastAsia="zh-CN"/>
        </w:rPr>
      </w:pPr>
      <w:r>
        <w:rPr>
          <w:rFonts w:hint="eastAsia" w:cs="仿宋_GB2312"/>
          <w:b/>
          <w:color w:val="auto"/>
          <w:szCs w:val="32"/>
          <w:highlight w:val="none"/>
          <w:lang w:eastAsia="zh-CN"/>
        </w:rPr>
        <w:t>（</w:t>
      </w:r>
      <w:r>
        <w:rPr>
          <w:rFonts w:hint="eastAsia" w:cs="仿宋_GB2312"/>
          <w:b/>
          <w:color w:val="auto"/>
          <w:szCs w:val="32"/>
          <w:highlight w:val="none"/>
          <w:lang w:val="en-US" w:eastAsia="zh-CN"/>
        </w:rPr>
        <w:t>1</w:t>
      </w:r>
      <w:r>
        <w:rPr>
          <w:rFonts w:hint="eastAsia" w:cs="仿宋_GB2312"/>
          <w:b/>
          <w:color w:val="auto"/>
          <w:szCs w:val="32"/>
          <w:highlight w:val="none"/>
          <w:lang w:eastAsia="zh-CN"/>
        </w:rPr>
        <w:t>）</w:t>
      </w:r>
      <w:r>
        <w:rPr>
          <w:rFonts w:hint="eastAsia" w:ascii="仿宋_GB2312" w:hAnsi="仿宋_GB2312" w:eastAsia="仿宋_GB2312" w:cs="仿宋_GB2312"/>
          <w:b/>
          <w:color w:val="auto"/>
          <w:szCs w:val="32"/>
          <w:highlight w:val="none"/>
        </w:rPr>
        <w:t>绩效目标合理性（指标分值2分）（得分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default" w:ascii="Times New Roman" w:hAnsi="Times New Roman" w:eastAsia="仿宋_GB2312" w:cs="Times New Roman"/>
          <w:bCs/>
          <w:color w:val="auto"/>
          <w:sz w:val="32"/>
          <w:szCs w:val="32"/>
          <w:lang w:val="en-US" w:eastAsia="zh-CN"/>
        </w:rPr>
      </w:pPr>
      <w:r>
        <w:rPr>
          <w:rFonts w:hint="eastAsia" w:cs="仿宋_GB2312"/>
          <w:color w:val="auto"/>
          <w:highlight w:val="none"/>
          <w:lang w:val="en-US" w:eastAsia="zh-CN"/>
        </w:rPr>
        <w:t>经查阅项目佐证资料，城中区教育局在申请项目预算时填报了《县(区)级项目支出绩效目标申报表》，项目目标为</w:t>
      </w:r>
      <w:r>
        <w:rPr>
          <w:rFonts w:hint="eastAsia" w:ascii="宋体" w:hAnsi="宋体" w:cs="宋体"/>
          <w:kern w:val="0"/>
          <w:szCs w:val="21"/>
          <w:lang w:eastAsia="zh-CN"/>
        </w:rPr>
        <w:t>建设完成</w:t>
      </w:r>
      <w:r>
        <w:rPr>
          <w:rFonts w:hint="eastAsia" w:ascii="Times New Roman" w:hAnsi="Times New Roman" w:eastAsia="仿宋_GB2312" w:cs="Times New Roman"/>
          <w:bCs/>
          <w:color w:val="auto"/>
          <w:sz w:val="32"/>
          <w:szCs w:val="32"/>
          <w:lang w:val="en-US" w:eastAsia="zh-CN"/>
        </w:rPr>
        <w:t>5130平方米的幼儿园，</w:t>
      </w:r>
      <w:r>
        <w:rPr>
          <w:rFonts w:hint="eastAsia" w:ascii="Times New Roman" w:hAnsi="Times New Roman" w:eastAsia="仿宋_GB2312" w:cs="Times New Roman"/>
          <w:bCs/>
          <w:color w:val="auto"/>
          <w:sz w:val="32"/>
          <w:szCs w:val="32"/>
          <w:lang w:eastAsia="zh-CN"/>
        </w:rPr>
        <w:t>解决玉井巷片区</w:t>
      </w:r>
      <w:r>
        <w:rPr>
          <w:rFonts w:hint="eastAsia" w:ascii="Times New Roman" w:hAnsi="Times New Roman" w:eastAsia="仿宋_GB2312" w:cs="Times New Roman"/>
          <w:bCs/>
          <w:color w:val="auto"/>
          <w:sz w:val="32"/>
          <w:szCs w:val="32"/>
          <w:lang w:val="en-US" w:eastAsia="zh-CN"/>
        </w:rPr>
        <w:t>360余名幼儿接受学前教育的问题，缓解周边公办幼儿园压力，提供优质学前教育资源。此项指标得2分。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default" w:ascii="仿宋_GB2312" w:hAnsi="仿宋_GB2312" w:eastAsia="仿宋_GB2312" w:cs="仿宋_GB2312"/>
          <w:b w:val="0"/>
          <w:bCs w:val="0"/>
          <w:color w:val="auto"/>
          <w:kern w:val="0"/>
          <w:sz w:val="32"/>
          <w:szCs w:val="32"/>
          <w:highlight w:val="none"/>
          <w:lang w:val="en-US" w:eastAsia="zh-CN" w:bidi="ar-SA"/>
        </w:rPr>
      </w:pPr>
      <w:r>
        <w:rPr>
          <w:rFonts w:hint="eastAsia" w:ascii="仿宋_GB2312" w:hAnsi="仿宋_GB2312" w:eastAsia="仿宋_GB2312" w:cs="仿宋_GB2312"/>
          <w:b w:val="0"/>
          <w:bCs w:val="0"/>
          <w:color w:val="auto"/>
          <w:kern w:val="0"/>
          <w:sz w:val="32"/>
          <w:szCs w:val="32"/>
          <w:highlight w:val="none"/>
          <w:lang w:val="en-US" w:eastAsia="zh-CN" w:bidi="ar-SA"/>
        </w:rPr>
        <w:t>根据指标体系评分标准，</w:t>
      </w:r>
      <w:r>
        <w:rPr>
          <w:rFonts w:hint="eastAsia" w:cs="仿宋_GB2312"/>
          <w:b w:val="0"/>
          <w:bCs w:val="0"/>
          <w:color w:val="auto"/>
          <w:kern w:val="0"/>
          <w:sz w:val="32"/>
          <w:szCs w:val="32"/>
          <w:highlight w:val="none"/>
          <w:lang w:val="en-US" w:eastAsia="zh-CN" w:bidi="ar-SA"/>
        </w:rPr>
        <w:t>项目目标明确，此项指标得分2分。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Autospacing="0" w:line="576" w:lineRule="exact"/>
        <w:ind w:left="0" w:leftChars="0" w:right="0" w:firstLine="643" w:firstLineChars="200"/>
        <w:jc w:val="both"/>
        <w:textAlignment w:val="auto"/>
        <w:rPr>
          <w:rFonts w:hint="eastAsia" w:ascii="仿宋_GB2312" w:hAnsi="仿宋_GB2312" w:eastAsia="仿宋_GB2312" w:cs="仿宋_GB2312"/>
          <w:b/>
          <w:color w:val="auto"/>
          <w:kern w:val="0"/>
          <w:sz w:val="32"/>
          <w:szCs w:val="32"/>
          <w:highlight w:val="none"/>
          <w:lang w:val="en-US" w:eastAsia="zh-CN" w:bidi="ar"/>
        </w:rPr>
      </w:pPr>
      <w:r>
        <w:rPr>
          <w:rFonts w:hint="eastAsia" w:ascii="仿宋_GB2312" w:hAnsi="仿宋_GB2312" w:eastAsia="仿宋_GB2312" w:cs="仿宋_GB2312"/>
          <w:b/>
          <w:color w:val="auto"/>
          <w:kern w:val="0"/>
          <w:sz w:val="32"/>
          <w:szCs w:val="32"/>
          <w:highlight w:val="none"/>
          <w:lang w:val="en-US" w:eastAsia="zh-CN" w:bidi="ar"/>
        </w:rPr>
        <w:t>（2）绩效指标明确性（指标分值2分）（得分1.25分）</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cs="仿宋_GB2312"/>
          <w:b w:val="0"/>
          <w:bCs w:val="0"/>
          <w:color w:val="auto"/>
          <w:sz w:val="32"/>
          <w:szCs w:val="32"/>
          <w:highlight w:val="none"/>
          <w:lang w:val="en-US" w:eastAsia="zh-CN"/>
        </w:rPr>
      </w:pPr>
      <w:r>
        <w:rPr>
          <w:rFonts w:hint="eastAsia" w:cs="仿宋_GB2312"/>
          <w:b w:val="0"/>
          <w:bCs w:val="0"/>
          <w:color w:val="auto"/>
          <w:sz w:val="32"/>
          <w:szCs w:val="32"/>
          <w:highlight w:val="none"/>
          <w:lang w:val="en-US" w:eastAsia="zh-CN"/>
        </w:rPr>
        <w:t>经查阅</w:t>
      </w:r>
      <w:r>
        <w:rPr>
          <w:rFonts w:hint="eastAsia" w:cs="仿宋_GB2312"/>
          <w:color w:val="auto"/>
          <w:highlight w:val="none"/>
          <w:lang w:val="en-US" w:eastAsia="zh-CN"/>
        </w:rPr>
        <w:t>城中区教育局填报的《县(区)级项目支出绩效目标申报表》</w:t>
      </w:r>
      <w:r>
        <w:rPr>
          <w:rFonts w:hint="eastAsia" w:cs="仿宋_GB2312"/>
          <w:b w:val="0"/>
          <w:bCs w:val="0"/>
          <w:color w:val="auto"/>
          <w:sz w:val="32"/>
          <w:szCs w:val="32"/>
          <w:highlight w:val="none"/>
          <w:lang w:val="en-US" w:eastAsia="zh-CN"/>
        </w:rPr>
        <w:t>，申报表中设置的绩效指标能够与项目目标任务数相对应，但存在二级绩效指标设置不全、未填写指标值的问题，具体表现如下：1.二级社会效益指标设置为“</w:t>
      </w:r>
      <w:r>
        <w:rPr>
          <w:rFonts w:hint="eastAsia" w:ascii="宋体" w:hAnsi="宋体" w:cs="宋体"/>
          <w:kern w:val="0"/>
          <w:szCs w:val="21"/>
          <w:lang w:eastAsia="zh-CN"/>
        </w:rPr>
        <w:t>解决玉井巷片区</w:t>
      </w:r>
      <w:r>
        <w:rPr>
          <w:rFonts w:hint="eastAsia" w:ascii="Times New Roman" w:hAnsi="Times New Roman" w:eastAsia="仿宋_GB2312" w:cs="Times New Roman"/>
          <w:bCs/>
          <w:color w:val="auto"/>
          <w:sz w:val="32"/>
          <w:szCs w:val="32"/>
          <w:lang w:val="en-US" w:eastAsia="zh-CN"/>
        </w:rPr>
        <w:t>360余名幼儿接受学前教育的问题，缓解周边公办幼儿园压力，提供优质学前教育资源”，指标设置为一段话不合理；2.未设置可持续影响指标、满意度指标；3.所有指标指标值空白，无法判断绩效指标完成的预期程度，不符合</w:t>
      </w:r>
      <w:r>
        <w:rPr>
          <w:rFonts w:hint="eastAsia" w:ascii="Times New Roman" w:hAnsi="Times New Roman" w:eastAsia="仿宋_GB2312" w:cs="Times New Roman"/>
          <w:bCs/>
          <w:color w:val="auto"/>
          <w:sz w:val="32"/>
          <w:szCs w:val="32"/>
        </w:rPr>
        <w:t>《中共中央 国务院关于全面实施预算绩效管理的意见》（中发〔2018〕34号）</w:t>
      </w:r>
      <w:r>
        <w:rPr>
          <w:rFonts w:hint="eastAsia" w:ascii="Times New Roman" w:hAnsi="Times New Roman" w:eastAsia="仿宋_GB2312" w:cs="Times New Roman"/>
          <w:bCs/>
          <w:color w:val="auto"/>
          <w:sz w:val="32"/>
          <w:szCs w:val="32"/>
          <w:lang w:val="en-US" w:eastAsia="zh-CN"/>
        </w:rPr>
        <w:t>“第</w:t>
      </w:r>
      <w:r>
        <w:rPr>
          <w:rFonts w:hint="eastAsia" w:ascii="仿宋_GB2312" w:eastAsia="仿宋_GB2312" w:cs="Times New Roman"/>
          <w:sz w:val="32"/>
          <w:szCs w:val="32"/>
          <w:lang w:val="en-US" w:eastAsia="zh-CN"/>
        </w:rPr>
        <w:t xml:space="preserve">七条 </w:t>
      </w:r>
      <w:r>
        <w:rPr>
          <w:rFonts w:hint="eastAsia" w:ascii="仿宋_GB2312" w:eastAsia="仿宋_GB2312" w:cs="Times New Roman"/>
          <w:sz w:val="32"/>
          <w:szCs w:val="32"/>
        </w:rPr>
        <w:t>强化绩效目标管理</w:t>
      </w:r>
      <w:r>
        <w:rPr>
          <w:rFonts w:hint="eastAsia" w:cs="Times New Roman"/>
          <w:sz w:val="32"/>
          <w:szCs w:val="32"/>
          <w:lang w:val="en-US" w:eastAsia="zh-CN"/>
        </w:rPr>
        <w:t xml:space="preserve"> </w:t>
      </w:r>
      <w:r>
        <w:rPr>
          <w:rFonts w:hint="eastAsia" w:ascii="仿宋_GB2312" w:eastAsia="仿宋_GB2312" w:cs="Times New Roman"/>
          <w:sz w:val="32"/>
          <w:szCs w:val="32"/>
        </w:rPr>
        <w:t>各地区各部门编制预算时要贯彻落实党中央</w:t>
      </w:r>
      <w:r>
        <w:rPr>
          <w:rFonts w:hint="eastAsia" w:cs="Times New Roman"/>
          <w:sz w:val="32"/>
          <w:szCs w:val="32"/>
          <w:lang w:eastAsia="zh-CN"/>
        </w:rPr>
        <w:t>、</w:t>
      </w:r>
      <w:r>
        <w:rPr>
          <w:rFonts w:hint="eastAsia" w:ascii="仿宋_GB2312" w:eastAsia="仿宋_GB2312" w:cs="Times New Roman"/>
          <w:sz w:val="32"/>
          <w:szCs w:val="32"/>
        </w:rPr>
        <w:t>国务院各项决策部署，分解细化各项工作要求，结合本地区本部门实际情况，全面设置部门和单位整体绩效目标、政策及项目绩效目标。绩效目标不仅要包括产出、成本，还要包括经济效益、社会效益、生态效益、可持续影响和服务对象满意度等绩效指标。</w:t>
      </w:r>
      <w:r>
        <w:rPr>
          <w:rFonts w:hint="eastAsia" w:cs="Times New Roman"/>
          <w:bCs/>
          <w:color w:val="auto"/>
          <w:sz w:val="32"/>
          <w:szCs w:val="32"/>
          <w:highlight w:val="none"/>
          <w:lang w:val="en-US" w:eastAsia="zh-CN"/>
        </w:rPr>
        <w:t>”中关于</w:t>
      </w:r>
      <w:r>
        <w:rPr>
          <w:rFonts w:hint="eastAsia" w:cs="仿宋_GB2312"/>
          <w:b w:val="0"/>
          <w:bCs w:val="0"/>
          <w:color w:val="auto"/>
          <w:sz w:val="32"/>
          <w:szCs w:val="32"/>
          <w:highlight w:val="none"/>
          <w:lang w:val="en-US" w:eastAsia="zh-CN"/>
        </w:rPr>
        <w:t>预算资金绩效目标管理的相关要求。</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Cs/>
          <w:color w:val="auto"/>
          <w:sz w:val="32"/>
          <w:szCs w:val="32"/>
          <w:lang w:val="en-US" w:eastAsia="zh-CN"/>
        </w:rPr>
      </w:pPr>
      <w:r>
        <w:rPr>
          <w:rFonts w:hint="eastAsia" w:cs="仿宋_GB2312"/>
          <w:b w:val="0"/>
          <w:bCs w:val="0"/>
          <w:color w:val="auto"/>
          <w:sz w:val="32"/>
          <w:szCs w:val="32"/>
          <w:highlight w:val="none"/>
          <w:lang w:val="en-US" w:eastAsia="zh-CN"/>
        </w:rPr>
        <w:t>根据指标体系评分标准，将项目绩效目标部分细化分解为具体的绩效指标，</w:t>
      </w:r>
      <w:r>
        <w:rPr>
          <w:rFonts w:hint="eastAsia" w:ascii="Times New Roman" w:hAnsi="Times New Roman" w:eastAsia="仿宋_GB2312" w:cs="Times New Roman"/>
          <w:bCs/>
          <w:color w:val="auto"/>
          <w:sz w:val="32"/>
          <w:szCs w:val="32"/>
          <w:lang w:val="en-US" w:eastAsia="zh-CN"/>
        </w:rPr>
        <w:t>扣0.25分，得0.25分；未通过清晰、可衡量的指标值予以体现，扣0.5分，得0分；与项目目标任务数或计划数相对应，得1分。此项指标综合扣0.75分，得分1.25分。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default" w:ascii="仿宋_GB2312" w:hAnsi="仿宋_GB2312" w:eastAsia="仿宋_GB2312" w:cs="仿宋_GB2312"/>
          <w:b w:val="0"/>
          <w:bCs w:val="0"/>
          <w:color w:val="auto"/>
          <w:kern w:val="0"/>
          <w:sz w:val="32"/>
          <w:szCs w:val="32"/>
          <w:highlight w:val="none"/>
          <w:lang w:val="en-US" w:eastAsia="zh-CN" w:bidi="ar-SA"/>
        </w:rPr>
      </w:pPr>
      <w:r>
        <w:rPr>
          <w:rFonts w:hint="eastAsia" w:cs="仿宋_GB2312"/>
          <w:b/>
          <w:color w:val="auto"/>
          <w:szCs w:val="32"/>
          <w:highlight w:val="none"/>
          <w:lang w:val="en-US" w:eastAsia="zh-CN"/>
        </w:rPr>
        <w:t>3</w:t>
      </w:r>
      <w:r>
        <w:rPr>
          <w:rFonts w:hint="eastAsia" w:ascii="仿宋_GB2312" w:hAnsi="仿宋_GB2312" w:eastAsia="仿宋_GB2312" w:cs="仿宋_GB2312"/>
          <w:b/>
          <w:color w:val="auto"/>
          <w:szCs w:val="32"/>
          <w:highlight w:val="none"/>
          <w:lang w:val="en-US" w:eastAsia="zh-CN"/>
        </w:rPr>
        <w:t>.资金</w:t>
      </w:r>
      <w:r>
        <w:rPr>
          <w:rFonts w:hint="eastAsia" w:cs="仿宋_GB2312"/>
          <w:b/>
          <w:color w:val="auto"/>
          <w:szCs w:val="32"/>
          <w:highlight w:val="none"/>
          <w:lang w:val="en-US" w:eastAsia="zh-CN"/>
        </w:rPr>
        <w:t>投入</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jc w:val="both"/>
        <w:textAlignment w:val="auto"/>
        <w:rPr>
          <w:rFonts w:hint="eastAsia" w:ascii="仿宋_GB2312" w:hAnsi="仿宋_GB2312" w:eastAsia="仿宋_GB2312" w:cs="仿宋_GB2312"/>
          <w:b/>
          <w:color w:val="auto"/>
          <w:szCs w:val="32"/>
          <w:highlight w:val="none"/>
          <w:lang w:val="en-US" w:eastAsia="zh-CN"/>
        </w:rPr>
      </w:pPr>
      <w:r>
        <w:rPr>
          <w:rFonts w:hint="eastAsia" w:ascii="仿宋_GB2312" w:hAnsi="仿宋_GB2312" w:eastAsia="仿宋_GB2312" w:cs="仿宋_GB2312"/>
          <w:b/>
          <w:color w:val="auto"/>
          <w:szCs w:val="32"/>
          <w:highlight w:val="none"/>
          <w:lang w:val="en-US" w:eastAsia="zh-CN"/>
        </w:rPr>
        <w:t>（1）预算编制科学性（指标分值</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lang w:val="en-US" w:eastAsia="zh-CN"/>
        </w:rPr>
        <w:t>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仿宋_GB2312"/>
          <w:b w:val="0"/>
          <w:bCs w:val="0"/>
          <w:color w:val="auto"/>
          <w:kern w:val="0"/>
          <w:sz w:val="32"/>
          <w:szCs w:val="32"/>
          <w:highlight w:val="none"/>
          <w:lang w:val="en-US" w:eastAsia="zh-CN" w:bidi="ar-SA"/>
        </w:rPr>
      </w:pPr>
      <w:r>
        <w:rPr>
          <w:rFonts w:hint="eastAsia" w:cs="仿宋_GB2312"/>
          <w:b w:val="0"/>
          <w:bCs w:val="0"/>
          <w:color w:val="auto"/>
          <w:kern w:val="0"/>
          <w:sz w:val="32"/>
          <w:szCs w:val="32"/>
          <w:highlight w:val="none"/>
          <w:lang w:val="en-US" w:eastAsia="zh-CN" w:bidi="ar-SA"/>
        </w:rPr>
        <w:t>经查阅项目佐证资料，编制的《城中区前营街幼儿园建设项目初步设计概算书》中对建筑工程、设备、配套设施工程等建设内容所需费用进行进一步细化测算，明确工程单位、数量、基价等内容。</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ascii="仿宋_GB2312" w:hAnsi="仿宋_GB2312" w:eastAsia="仿宋_GB2312" w:cs="仿宋_GB2312"/>
          <w:b w:val="0"/>
          <w:bCs w:val="0"/>
          <w:color w:val="auto"/>
          <w:kern w:val="0"/>
          <w:sz w:val="32"/>
          <w:szCs w:val="32"/>
          <w:highlight w:val="none"/>
          <w:lang w:val="en-US" w:eastAsia="zh-CN" w:bidi="ar-SA"/>
        </w:rPr>
      </w:pPr>
      <w:r>
        <w:rPr>
          <w:rFonts w:hint="eastAsia" w:cs="仿宋_GB2312"/>
          <w:b w:val="0"/>
          <w:bCs w:val="0"/>
          <w:color w:val="auto"/>
          <w:kern w:val="0"/>
          <w:sz w:val="32"/>
          <w:szCs w:val="32"/>
          <w:highlight w:val="none"/>
          <w:lang w:val="en-US" w:eastAsia="zh-CN" w:bidi="ar-SA"/>
        </w:rPr>
        <w:t>根据指标体系评分标准，项目预算编制测算依据充分，预算内容与项目实际建设内容相匹配</w:t>
      </w:r>
      <w:r>
        <w:rPr>
          <w:rFonts w:hint="eastAsia" w:ascii="仿宋_GB2312" w:hAnsi="仿宋_GB2312" w:eastAsia="仿宋_GB2312" w:cs="仿宋_GB2312"/>
          <w:b w:val="0"/>
          <w:bCs w:val="0"/>
          <w:color w:val="auto"/>
          <w:kern w:val="0"/>
          <w:sz w:val="32"/>
          <w:szCs w:val="32"/>
          <w:highlight w:val="none"/>
          <w:lang w:val="en-US" w:eastAsia="zh-CN" w:bidi="ar-SA"/>
        </w:rPr>
        <w:t>。指标得分</w:t>
      </w:r>
      <w:r>
        <w:rPr>
          <w:rFonts w:hint="eastAsia" w:ascii="Times New Roman" w:hAnsi="Times New Roman" w:eastAsia="仿宋_GB2312" w:cs="Times New Roman"/>
          <w:bCs/>
          <w:color w:val="auto"/>
          <w:sz w:val="32"/>
          <w:szCs w:val="32"/>
          <w:lang w:val="en-US" w:eastAsia="zh-CN"/>
        </w:rPr>
        <w:t>2</w:t>
      </w:r>
      <w:r>
        <w:rPr>
          <w:rFonts w:hint="eastAsia" w:ascii="仿宋_GB2312" w:hAnsi="仿宋_GB2312" w:eastAsia="仿宋_GB2312" w:cs="仿宋_GB2312"/>
          <w:b w:val="0"/>
          <w:bCs w:val="0"/>
          <w:color w:val="auto"/>
          <w:kern w:val="0"/>
          <w:sz w:val="32"/>
          <w:szCs w:val="32"/>
          <w:highlight w:val="none"/>
          <w:lang w:val="en-US" w:eastAsia="zh-CN" w:bidi="ar-SA"/>
        </w:rPr>
        <w:t>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ascii="仿宋_GB2312" w:hAnsi="仿宋_GB2312" w:cs="仿宋_GB2312"/>
          <w:b/>
          <w:bCs/>
          <w:color w:val="auto"/>
          <w:szCs w:val="32"/>
          <w:highlight w:val="none"/>
        </w:rPr>
      </w:pPr>
      <w:r>
        <w:rPr>
          <w:rFonts w:hint="eastAsia" w:cs="仿宋_GB2312"/>
          <w:b/>
          <w:bCs/>
          <w:color w:val="auto"/>
          <w:highlight w:val="none"/>
          <w:lang w:eastAsia="zh-CN"/>
        </w:rPr>
        <w:t>（</w:t>
      </w:r>
      <w:r>
        <w:rPr>
          <w:rFonts w:hint="eastAsia" w:cs="仿宋_GB2312"/>
          <w:b/>
          <w:bCs/>
          <w:color w:val="auto"/>
          <w:highlight w:val="none"/>
          <w:lang w:val="en-US" w:eastAsia="zh-CN"/>
        </w:rPr>
        <w:t>2</w:t>
      </w:r>
      <w:r>
        <w:rPr>
          <w:rFonts w:hint="eastAsia" w:cs="仿宋_GB2312"/>
          <w:b/>
          <w:bCs/>
          <w:color w:val="auto"/>
          <w:highlight w:val="none"/>
          <w:lang w:eastAsia="zh-CN"/>
        </w:rPr>
        <w:t>）</w:t>
      </w:r>
      <w:r>
        <w:rPr>
          <w:rFonts w:hint="eastAsia" w:ascii="仿宋_GB2312" w:hAnsi="仿宋_GB2312" w:cs="仿宋_GB2312"/>
          <w:b/>
          <w:bCs/>
          <w:color w:val="auto"/>
          <w:highlight w:val="none"/>
        </w:rPr>
        <w:t>资金到位率</w:t>
      </w:r>
      <w:r>
        <w:rPr>
          <w:rFonts w:hint="eastAsia" w:ascii="仿宋_GB2312" w:hAnsi="仿宋_GB2312" w:cs="仿宋_GB2312"/>
          <w:b/>
          <w:bCs/>
          <w:color w:val="auto"/>
          <w:szCs w:val="32"/>
          <w:highlight w:val="none"/>
        </w:rPr>
        <w:t>（指标分值2分）（得分2分）</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Cs/>
          <w:color w:val="auto"/>
          <w:sz w:val="32"/>
          <w:szCs w:val="32"/>
          <w:lang w:val="en-US" w:eastAsia="zh-CN"/>
        </w:rPr>
      </w:pPr>
      <w:r>
        <w:rPr>
          <w:rFonts w:hint="eastAsia" w:cs="仿宋_GB2312"/>
          <w:b w:val="0"/>
          <w:bCs w:val="0"/>
          <w:color w:val="auto"/>
          <w:kern w:val="0"/>
          <w:sz w:val="32"/>
          <w:szCs w:val="32"/>
          <w:highlight w:val="none"/>
          <w:lang w:val="en-US" w:eastAsia="zh-CN" w:bidi="ar-SA"/>
        </w:rPr>
        <w:t>经查阅项目财务资料和审计报告，</w:t>
      </w:r>
      <w:r>
        <w:rPr>
          <w:rFonts w:hint="eastAsia" w:ascii="Times New Roman" w:hAnsi="Times New Roman" w:eastAsia="仿宋_GB2312" w:cs="Times New Roman"/>
          <w:bCs/>
          <w:color w:val="auto"/>
          <w:sz w:val="32"/>
          <w:szCs w:val="32"/>
          <w:lang w:val="en-US" w:eastAsia="zh-CN"/>
        </w:rPr>
        <w:t>截至2021年11月23日，该项目应到位资金17870000.00元，实际到位资金18507432.65元，其中：中央预算内资金5160000.00元，市财政专项资金5000000.00元，区级配套资金8347432.65元，资金到位率为103.57%。</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根据指标体系评分标准，项目资金到位率为103.57%，指标得分2分。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outlineLvl w:val="1"/>
        <w:rPr>
          <w:rFonts w:hint="eastAsia" w:ascii="楷体_GB2312" w:hAnsi="楷体_GB2312" w:eastAsia="楷体_GB2312" w:cs="楷体_GB2312"/>
          <w:b/>
          <w:bCs/>
          <w:szCs w:val="32"/>
          <w:lang w:val="zh-CN"/>
        </w:rPr>
      </w:pPr>
      <w:bookmarkStart w:id="1290" w:name="_Toc20955"/>
      <w:bookmarkStart w:id="1291" w:name="_Toc567"/>
      <w:bookmarkStart w:id="1292" w:name="_Toc31257"/>
      <w:bookmarkStart w:id="1293" w:name="_Toc6994"/>
      <w:r>
        <w:rPr>
          <w:rFonts w:hint="eastAsia" w:ascii="楷体_GB2312" w:hAnsi="楷体_GB2312" w:eastAsia="楷体_GB2312" w:cs="楷体_GB2312"/>
          <w:b/>
          <w:bCs/>
          <w:szCs w:val="32"/>
          <w:lang w:val="zh-CN"/>
        </w:rPr>
        <w:t>（二）项目过程情况</w:t>
      </w:r>
      <w:bookmarkEnd w:id="1290"/>
      <w:bookmarkEnd w:id="1291"/>
      <w:bookmarkEnd w:id="1292"/>
      <w:bookmarkEnd w:id="1293"/>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rPr>
          <w:rFonts w:hint="eastAsia" w:ascii="仿宋_GB2312" w:hAnsi="仿宋_GB2312" w:eastAsia="仿宋_GB2312" w:cs="仿宋_GB2312"/>
          <w:color w:val="auto"/>
          <w:highlight w:val="none"/>
          <w:lang w:val="en-US" w:eastAsia="zh-CN"/>
        </w:rPr>
      </w:pPr>
      <w:r>
        <w:rPr>
          <w:rFonts w:hint="eastAsia" w:cs="仿宋_GB2312"/>
          <w:color w:val="auto"/>
          <w:highlight w:val="none"/>
          <w:lang w:val="en-US" w:eastAsia="zh-CN"/>
        </w:rPr>
        <w:t>西宁市城中区前营街幼儿园建设项目</w:t>
      </w:r>
      <w:r>
        <w:rPr>
          <w:rFonts w:hint="eastAsia" w:ascii="仿宋_GB2312" w:hAnsi="仿宋_GB2312" w:eastAsia="仿宋_GB2312" w:cs="仿宋_GB2312"/>
          <w:color w:val="auto"/>
          <w:highlight w:val="none"/>
          <w:lang w:val="en-US" w:eastAsia="zh-CN"/>
        </w:rPr>
        <w:t>绩效评价</w:t>
      </w:r>
      <w:r>
        <w:rPr>
          <w:rFonts w:hint="eastAsia" w:cs="仿宋_GB2312"/>
          <w:color w:val="auto"/>
          <w:highlight w:val="none"/>
          <w:lang w:val="en-US" w:eastAsia="zh-CN"/>
        </w:rPr>
        <w:t>过程</w:t>
      </w:r>
      <w:r>
        <w:rPr>
          <w:rFonts w:hint="eastAsia" w:ascii="仿宋_GB2312" w:hAnsi="仿宋_GB2312" w:eastAsia="仿宋_GB2312" w:cs="仿宋_GB2312"/>
          <w:color w:val="auto"/>
          <w:highlight w:val="none"/>
          <w:lang w:val="en-US" w:eastAsia="zh-CN"/>
        </w:rPr>
        <w:t>类指标分别</w:t>
      </w:r>
      <w:r>
        <w:rPr>
          <w:rFonts w:hint="eastAsia" w:cs="仿宋_GB2312"/>
          <w:color w:val="auto"/>
          <w:highlight w:val="none"/>
          <w:lang w:val="en-US" w:eastAsia="zh-CN"/>
        </w:rPr>
        <w:t>从项目管理</w:t>
      </w:r>
      <w:r>
        <w:rPr>
          <w:rFonts w:hint="eastAsia" w:ascii="仿宋_GB2312" w:hAnsi="仿宋_GB2312" w:eastAsia="仿宋_GB2312" w:cs="仿宋_GB2312"/>
          <w:color w:val="auto"/>
          <w:highlight w:val="none"/>
          <w:lang w:val="en-US" w:eastAsia="zh-CN"/>
        </w:rPr>
        <w:t>和</w:t>
      </w:r>
      <w:r>
        <w:rPr>
          <w:rFonts w:hint="eastAsia" w:cs="仿宋_GB2312"/>
          <w:color w:val="auto"/>
          <w:highlight w:val="none"/>
          <w:lang w:val="en-US" w:eastAsia="zh-CN"/>
        </w:rPr>
        <w:t>资金管理两个方面进行综合分析。各项</w:t>
      </w:r>
      <w:r>
        <w:rPr>
          <w:rFonts w:hint="eastAsia" w:ascii="仿宋_GB2312" w:hAnsi="仿宋_GB2312" w:eastAsia="仿宋_GB2312" w:cs="仿宋_GB2312"/>
          <w:color w:val="auto"/>
          <w:highlight w:val="none"/>
          <w:lang w:val="en-US" w:eastAsia="zh-CN"/>
        </w:rPr>
        <w:t>指标具体得分情况如下表所示：</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2315"/>
        <w:gridCol w:w="3206"/>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62" w:type="dxa"/>
            <w:gridSpan w:val="4"/>
            <w:tcBorders>
              <w:top w:val="nil"/>
              <w:left w:val="nil"/>
              <w:bottom w:val="double" w:color="000000" w:sz="4" w:space="0"/>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4</w:t>
            </w:r>
            <w:r>
              <w:rPr>
                <w:rFonts w:hint="eastAsia" w:ascii="宋体" w:hAnsi="宋体" w:eastAsia="宋体" w:cs="宋体"/>
                <w:b/>
                <w:bCs/>
                <w:color w:val="auto"/>
                <w:sz w:val="28"/>
                <w:szCs w:val="28"/>
                <w:highlight w:val="none"/>
                <w:lang w:eastAsia="zh-CN"/>
              </w:rPr>
              <w:t>过程</w:t>
            </w:r>
            <w:r>
              <w:rPr>
                <w:rFonts w:hint="eastAsia" w:ascii="宋体" w:hAnsi="宋体" w:eastAsia="宋体" w:cs="宋体"/>
                <w:b/>
                <w:bCs/>
                <w:color w:val="auto"/>
                <w:sz w:val="28"/>
                <w:szCs w:val="28"/>
                <w:highlight w:val="none"/>
              </w:rPr>
              <w:t>类各项指标绩效评价</w:t>
            </w:r>
            <w:r>
              <w:rPr>
                <w:rFonts w:hint="eastAsia" w:ascii="宋体" w:hAnsi="宋体" w:eastAsia="宋体" w:cs="宋体"/>
                <w:b/>
                <w:color w:val="auto"/>
                <w:sz w:val="28"/>
                <w:szCs w:val="28"/>
                <w:highlight w:val="none"/>
              </w:rPr>
              <w:t>得分表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tcBorders>
              <w:top w:val="double" w:color="000000" w:sz="4" w:space="0"/>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2162" w:type="dxa"/>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2994" w:type="dxa"/>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1341" w:type="dxa"/>
            <w:tcBorders>
              <w:top w:val="double" w:color="000000" w:sz="4" w:space="0"/>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restart"/>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过程</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88.70</w:t>
            </w:r>
            <w:r>
              <w:rPr>
                <w:rFonts w:hint="eastAsia" w:ascii="宋体" w:hAnsi="宋体" w:eastAsia="宋体" w:cs="宋体"/>
                <w:bCs/>
                <w:color w:val="auto"/>
                <w:sz w:val="24"/>
                <w:szCs w:val="22"/>
                <w:highlight w:val="none"/>
              </w:rPr>
              <w:t>%</w:t>
            </w:r>
          </w:p>
        </w:tc>
        <w:tc>
          <w:tcPr>
            <w:tcW w:w="2162" w:type="dxa"/>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项目管理</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89.33</w:t>
            </w:r>
            <w:r>
              <w:rPr>
                <w:rFonts w:hint="eastAsia" w:ascii="宋体" w:hAnsi="宋体" w:eastAsia="宋体" w:cs="宋体"/>
                <w:bCs/>
                <w:color w:val="auto"/>
                <w:sz w:val="24"/>
                <w:szCs w:val="22"/>
                <w:highlight w:val="none"/>
              </w:rPr>
              <w:t>%</w:t>
            </w:r>
          </w:p>
        </w:tc>
        <w:tc>
          <w:tcPr>
            <w:tcW w:w="2994" w:type="dxa"/>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Cs/>
                <w:i w:val="0"/>
                <w:iCs w:val="0"/>
                <w:color w:val="auto"/>
                <w:sz w:val="24"/>
                <w:szCs w:val="22"/>
                <w:highlight w:val="none"/>
              </w:rPr>
            </w:pPr>
            <w:r>
              <w:rPr>
                <w:rFonts w:hint="eastAsia" w:ascii="宋体" w:hAnsi="宋体" w:eastAsia="宋体" w:cs="宋体"/>
                <w:color w:val="auto"/>
                <w:sz w:val="24"/>
                <w:szCs w:val="24"/>
                <w:highlight w:val="none"/>
                <w:lang w:val="en-US" w:eastAsia="zh-CN"/>
              </w:rPr>
              <w:t>管理制度健全性</w:t>
            </w:r>
          </w:p>
        </w:tc>
        <w:tc>
          <w:tcPr>
            <w:tcW w:w="1341" w:type="dxa"/>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16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994" w:type="dxa"/>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lang w:eastAsia="zh-CN"/>
              </w:rPr>
            </w:pPr>
            <w:r>
              <w:rPr>
                <w:rFonts w:hint="eastAsia" w:ascii="宋体" w:hAnsi="宋体" w:eastAsia="宋体" w:cs="宋体"/>
                <w:color w:val="auto"/>
                <w:sz w:val="24"/>
                <w:szCs w:val="24"/>
                <w:highlight w:val="none"/>
                <w:lang w:val="en-US" w:eastAsia="zh-CN"/>
              </w:rPr>
              <w:t>采购招投标合规性</w:t>
            </w:r>
          </w:p>
        </w:tc>
        <w:tc>
          <w:tcPr>
            <w:tcW w:w="1341" w:type="dxa"/>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16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994" w:type="dxa"/>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lang w:eastAsia="zh-CN"/>
              </w:rPr>
            </w:pPr>
            <w:r>
              <w:rPr>
                <w:rFonts w:hint="eastAsia" w:ascii="宋体" w:hAnsi="宋体" w:eastAsia="宋体" w:cs="宋体"/>
                <w:color w:val="auto"/>
                <w:sz w:val="24"/>
                <w:szCs w:val="24"/>
                <w:highlight w:val="none"/>
                <w:lang w:val="en-US" w:eastAsia="zh-CN"/>
              </w:rPr>
              <w:t>合同管理规范性</w:t>
            </w:r>
          </w:p>
        </w:tc>
        <w:tc>
          <w:tcPr>
            <w:tcW w:w="1341" w:type="dxa"/>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16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994" w:type="dxa"/>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lang w:eastAsia="zh-CN"/>
              </w:rPr>
            </w:pPr>
            <w:r>
              <w:rPr>
                <w:rFonts w:hint="eastAsia" w:ascii="宋体" w:hAnsi="宋体" w:eastAsia="宋体" w:cs="宋体"/>
                <w:color w:val="auto"/>
                <w:sz w:val="24"/>
                <w:szCs w:val="24"/>
                <w:highlight w:val="none"/>
                <w:lang w:val="en-US" w:eastAsia="zh-CN"/>
              </w:rPr>
              <w:t>施工管理规范性</w:t>
            </w:r>
          </w:p>
        </w:tc>
        <w:tc>
          <w:tcPr>
            <w:tcW w:w="1341" w:type="dxa"/>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16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994" w:type="dxa"/>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lang w:eastAsia="zh-CN"/>
              </w:rPr>
            </w:pPr>
            <w:r>
              <w:rPr>
                <w:rFonts w:hint="eastAsia" w:ascii="宋体" w:hAnsi="宋体" w:eastAsia="宋体" w:cs="宋体"/>
                <w:color w:val="auto"/>
                <w:sz w:val="24"/>
                <w:szCs w:val="24"/>
                <w:highlight w:val="none"/>
                <w:lang w:val="en-US" w:eastAsia="zh-CN"/>
              </w:rPr>
              <w:t>工程监理管理规范性</w:t>
            </w:r>
          </w:p>
        </w:tc>
        <w:tc>
          <w:tcPr>
            <w:tcW w:w="1341" w:type="dxa"/>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16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994" w:type="dxa"/>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i w:val="0"/>
                <w:iCs w:val="0"/>
                <w:color w:val="auto"/>
                <w:kern w:val="0"/>
                <w:sz w:val="24"/>
                <w:szCs w:val="24"/>
                <w:highlight w:val="none"/>
                <w:lang w:eastAsia="zh-CN"/>
              </w:rPr>
            </w:pPr>
            <w:r>
              <w:rPr>
                <w:rFonts w:hint="eastAsia" w:ascii="宋体" w:hAnsi="宋体" w:eastAsia="宋体" w:cs="宋体"/>
                <w:color w:val="auto"/>
                <w:sz w:val="24"/>
                <w:szCs w:val="24"/>
                <w:highlight w:val="none"/>
                <w:lang w:val="en-US" w:eastAsia="zh-CN"/>
              </w:rPr>
              <w:t>项目验收规范性</w:t>
            </w:r>
          </w:p>
        </w:tc>
        <w:tc>
          <w:tcPr>
            <w:tcW w:w="1341" w:type="dxa"/>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16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994" w:type="dxa"/>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仿宋_GB2312"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移交手续完备性</w:t>
            </w:r>
          </w:p>
        </w:tc>
        <w:tc>
          <w:tcPr>
            <w:tcW w:w="1341" w:type="dxa"/>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16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2994" w:type="dxa"/>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bCs/>
                <w:i w:val="0"/>
                <w:iCs w:val="0"/>
                <w:color w:val="auto"/>
                <w:sz w:val="24"/>
                <w:szCs w:val="22"/>
                <w:highlight w:val="none"/>
              </w:rPr>
            </w:pPr>
            <w:r>
              <w:rPr>
                <w:rFonts w:hint="eastAsia" w:ascii="宋体" w:hAnsi="宋体" w:eastAsia="宋体" w:cs="宋体"/>
                <w:color w:val="auto"/>
                <w:sz w:val="24"/>
                <w:szCs w:val="24"/>
                <w:highlight w:val="none"/>
                <w:lang w:val="en-US" w:eastAsia="zh-CN"/>
              </w:rPr>
              <w:t>档案管理完整性</w:t>
            </w:r>
          </w:p>
        </w:tc>
        <w:tc>
          <w:tcPr>
            <w:tcW w:w="1341" w:type="dxa"/>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2162" w:type="dxa"/>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资金管理</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87.50</w:t>
            </w:r>
            <w:r>
              <w:rPr>
                <w:rFonts w:hint="eastAsia" w:ascii="宋体" w:hAnsi="宋体" w:eastAsia="宋体" w:cs="宋体"/>
                <w:bCs/>
                <w:color w:val="auto"/>
                <w:sz w:val="24"/>
                <w:szCs w:val="22"/>
                <w:highlight w:val="none"/>
              </w:rPr>
              <w:t>%</w:t>
            </w:r>
          </w:p>
        </w:tc>
        <w:tc>
          <w:tcPr>
            <w:tcW w:w="2994" w:type="dxa"/>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资金支出进度</w:t>
            </w:r>
          </w:p>
        </w:tc>
        <w:tc>
          <w:tcPr>
            <w:tcW w:w="1341" w:type="dxa"/>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216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2994" w:type="dxa"/>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资金使用合规性</w:t>
            </w:r>
          </w:p>
        </w:tc>
        <w:tc>
          <w:tcPr>
            <w:tcW w:w="1341" w:type="dxa"/>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96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216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2994" w:type="dxa"/>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财务管理规范性</w:t>
            </w:r>
          </w:p>
        </w:tc>
        <w:tc>
          <w:tcPr>
            <w:tcW w:w="1341" w:type="dxa"/>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7121" w:type="dxa"/>
            <w:gridSpan w:val="3"/>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val="en-US" w:eastAsia="zh-CN"/>
              </w:rPr>
              <w:t>过程</w:t>
            </w:r>
            <w:r>
              <w:rPr>
                <w:rFonts w:hint="eastAsia" w:ascii="宋体" w:hAnsi="宋体" w:eastAsia="宋体" w:cs="宋体"/>
                <w:b/>
                <w:color w:val="auto"/>
                <w:sz w:val="24"/>
                <w:szCs w:val="22"/>
                <w:highlight w:val="none"/>
              </w:rPr>
              <w:t>”情况评级</w:t>
            </w:r>
          </w:p>
        </w:tc>
        <w:tc>
          <w:tcPr>
            <w:tcW w:w="1341"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良</w:t>
            </w:r>
          </w:p>
        </w:tc>
      </w:tr>
    </w:tbl>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default" w:cs="Times New Roman"/>
          <w:b/>
          <w:bCs/>
          <w:color w:val="auto"/>
          <w:highlight w:val="none"/>
          <w:lang w:val="en-US" w:eastAsia="zh-CN"/>
        </w:rPr>
      </w:pPr>
      <w:r>
        <w:rPr>
          <w:rFonts w:hint="eastAsia" w:cs="Times New Roman"/>
          <w:b/>
          <w:bCs/>
          <w:color w:val="auto"/>
          <w:highlight w:val="none"/>
          <w:lang w:val="en-US" w:eastAsia="zh-CN"/>
        </w:rPr>
        <w:t>1.项目管理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textAlignment w:val="auto"/>
        <w:rPr>
          <w:rFonts w:hint="eastAsia" w:ascii="仿宋_GB2312" w:hAnsi="仿宋_GB2312" w:eastAsia="仿宋_GB2312" w:cs="仿宋_GB2312"/>
          <w:b/>
          <w:color w:val="auto"/>
          <w:szCs w:val="32"/>
          <w:highlight w:val="none"/>
          <w:lang w:eastAsia="zh-CN"/>
        </w:rPr>
      </w:pPr>
      <w:r>
        <w:rPr>
          <w:rFonts w:hint="eastAsia" w:cs="仿宋_GB2312"/>
          <w:b/>
          <w:color w:val="auto"/>
          <w:szCs w:val="32"/>
          <w:highlight w:val="none"/>
          <w:lang w:eastAsia="zh-CN"/>
        </w:rPr>
        <w:t>（</w:t>
      </w:r>
      <w:r>
        <w:rPr>
          <w:rFonts w:hint="eastAsia" w:cs="仿宋_GB2312"/>
          <w:b/>
          <w:color w:val="auto"/>
          <w:szCs w:val="32"/>
          <w:highlight w:val="none"/>
          <w:lang w:val="en-US" w:eastAsia="zh-CN"/>
        </w:rPr>
        <w:t>1</w:t>
      </w:r>
      <w:r>
        <w:rPr>
          <w:rFonts w:hint="eastAsia" w:cs="仿宋_GB2312"/>
          <w:b/>
          <w:color w:val="auto"/>
          <w:szCs w:val="32"/>
          <w:highlight w:val="none"/>
          <w:lang w:eastAsia="zh-CN"/>
        </w:rPr>
        <w:t>）</w:t>
      </w:r>
      <w:r>
        <w:rPr>
          <w:rFonts w:hint="default" w:ascii="仿宋_GB2312" w:hAnsi="仿宋_GB2312" w:eastAsia="仿宋_GB2312" w:cs="仿宋_GB2312"/>
          <w:b/>
          <w:color w:val="auto"/>
          <w:szCs w:val="32"/>
          <w:highlight w:val="none"/>
          <w:lang w:val="en-US" w:eastAsia="zh-CN"/>
        </w:rPr>
        <w:t>管理制度健全性</w:t>
      </w:r>
      <w:r>
        <w:rPr>
          <w:rFonts w:hint="eastAsia" w:ascii="仿宋_GB2312" w:hAnsi="仿宋_GB2312" w:eastAsia="仿宋_GB2312" w:cs="仿宋_GB2312"/>
          <w:b/>
          <w:color w:val="auto"/>
          <w:szCs w:val="32"/>
          <w:highlight w:val="none"/>
        </w:rPr>
        <w:t>（指标分值2分）（得分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rPr>
          <w:rFonts w:hint="eastAsia" w:cs="仿宋_GB2312"/>
          <w:color w:val="auto"/>
          <w:highlight w:val="none"/>
          <w:lang w:val="en-US" w:eastAsia="zh-CN"/>
        </w:rPr>
      </w:pPr>
      <w:r>
        <w:rPr>
          <w:rFonts w:hint="eastAsia" w:cs="仿宋_GB2312"/>
          <w:color w:val="auto"/>
          <w:highlight w:val="none"/>
          <w:lang w:val="en-US" w:eastAsia="zh-CN"/>
        </w:rPr>
        <w:t>经查阅项目佐证资料，城中区教育局具有项目实施的业务、财务管理制度，且各管理制度内容完整、明确且合规。具体体现为：《城中区教育局基建项目管理办法》中明确了基建工程的立项，可研报告、勘察与设计，基建工程招投标，基建工程的施工管理，工程结算与审计，档案管理等要求；《城中区教育局基建项目资金管理办法》中明确了资金的分配、使用、管理和调拨程序。</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rPr>
          <w:rFonts w:hint="default" w:cs="仿宋_GB2312"/>
          <w:color w:val="auto"/>
          <w:highlight w:val="none"/>
          <w:lang w:val="en-US" w:eastAsia="zh-CN"/>
        </w:rPr>
      </w:pPr>
      <w:r>
        <w:rPr>
          <w:rFonts w:hint="eastAsia" w:cs="仿宋_GB2312"/>
          <w:color w:val="auto"/>
          <w:highlight w:val="none"/>
          <w:lang w:val="en-US" w:eastAsia="zh-CN"/>
        </w:rPr>
        <w:t>根据指标体系评分标准，项目业务管理制度、财务管理制度</w:t>
      </w:r>
      <w:r>
        <w:rPr>
          <w:rFonts w:hint="eastAsia" w:ascii="Times New Roman" w:hAnsi="Times New Roman" w:eastAsia="仿宋_GB2312" w:cs="Times New Roman"/>
          <w:bCs/>
          <w:color w:val="auto"/>
          <w:sz w:val="32"/>
          <w:szCs w:val="32"/>
          <w:lang w:val="en-US" w:eastAsia="zh-CN"/>
        </w:rPr>
        <w:t>健全，得1分；各管理制度内容完整、明确且合规，确保了项目的顺利实施，得1分。指标综合得分2分</w:t>
      </w:r>
      <w:r>
        <w:rPr>
          <w:rFonts w:hint="eastAsia" w:cs="仿宋_GB2312"/>
          <w:color w:val="auto"/>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color w:val="auto"/>
          <w:szCs w:val="32"/>
          <w:highlight w:val="none"/>
          <w:lang w:val="en-US" w:eastAsia="zh-CN"/>
        </w:rPr>
      </w:pPr>
      <w:r>
        <w:rPr>
          <w:rFonts w:hint="eastAsia" w:cs="仿宋_GB2312"/>
          <w:b/>
          <w:color w:val="auto"/>
          <w:szCs w:val="32"/>
          <w:highlight w:val="none"/>
          <w:lang w:val="en-US" w:eastAsia="zh-CN"/>
        </w:rPr>
        <w:t>（2）采购招投标合规性</w:t>
      </w:r>
      <w:r>
        <w:rPr>
          <w:rFonts w:hint="eastAsia" w:ascii="仿宋_GB2312" w:hAnsi="仿宋_GB2312" w:eastAsia="仿宋_GB2312" w:cs="仿宋_GB2312"/>
          <w:b/>
          <w:color w:val="auto"/>
          <w:szCs w:val="32"/>
          <w:highlight w:val="none"/>
        </w:rPr>
        <w:t>（指标分值</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cs="仿宋_GB2312"/>
          <w:color w:val="auto"/>
          <w:highlight w:val="none"/>
          <w:lang w:val="en-US" w:eastAsia="zh-CN"/>
        </w:rPr>
        <w:t>经查阅项目佐证资料</w:t>
      </w:r>
      <w:r>
        <w:rPr>
          <w:rFonts w:hint="eastAsia" w:ascii="Times New Roman" w:hAnsi="Times New Roman" w:eastAsia="仿宋_GB2312" w:cs="Times New Roman"/>
          <w:bCs/>
          <w:color w:val="auto"/>
          <w:sz w:val="32"/>
          <w:szCs w:val="32"/>
          <w:lang w:val="en-US" w:eastAsia="zh-CN"/>
        </w:rPr>
        <w:t>，2017年10月，</w:t>
      </w:r>
      <w:r>
        <w:rPr>
          <w:rFonts w:hint="eastAsia" w:cs="Times New Roman"/>
          <w:color w:val="auto"/>
          <w:lang w:val="en-US" w:eastAsia="zh-CN"/>
        </w:rPr>
        <w:t>西宁市城中区教育局委托红城国际工程管理有限公司进行了前营街幼儿园建设项目工程施工和监理工程的公开招标工作。经评标委员会评定，确定陕西盛鑫建筑安装工程有限公司为该项目施工中标单位，于</w:t>
      </w:r>
      <w:r>
        <w:rPr>
          <w:rFonts w:hint="eastAsia" w:ascii="Times New Roman" w:hAnsi="Times New Roman" w:eastAsia="仿宋_GB2312" w:cs="Times New Roman"/>
          <w:bCs/>
          <w:color w:val="auto"/>
          <w:sz w:val="32"/>
          <w:szCs w:val="32"/>
          <w:lang w:val="en-US" w:eastAsia="zh-CN"/>
        </w:rPr>
        <w:t>2017年12月2日发布中标公告；确定浙江同舟建设管理有限公司为该项目监理中标单位，于2018年12月8日发布中标公告。施工单位与监理单位在中标公告规定的时间内与城中区教育局签订《合同协议书》</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根据指标体系评分标准，项目按照政府采购规定程序制定招标采购计划、确定招标形式、有序开展招标工作，得1分；按照政府采购法律法规及时发布招标采购项目信息并公示招标结果，得0.5分；项目招标采购各项审批文件及资料完整合规，按照招标要求及时完成相关合同的签订，得0.5分。指标综合得分2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textAlignment w:val="auto"/>
        <w:rPr>
          <w:rFonts w:hint="eastAsia" w:ascii="仿宋_GB2312" w:hAnsi="仿宋_GB2312" w:eastAsia="仿宋_GB2312" w:cs="仿宋_GB2312"/>
          <w:b/>
          <w:color w:val="auto"/>
          <w:szCs w:val="32"/>
          <w:highlight w:val="none"/>
          <w:lang w:val="en-US" w:eastAsia="zh-CN"/>
        </w:rPr>
      </w:pPr>
      <w:r>
        <w:rPr>
          <w:rFonts w:hint="eastAsia" w:cs="仿宋_GB2312"/>
          <w:b/>
          <w:color w:val="auto"/>
          <w:szCs w:val="32"/>
          <w:highlight w:val="none"/>
          <w:lang w:val="en-US" w:eastAsia="zh-CN"/>
        </w:rPr>
        <w:t>（3）合同管理规范性</w:t>
      </w:r>
      <w:r>
        <w:rPr>
          <w:rFonts w:hint="eastAsia" w:ascii="仿宋_GB2312" w:hAnsi="仿宋_GB2312" w:eastAsia="仿宋_GB2312" w:cs="仿宋_GB2312"/>
          <w:b/>
          <w:color w:val="auto"/>
          <w:szCs w:val="32"/>
          <w:highlight w:val="none"/>
        </w:rPr>
        <w:t>（指标分值2分）（得分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Times New Roman"/>
          <w:spacing w:val="-5"/>
          <w:lang w:eastAsia="zh-CN"/>
        </w:rPr>
      </w:pPr>
      <w:r>
        <w:rPr>
          <w:rFonts w:hint="eastAsia" w:cs="仿宋_GB2312"/>
          <w:color w:val="auto"/>
          <w:highlight w:val="none"/>
          <w:lang w:val="en-US" w:eastAsia="zh-CN"/>
        </w:rPr>
        <w:t>经查阅项目佐证资料，项目</w:t>
      </w:r>
      <w:r>
        <w:rPr>
          <w:rFonts w:cs="Times New Roman"/>
          <w:spacing w:val="-4"/>
        </w:rPr>
        <w:t>合同签订过程及内容规范，按照合同约定进行各项工程建设，</w:t>
      </w:r>
      <w:r>
        <w:rPr>
          <w:rFonts w:cs="Times New Roman"/>
          <w:spacing w:val="-5"/>
        </w:rPr>
        <w:t>无合同纠纷及合同变更情况</w:t>
      </w:r>
      <w:r>
        <w:rPr>
          <w:rFonts w:hint="eastAsia" w:cs="Times New Roman"/>
          <w:spacing w:val="-5"/>
          <w:lang w:eastAsia="zh-CN"/>
        </w:rPr>
        <w:t>。项目合同签订情况详见下表：</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0" w:leftChars="0"/>
        <w:jc w:val="center"/>
        <w:textAlignment w:val="auto"/>
        <w:rPr>
          <w:rFonts w:hint="eastAsia" w:cs="Times New Roman"/>
          <w:b/>
          <w:bCs/>
          <w:spacing w:val="-5"/>
          <w:highlight w:val="none"/>
          <w:lang w:eastAsia="zh-CN"/>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5西宁市城中区前营街幼儿园建设项目</w:t>
      </w:r>
      <w:r>
        <w:rPr>
          <w:rFonts w:hint="eastAsia" w:ascii="宋体" w:hAnsi="宋体" w:eastAsia="宋体" w:cs="宋体"/>
          <w:b/>
          <w:bCs/>
          <w:color w:val="auto"/>
          <w:sz w:val="28"/>
          <w:szCs w:val="28"/>
          <w:highlight w:val="none"/>
          <w:lang w:eastAsia="zh-CN"/>
        </w:rPr>
        <w:t>合同签订情况表</w:t>
      </w:r>
    </w:p>
    <w:tbl>
      <w:tblPr>
        <w:tblStyle w:val="13"/>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711"/>
        <w:gridCol w:w="3429"/>
        <w:gridCol w:w="19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合同内容</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乙方</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合同签订时间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施工合同</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陕西盛鑫建筑安装工程有限公司</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监理合同</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浙江同舟建设管理有限公司</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勘察合同</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青海建筑勘察设计研究院有限公司</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设计合同</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北京中夏建筑设计研究院有限公司</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工程造价咨询合同</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青海方达工程咨询管理有限公司</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315Kkv临时用电工程施工合同</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青海北源建设工程有限公司</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接水工程建筑安装工程协议书</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西宁市供水工贸公司</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接水工程设计合同</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西宁市给排水规划设计院</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接水工程监理合同</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青海源海监理有限责任公司</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（玉井巷小学门前道路路面修补）建设工程施工合同</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青海润昊建筑工程有限公司</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接水工程建筑安装工程协议书</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西宁市供水工贸公司</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接水工程设计合同</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西宁市给排水规划设计院</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接水工程监理合同</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青海源海监理有限责任公司</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20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工程结算审计约定书</w:t>
            </w:r>
          </w:p>
        </w:tc>
        <w:tc>
          <w:tcPr>
            <w:tcW w:w="189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青海华翼会计师事务所有限公司</w:t>
            </w:r>
          </w:p>
        </w:tc>
        <w:tc>
          <w:tcPr>
            <w:tcW w:w="1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2020.11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Cs/>
          <w:color w:val="auto"/>
          <w:sz w:val="32"/>
          <w:szCs w:val="32"/>
          <w:lang w:val="en-US" w:eastAsia="zh-CN"/>
        </w:rPr>
      </w:pPr>
      <w:r>
        <w:rPr>
          <w:rFonts w:hint="eastAsia" w:cs="仿宋_GB2312"/>
          <w:color w:val="auto"/>
          <w:highlight w:val="none"/>
          <w:lang w:val="en-US" w:eastAsia="zh-CN"/>
        </w:rPr>
        <w:t>根据指标体系评分标准，合同签订过程合法合规，签约双方与中标通知书相符、签约时间明确，</w:t>
      </w:r>
      <w:r>
        <w:rPr>
          <w:rFonts w:hint="eastAsia" w:ascii="Times New Roman" w:hAnsi="Times New Roman" w:eastAsia="仿宋_GB2312" w:cs="Times New Roman"/>
          <w:bCs/>
          <w:color w:val="auto"/>
          <w:sz w:val="32"/>
          <w:szCs w:val="32"/>
          <w:lang w:val="en-US" w:eastAsia="zh-CN"/>
        </w:rPr>
        <w:t>得0.6分；各项合同内容完整明确，得0.6分；严格按照约定履行合同，无合同纠纷及合同变更情况，得0.8分。指标综合得分2分。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color w:val="auto"/>
          <w:szCs w:val="32"/>
          <w:highlight w:val="none"/>
          <w:lang w:eastAsia="zh-CN"/>
        </w:rPr>
      </w:pPr>
      <w:r>
        <w:rPr>
          <w:rFonts w:hint="eastAsia" w:cs="仿宋_GB2312"/>
          <w:b/>
          <w:color w:val="auto"/>
          <w:szCs w:val="32"/>
          <w:highlight w:val="none"/>
          <w:lang w:val="en-US" w:eastAsia="zh-CN"/>
        </w:rPr>
        <w:t>（4）施工管理规范性</w:t>
      </w:r>
      <w:r>
        <w:rPr>
          <w:rFonts w:hint="eastAsia" w:ascii="仿宋_GB2312" w:hAnsi="仿宋_GB2312" w:eastAsia="仿宋_GB2312" w:cs="仿宋_GB2312"/>
          <w:b/>
          <w:color w:val="auto"/>
          <w:szCs w:val="32"/>
          <w:highlight w:val="none"/>
        </w:rPr>
        <w:t>（指标分值2分）（得分</w:t>
      </w:r>
      <w:r>
        <w:rPr>
          <w:rFonts w:hint="eastAsia" w:cs="仿宋_GB2312"/>
          <w:b/>
          <w:color w:val="auto"/>
          <w:szCs w:val="32"/>
          <w:highlight w:val="none"/>
          <w:lang w:val="en-US" w:eastAsia="zh-CN"/>
        </w:rPr>
        <w:t>1.4</w:t>
      </w:r>
      <w:r>
        <w:rPr>
          <w:rFonts w:hint="eastAsia" w:ascii="仿宋_GB2312" w:hAnsi="仿宋_GB2312" w:eastAsia="仿宋_GB2312" w:cs="仿宋_GB2312"/>
          <w:b/>
          <w:color w:val="auto"/>
          <w:szCs w:val="32"/>
          <w:highlight w:val="none"/>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highlight w:val="none"/>
          <w:lang w:val="en-US" w:eastAsia="zh-CN"/>
        </w:rPr>
      </w:pPr>
      <w:r>
        <w:rPr>
          <w:rFonts w:hint="eastAsia" w:cs="仿宋_GB2312"/>
          <w:color w:val="auto"/>
          <w:highlight w:val="none"/>
          <w:lang w:val="en-US" w:eastAsia="zh-CN"/>
        </w:rPr>
        <w:t>经查阅项目佐证资料，项目工程建设按照合同中的技术规范进行施工，相关施工单位施工日志完整且内容规范、详细，未有安全事故、环保事故发生。项目工程建设过程中严格执行《城中区教育局基建项目管理办法》中相关规定。项目工程施工前，城中区教育局基建装备科会同设计、施工、监理等部门做好施工图纸的会审工作，并按规定做好相关手续的报批；项目工程施工中，城中区教育局基建装备科对施工现场进行监督，并对检查情况应做好必要的文字记录；在施工过程中建立安全工作责任制，落实各项安全防范措施，尤其对施工区域进行了封闭隔离，设立安全防护网，确保规范施工、安全施工、文明施工。</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default" w:cs="仿宋_GB2312"/>
          <w:color w:val="auto"/>
          <w:highlight w:val="none"/>
          <w:lang w:val="en-US" w:eastAsia="zh-CN"/>
        </w:rPr>
      </w:pPr>
      <w:r>
        <w:rPr>
          <w:rFonts w:hint="eastAsia" w:ascii="Times New Roman" w:hAnsi="Times New Roman" w:eastAsia="仿宋_GB2312" w:cs="Times New Roman"/>
          <w:bCs/>
          <w:color w:val="auto"/>
          <w:sz w:val="32"/>
          <w:szCs w:val="32"/>
          <w:lang w:val="zh-CN" w:eastAsia="zh-CN"/>
        </w:rPr>
        <w:t>项目按照规定办理前期相关手续，编制项目可研报告、项目初步设计方案及施工图设计等，申请办理《中华人民共和国国有土地使用证》《建设项目选址意见书》【宁规选字2016第017号】、《建设工程规划许可证》【宁规建字2017年第026号】、《建筑工程施工许可证》【宁建管630103201804090201】。</w:t>
      </w:r>
      <w:r>
        <w:rPr>
          <w:rFonts w:hint="eastAsia" w:ascii="Times New Roman" w:hAnsi="Times New Roman" w:eastAsia="仿宋_GB2312" w:cs="Times New Roman"/>
          <w:bCs/>
          <w:color w:val="auto"/>
          <w:sz w:val="32"/>
          <w:szCs w:val="32"/>
          <w:lang w:val="en-US" w:eastAsia="zh-CN"/>
        </w:rPr>
        <w:t>但是，绩效评价工作组在查阅资料过程中发现，项目于2018年3月15日开工，《建筑工程施工许可证》【宁建管630103201804090201】于2018年4月9日取得，不符合《中华人民共和国建筑法》第七条“建筑工程开工前，建设单位应按照国家有关规定向工程所在地县级以上人民政府建设行政主管</w:t>
      </w:r>
      <w:r>
        <w:rPr>
          <w:rFonts w:hint="eastAsia" w:hAnsi="Times New Roman" w:cs="Times New Roman"/>
          <w:b w:val="0"/>
          <w:bCs w:val="0"/>
          <w:color w:val="000000"/>
          <w:sz w:val="32"/>
          <w:szCs w:val="32"/>
          <w:highlight w:val="none"/>
          <w:lang w:val="en-US" w:eastAsia="zh-CN"/>
        </w:rPr>
        <w:t>部门</w:t>
      </w:r>
      <w:r>
        <w:rPr>
          <w:rFonts w:hint="eastAsia" w:ascii="仿宋_GB2312" w:hAnsi="Times New Roman" w:eastAsia="仿宋_GB2312" w:cs="Times New Roman"/>
          <w:b w:val="0"/>
          <w:bCs w:val="0"/>
          <w:color w:val="000000"/>
          <w:sz w:val="32"/>
          <w:szCs w:val="32"/>
          <w:highlight w:val="none"/>
          <w:lang w:val="en-US" w:eastAsia="zh-CN"/>
        </w:rPr>
        <w:t>申请领取施工许可证</w:t>
      </w:r>
      <w:r>
        <w:rPr>
          <w:rFonts w:hint="eastAsia" w:hAnsi="Times New Roman" w:cs="Times New Roman"/>
          <w:b w:val="0"/>
          <w:bCs w:val="0"/>
          <w:color w:val="000000"/>
          <w:sz w:val="32"/>
          <w:szCs w:val="32"/>
          <w:highlight w:val="none"/>
          <w:lang w:val="en-US" w:eastAsia="zh-CN"/>
        </w:rPr>
        <w:t>”的要求。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Cs/>
          <w:color w:val="auto"/>
          <w:sz w:val="32"/>
          <w:szCs w:val="32"/>
          <w:lang w:val="en-US" w:eastAsia="zh-CN"/>
        </w:rPr>
      </w:pPr>
      <w:r>
        <w:rPr>
          <w:rFonts w:hint="eastAsia" w:cs="仿宋_GB2312"/>
          <w:color w:val="auto"/>
          <w:highlight w:val="none"/>
          <w:lang w:val="en-US" w:eastAsia="zh-CN"/>
        </w:rPr>
        <w:t>根据指标体系评分标准，</w:t>
      </w:r>
      <w:r>
        <w:rPr>
          <w:rFonts w:hint="eastAsia" w:ascii="Times New Roman" w:hAnsi="Times New Roman" w:eastAsia="仿宋_GB2312" w:cs="Times New Roman"/>
          <w:bCs/>
          <w:color w:val="auto"/>
          <w:sz w:val="32"/>
          <w:szCs w:val="32"/>
          <w:lang w:val="en-US" w:eastAsia="zh-CN"/>
        </w:rPr>
        <w:t>项目工程建设施工在施工许可证未取得的情况下开工建设，扣0.6分，得0分；项目建设工程的实施按照合同中的技术规范进行施工，得0.4分；项目施工单位施工日志完整且内容规范、详细，得0.4分；项目工程施工过程中未有安全事故、环保事故发生，得0.6分。指标综合得分1.4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color w:val="auto"/>
          <w:szCs w:val="32"/>
          <w:highlight w:val="none"/>
          <w:lang w:eastAsia="zh-CN"/>
        </w:rPr>
      </w:pPr>
      <w:r>
        <w:rPr>
          <w:rFonts w:hint="eastAsia" w:cs="仿宋_GB2312"/>
          <w:b/>
          <w:color w:val="auto"/>
          <w:szCs w:val="32"/>
          <w:highlight w:val="none"/>
          <w:lang w:val="en-US" w:eastAsia="zh-CN"/>
        </w:rPr>
        <w:t>（5）工程监理管理规范性</w:t>
      </w:r>
      <w:r>
        <w:rPr>
          <w:rFonts w:hint="eastAsia" w:ascii="仿宋_GB2312" w:hAnsi="仿宋_GB2312" w:eastAsia="仿宋_GB2312" w:cs="仿宋_GB2312"/>
          <w:b/>
          <w:color w:val="auto"/>
          <w:szCs w:val="32"/>
          <w:highlight w:val="none"/>
        </w:rPr>
        <w:t>（指标分值2分）（得分</w:t>
      </w:r>
      <w:r>
        <w:rPr>
          <w:rFonts w:hint="eastAsia" w:cs="仿宋_GB2312"/>
          <w:b/>
          <w:color w:val="auto"/>
          <w:szCs w:val="32"/>
          <w:highlight w:val="none"/>
          <w:lang w:val="en-US" w:eastAsia="zh-CN"/>
        </w:rPr>
        <w:t>2</w:t>
      </w:r>
      <w:r>
        <w:rPr>
          <w:rFonts w:hint="eastAsia" w:ascii="仿宋_GB2312" w:hAnsi="仿宋_GB2312" w:eastAsia="仿宋_GB2312" w:cs="仿宋_GB2312"/>
          <w:b/>
          <w:color w:val="auto"/>
          <w:szCs w:val="32"/>
          <w:highlight w:val="none"/>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highlight w:val="none"/>
          <w:lang w:val="en-US" w:eastAsia="zh-CN"/>
        </w:rPr>
      </w:pPr>
      <w:r>
        <w:rPr>
          <w:rFonts w:hint="eastAsia" w:cs="仿宋_GB2312"/>
          <w:color w:val="auto"/>
          <w:highlight w:val="none"/>
          <w:lang w:val="en-US" w:eastAsia="zh-CN"/>
        </w:rPr>
        <w:t>经查阅项目佐证资料，城中区教育局与</w:t>
      </w:r>
      <w:r>
        <w:rPr>
          <w:rFonts w:hint="eastAsia" w:cs="Times New Roman"/>
          <w:color w:val="auto"/>
          <w:lang w:val="en-US" w:eastAsia="zh-CN"/>
        </w:rPr>
        <w:t>浙江同舟建设管理有限公司签订《建设工程监理协议书》，监理公司</w:t>
      </w:r>
      <w:r>
        <w:rPr>
          <w:rFonts w:cs="Times New Roman"/>
          <w:spacing w:val="-4"/>
        </w:rPr>
        <w:t>在项目实施中对工程建设质量、进度及资金使用等进行监督</w:t>
      </w:r>
      <w:r>
        <w:rPr>
          <w:rFonts w:cs="Times New Roman"/>
          <w:spacing w:val="-5"/>
        </w:rPr>
        <w:t>检查</w:t>
      </w:r>
      <w:r>
        <w:rPr>
          <w:rFonts w:hint="eastAsia" w:cs="Times New Roman"/>
          <w:spacing w:val="-5"/>
          <w:lang w:eastAsia="zh-CN"/>
        </w:rPr>
        <w:t>；</w:t>
      </w:r>
      <w:r>
        <w:rPr>
          <w:rFonts w:cs="Times New Roman"/>
          <w:spacing w:val="-5"/>
        </w:rPr>
        <w:t>按照</w:t>
      </w:r>
      <w:r>
        <w:rPr>
          <w:rFonts w:cs="Times New Roman"/>
          <w:spacing w:val="-6"/>
        </w:rPr>
        <w:t>日常监管需求组织召开监理例会，对施工过程中存在的工期问题、质量问题及安全问题等进行说明并督促及时整改</w:t>
      </w:r>
      <w:r>
        <w:rPr>
          <w:rFonts w:hint="eastAsia" w:cs="Times New Roman"/>
          <w:spacing w:val="-6"/>
          <w:lang w:eastAsia="zh-CN"/>
        </w:rPr>
        <w:t>。</w:t>
      </w:r>
      <w:r>
        <w:rPr>
          <w:rFonts w:hint="eastAsia" w:cs="仿宋_GB2312"/>
          <w:color w:val="auto"/>
          <w:highlight w:val="none"/>
          <w:lang w:val="en-US" w:eastAsia="zh-CN"/>
        </w:rPr>
        <w:t>监理日志、监理质量评估报告等资料齐全。</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Cs/>
          <w:color w:val="auto"/>
          <w:sz w:val="32"/>
          <w:szCs w:val="32"/>
          <w:lang w:val="en-US" w:eastAsia="zh-CN"/>
        </w:rPr>
      </w:pPr>
      <w:r>
        <w:rPr>
          <w:rFonts w:hint="eastAsia" w:cs="仿宋_GB2312"/>
          <w:color w:val="auto"/>
          <w:highlight w:val="none"/>
          <w:lang w:val="en-US" w:eastAsia="zh-CN"/>
        </w:rPr>
        <w:t>根据指标体系评分标准，工程监理单位根据合同规定对工程安全、质量、进度进行</w:t>
      </w:r>
      <w:r>
        <w:rPr>
          <w:rFonts w:hint="eastAsia" w:ascii="Times New Roman" w:hAnsi="Times New Roman" w:eastAsia="仿宋_GB2312" w:cs="Times New Roman"/>
          <w:bCs/>
          <w:color w:val="auto"/>
          <w:sz w:val="32"/>
          <w:szCs w:val="32"/>
          <w:lang w:val="en-US" w:eastAsia="zh-CN"/>
        </w:rPr>
        <w:t>管理核查，得0.6分；工程监理报告、监理日志等资料齐全，得0.6分；对施工过程中发现的问题进行采取措施，并按要求督促施工单位及时整改，得0.8分。指标综合得分2分。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color w:val="auto"/>
          <w:szCs w:val="32"/>
          <w:highlight w:val="none"/>
          <w:lang w:eastAsia="zh-CN"/>
        </w:rPr>
      </w:pPr>
      <w:r>
        <w:rPr>
          <w:rFonts w:hint="eastAsia" w:cs="仿宋_GB2312"/>
          <w:b/>
          <w:color w:val="auto"/>
          <w:szCs w:val="32"/>
          <w:highlight w:val="none"/>
          <w:lang w:val="en-US" w:eastAsia="zh-CN"/>
        </w:rPr>
        <w:t>（6）项目验收规范性</w:t>
      </w:r>
      <w:r>
        <w:rPr>
          <w:rFonts w:hint="eastAsia" w:ascii="仿宋_GB2312" w:hAnsi="仿宋_GB2312" w:eastAsia="仿宋_GB2312" w:cs="仿宋_GB2312"/>
          <w:b/>
          <w:color w:val="auto"/>
          <w:szCs w:val="32"/>
          <w:highlight w:val="none"/>
        </w:rPr>
        <w:t>（指标分值2分）（得分2分）</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cs="仿宋_GB2312"/>
          <w:color w:val="auto"/>
          <w:highlight w:val="none"/>
          <w:lang w:val="en-US" w:eastAsia="zh-CN"/>
        </w:rPr>
        <w:t>经查阅项目佐证资料，《城中区教育局基建项目管理办法》明确指出“基建工程施工结束后，局基建装备科应积极组织做好竣工验收和交付使用工作。验收程序是在设计、质监、监理、教育局、项目学校出场情况下，由施工企业先提供竣工报告和相关的质保资料，监理提供“监理竣工验收报告”，然后验收人员根据施工合同、设计图纸、国家有关施工验收规范和质量检测标准进行验收”的验收流程，项目验收流</w:t>
      </w:r>
      <w:r>
        <w:rPr>
          <w:rFonts w:hint="eastAsia" w:ascii="Times New Roman" w:hAnsi="Times New Roman" w:eastAsia="仿宋_GB2312" w:cs="Times New Roman"/>
          <w:bCs/>
          <w:color w:val="auto"/>
          <w:sz w:val="32"/>
          <w:szCs w:val="32"/>
          <w:lang w:val="en-US" w:eastAsia="zh-CN"/>
        </w:rPr>
        <w:t>程清晰。</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2020年6月23日，</w:t>
      </w:r>
      <w:r>
        <w:rPr>
          <w:rFonts w:hint="eastAsia" w:cs="Times New Roman"/>
          <w:lang w:val="en-US" w:eastAsia="zh-CN"/>
        </w:rPr>
        <w:t>城中区教育局组织相关人员对项目工程进行了预验收，并对项目工程提出相关整改意见，项目施工相关单位就提出的整改意见进行整改，并对验收资料进行整理。</w:t>
      </w:r>
      <w:r>
        <w:rPr>
          <w:rFonts w:hint="eastAsia" w:ascii="Times New Roman" w:hAnsi="Times New Roman" w:eastAsia="仿宋_GB2312" w:cs="Times New Roman"/>
          <w:bCs/>
          <w:color w:val="auto"/>
          <w:sz w:val="32"/>
          <w:szCs w:val="32"/>
          <w:lang w:val="en-US" w:eastAsia="zh-CN"/>
        </w:rPr>
        <w:t>2020年7月24日，城中区教育局向发展改革和工业信息化局上报《关于前营街幼儿园项目竣工验收的报告》，申请项目竣工验收。2020年7月27日，城中区教育局组织城中区发展改革和工业信息化局、项目设计、勘察、监理、施工单位对项目进行了竣工验收，并出具《城中区教育局基建项目验收单》，项目质量合格，通过验收。</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根据指标体系评分标准，具有项目工程验收管理办法，验收流程清晰，得0.5分；依据国家及本单位相关验收文件进行工程质量验收工作，验收资料合规且完整，得0.5分；对预验收中发现的问题进行及时整改完善，得1分。指标综合得分2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cs="仿宋_GB2312"/>
          <w:b/>
          <w:color w:val="auto"/>
          <w:szCs w:val="32"/>
          <w:highlight w:val="none"/>
          <w:lang w:val="en-US" w:eastAsia="zh-CN"/>
        </w:rPr>
      </w:pPr>
      <w:r>
        <w:rPr>
          <w:rFonts w:hint="eastAsia" w:cs="仿宋_GB2312"/>
          <w:b/>
          <w:color w:val="auto"/>
          <w:szCs w:val="32"/>
          <w:highlight w:val="none"/>
          <w:lang w:val="en-US" w:eastAsia="zh-CN"/>
        </w:rPr>
        <w:t>（7）移交手续完备性（指标分值1分）（得分0分）</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cs="Times New Roman"/>
          <w:color w:val="auto"/>
          <w:lang w:val="en-US" w:eastAsia="zh-CN"/>
        </w:rPr>
        <w:t>经查阅项目佐证资料及现场问询，《西宁市城中区审计局关于&lt;前营街幼儿园建设项目&gt;的审计报告》（城中审项报</w:t>
      </w:r>
      <w:r>
        <w:rPr>
          <w:rFonts w:hint="eastAsia" w:ascii="Times New Roman" w:hAnsi="Times New Roman" w:eastAsia="仿宋_GB2312" w:cs="Times New Roman"/>
          <w:bCs/>
          <w:color w:val="auto"/>
          <w:sz w:val="32"/>
          <w:szCs w:val="32"/>
          <w:lang w:val="en-US" w:eastAsia="zh-CN"/>
        </w:rPr>
        <w:t>〔2021〕第3号）中关于“未办理项目资产交付使用的问题”仍未解决，不符合《基本建设财务规定》第四十二条“项目竣工验收合格后应当及时办理资产交付使用手续，并依据批复的项目竣工财务决算进行账务调整。”的规定。</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另外，根据城中区教育局《关于调拨前营街幼儿园固定资产的申请》（城中政教字〔2021〕236号），项目资产调拨申请现已提交区财政局，问题虽未解决，但在积极办理中。</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Cs/>
          <w:color w:val="auto"/>
          <w:sz w:val="32"/>
          <w:szCs w:val="32"/>
          <w:lang w:val="en-US" w:eastAsia="zh-CN"/>
        </w:rPr>
      </w:pPr>
      <w:r>
        <w:rPr>
          <w:rFonts w:hint="default" w:ascii="Times New Roman" w:hAnsi="Times New Roman" w:eastAsia="仿宋_GB2312" w:cs="Times New Roman"/>
          <w:bCs/>
          <w:color w:val="auto"/>
          <w:sz w:val="32"/>
          <w:szCs w:val="32"/>
          <w:lang w:val="en-US" w:eastAsia="zh-CN"/>
        </w:rPr>
        <w:t>根据指标体系评分标准</w:t>
      </w:r>
      <w:r>
        <w:rPr>
          <w:rFonts w:hint="eastAsia" w:ascii="Times New Roman" w:hAnsi="Times New Roman" w:eastAsia="仿宋_GB2312" w:cs="Times New Roman"/>
          <w:bCs/>
          <w:color w:val="auto"/>
          <w:sz w:val="32"/>
          <w:szCs w:val="32"/>
          <w:lang w:val="en-US" w:eastAsia="zh-CN"/>
        </w:rPr>
        <w:t>，</w:t>
      </w:r>
      <w:r>
        <w:rPr>
          <w:rFonts w:hint="default" w:ascii="Times New Roman" w:hAnsi="Times New Roman" w:eastAsia="仿宋_GB2312" w:cs="Times New Roman"/>
          <w:bCs/>
          <w:color w:val="auto"/>
          <w:sz w:val="32"/>
          <w:szCs w:val="32"/>
          <w:lang w:val="en-US" w:eastAsia="zh-CN"/>
        </w:rPr>
        <w:t>项目</w:t>
      </w:r>
      <w:r>
        <w:rPr>
          <w:rFonts w:hint="eastAsia" w:ascii="Times New Roman" w:hAnsi="Times New Roman" w:eastAsia="仿宋_GB2312" w:cs="Times New Roman"/>
          <w:bCs/>
          <w:color w:val="auto"/>
          <w:sz w:val="32"/>
          <w:szCs w:val="32"/>
          <w:lang w:val="en-US" w:eastAsia="zh-CN"/>
        </w:rPr>
        <w:t>竣工验收</w:t>
      </w:r>
      <w:r>
        <w:rPr>
          <w:rFonts w:hint="default" w:ascii="Times New Roman" w:hAnsi="Times New Roman" w:eastAsia="仿宋_GB2312" w:cs="Times New Roman"/>
          <w:bCs/>
          <w:color w:val="auto"/>
          <w:sz w:val="32"/>
          <w:szCs w:val="32"/>
          <w:lang w:val="en-US" w:eastAsia="zh-CN"/>
        </w:rPr>
        <w:t>后</w:t>
      </w:r>
      <w:r>
        <w:rPr>
          <w:rFonts w:hint="eastAsia" w:ascii="Times New Roman" w:hAnsi="Times New Roman" w:eastAsia="仿宋_GB2312" w:cs="Times New Roman"/>
          <w:bCs/>
          <w:color w:val="auto"/>
          <w:sz w:val="32"/>
          <w:szCs w:val="32"/>
          <w:lang w:val="en-US" w:eastAsia="zh-CN"/>
        </w:rPr>
        <w:t>还未办理资产交付使用手续</w:t>
      </w:r>
      <w:r>
        <w:rPr>
          <w:rFonts w:hint="default" w:ascii="Times New Roman" w:hAnsi="Times New Roman" w:eastAsia="仿宋_GB2312" w:cs="Times New Roman"/>
          <w:bCs/>
          <w:color w:val="auto"/>
          <w:sz w:val="32"/>
          <w:szCs w:val="32"/>
          <w:lang w:val="en-US" w:eastAsia="zh-CN"/>
        </w:rPr>
        <w:t>。</w:t>
      </w:r>
      <w:r>
        <w:rPr>
          <w:rFonts w:hint="eastAsia" w:ascii="Times New Roman" w:hAnsi="Times New Roman" w:eastAsia="仿宋_GB2312" w:cs="Times New Roman"/>
          <w:bCs/>
          <w:color w:val="auto"/>
          <w:sz w:val="32"/>
          <w:szCs w:val="32"/>
          <w:lang w:val="en-US" w:eastAsia="zh-CN"/>
        </w:rPr>
        <w:t>此项指标扣1分，指标得分0分。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cs="仿宋_GB2312"/>
          <w:b/>
          <w:color w:val="auto"/>
          <w:szCs w:val="32"/>
          <w:highlight w:val="none"/>
          <w:lang w:val="en-US" w:eastAsia="zh-CN"/>
        </w:rPr>
      </w:pPr>
      <w:r>
        <w:rPr>
          <w:rFonts w:hint="eastAsia" w:cs="仿宋_GB2312"/>
          <w:b/>
          <w:color w:val="auto"/>
          <w:szCs w:val="32"/>
          <w:highlight w:val="none"/>
          <w:lang w:val="en-US" w:eastAsia="zh-CN"/>
        </w:rPr>
        <w:t>（8）档案管理完整性（指标分值2分）（得分2分）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kern w:val="2"/>
          <w:sz w:val="32"/>
          <w:szCs w:val="24"/>
          <w:highlight w:val="none"/>
          <w:lang w:val="en-US" w:eastAsia="zh-CN" w:bidi="ar-SA"/>
        </w:rPr>
      </w:pPr>
      <w:r>
        <w:rPr>
          <w:rFonts w:hint="eastAsia" w:cs="仿宋_GB2312"/>
          <w:color w:val="auto"/>
          <w:kern w:val="2"/>
          <w:sz w:val="32"/>
          <w:szCs w:val="24"/>
          <w:highlight w:val="none"/>
          <w:lang w:val="en-US" w:eastAsia="zh-CN" w:bidi="ar-SA"/>
        </w:rPr>
        <w:t>经现场调研及查阅项目资料，城中区教育局建立了项目档案，对工程设计、施工、监理、竣工等全过程资料进行梳理、归档，项目档案齐全，管理规范。</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kern w:val="2"/>
          <w:sz w:val="32"/>
          <w:szCs w:val="24"/>
          <w:highlight w:val="none"/>
          <w:lang w:val="en-US" w:eastAsia="zh-CN" w:bidi="ar-SA"/>
        </w:rPr>
      </w:pPr>
      <w:r>
        <w:rPr>
          <w:rFonts w:hint="eastAsia" w:cs="仿宋_GB2312"/>
          <w:color w:val="auto"/>
          <w:kern w:val="2"/>
          <w:sz w:val="32"/>
          <w:szCs w:val="24"/>
          <w:highlight w:val="none"/>
          <w:lang w:val="en-US" w:eastAsia="zh-CN" w:bidi="ar-SA"/>
        </w:rPr>
        <w:t>根据指标体系评分标准，城中区教育局对项目进行归档整理，</w:t>
      </w:r>
      <w:r>
        <w:rPr>
          <w:rFonts w:hint="eastAsia" w:ascii="Times New Roman" w:hAnsi="Times New Roman" w:eastAsia="仿宋_GB2312" w:cs="Times New Roman"/>
          <w:bCs/>
          <w:color w:val="auto"/>
          <w:sz w:val="32"/>
          <w:szCs w:val="32"/>
          <w:lang w:val="en-US" w:eastAsia="zh-CN"/>
        </w:rPr>
        <w:t>得1分；项目档案整理齐全、管理规范，得1分。指标综合得分2分。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default" w:cs="Times New Roman"/>
          <w:b/>
          <w:bCs/>
          <w:color w:val="C00000"/>
          <w:highlight w:val="none"/>
          <w:lang w:val="en-US" w:eastAsia="zh-CN"/>
        </w:rPr>
      </w:pPr>
      <w:r>
        <w:rPr>
          <w:rFonts w:hint="eastAsia" w:cs="Times New Roman"/>
          <w:b/>
          <w:bCs/>
          <w:color w:val="000000"/>
          <w:highlight w:val="none"/>
          <w:lang w:val="en-US" w:eastAsia="zh-CN"/>
        </w:rPr>
        <w:t>2.资金管理</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0" w:beforeAutospacing="0" w:afterAutospacing="0" w:line="576" w:lineRule="exact"/>
        <w:ind w:left="0" w:leftChars="0" w:right="0" w:firstLine="643" w:firstLineChars="200"/>
        <w:jc w:val="both"/>
        <w:textAlignment w:val="auto"/>
        <w:rPr>
          <w:rFonts w:hint="eastAsia" w:ascii="仿宋_GB2312" w:hAnsi="仿宋_GB2312" w:eastAsia="仿宋_GB2312" w:cs="仿宋_GB2312"/>
          <w:b/>
          <w:bCs/>
          <w:color w:val="auto"/>
          <w:kern w:val="0"/>
          <w:sz w:val="32"/>
          <w:szCs w:val="32"/>
          <w:highlight w:val="none"/>
          <w:lang w:val="en-US" w:eastAsia="zh-CN" w:bidi="ar"/>
        </w:rPr>
      </w:pPr>
      <w:r>
        <w:rPr>
          <w:rFonts w:hint="eastAsia" w:ascii="仿宋_GB2312" w:hAnsi="仿宋_GB2312" w:eastAsia="仿宋_GB2312" w:cs="仿宋_GB2312"/>
          <w:b/>
          <w:bCs/>
          <w:color w:val="auto"/>
          <w:kern w:val="0"/>
          <w:sz w:val="32"/>
          <w:szCs w:val="32"/>
          <w:highlight w:val="none"/>
          <w:lang w:val="en-US" w:eastAsia="zh-CN" w:bidi="ar"/>
        </w:rPr>
        <w:t>（1）资金支出进度（指标分值4分）（得分3分）</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default" w:ascii="Times New Roman" w:hAnsi="Times New Roman" w:eastAsia="仿宋_GB2312" w:cs="Times New Roman"/>
          <w:bCs/>
          <w:color w:val="auto"/>
          <w:sz w:val="32"/>
          <w:szCs w:val="32"/>
          <w:lang w:val="en-US" w:eastAsia="zh-CN"/>
        </w:rPr>
      </w:pPr>
      <w:r>
        <w:rPr>
          <w:rFonts w:hint="eastAsia" w:cs="仿宋_GB2312"/>
          <w:color w:val="auto"/>
          <w:highlight w:val="none"/>
          <w:lang w:val="en-US" w:eastAsia="zh-CN"/>
        </w:rPr>
        <w:t>经</w:t>
      </w:r>
      <w:r>
        <w:rPr>
          <w:rFonts w:hint="eastAsia" w:cs="Times New Roman"/>
          <w:color w:val="auto"/>
          <w:highlight w:val="none"/>
          <w:lang w:val="en-US" w:eastAsia="zh-CN"/>
        </w:rPr>
        <w:t>查阅项目财务资料与审计</w:t>
      </w:r>
      <w:r>
        <w:rPr>
          <w:rFonts w:hint="eastAsia" w:ascii="Times New Roman" w:hAnsi="Times New Roman" w:eastAsia="仿宋_GB2312" w:cs="Times New Roman"/>
          <w:bCs/>
          <w:color w:val="auto"/>
          <w:sz w:val="32"/>
          <w:szCs w:val="32"/>
          <w:lang w:val="en-US" w:eastAsia="zh-CN"/>
        </w:rPr>
        <w:t>报告，截至2021年11月23日，该项目实际到位资金18507432.65元，累计支出资金18436476.55元（不包含电费结余款21879.57元），预算执行率为99.62%。但截至2021年11月23日，该项目实际完成投资19451645.11元，实际到位资金18507432.65元，资金缺口944212.46元，部分工程监理费、设计费、结算审核费还未支付，经询问城中区教育局财务人员，缺口资金计划作2022年预算，申请财政资金。</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default" w:ascii="Times New Roman" w:hAnsi="Times New Roman" w:eastAsia="仿宋_GB2312" w:cs="Times New Roman"/>
          <w:bCs/>
          <w:color w:val="auto"/>
          <w:sz w:val="32"/>
          <w:szCs w:val="32"/>
          <w:lang w:val="en-US" w:eastAsia="zh-CN"/>
        </w:rPr>
      </w:pPr>
      <w:r>
        <w:rPr>
          <w:rFonts w:hint="eastAsia" w:ascii="仿宋_GB2312" w:hAnsi="仿宋_GB2312" w:eastAsia="仿宋_GB2312" w:cs="仿宋_GB2312"/>
          <w:b w:val="0"/>
          <w:bCs w:val="0"/>
          <w:color w:val="auto"/>
          <w:sz w:val="32"/>
          <w:szCs w:val="32"/>
          <w:highlight w:val="none"/>
          <w:lang w:val="en-US" w:eastAsia="zh-CN"/>
        </w:rPr>
        <w:t>根据</w:t>
      </w:r>
      <w:r>
        <w:rPr>
          <w:rFonts w:hint="eastAsia" w:cs="仿宋_GB2312"/>
          <w:b w:val="0"/>
          <w:bCs w:val="0"/>
          <w:color w:val="auto"/>
          <w:sz w:val="32"/>
          <w:szCs w:val="32"/>
          <w:highlight w:val="none"/>
          <w:lang w:val="en-US" w:eastAsia="zh-CN"/>
        </w:rPr>
        <w:t>指</w:t>
      </w:r>
      <w:r>
        <w:rPr>
          <w:rFonts w:hint="eastAsia" w:cs="仿宋_GB2312"/>
          <w:color w:val="auto"/>
          <w:highlight w:val="none"/>
          <w:lang w:val="en-US" w:eastAsia="zh-CN"/>
        </w:rPr>
        <w:t>标体系评分标准，项目实施个别资金支付未按照施工进度和合同约定及时有序的支付。此项指标</w:t>
      </w:r>
      <w:r>
        <w:rPr>
          <w:rFonts w:hint="eastAsia" w:ascii="Times New Roman" w:hAnsi="Times New Roman" w:eastAsia="仿宋_GB2312" w:cs="Times New Roman"/>
          <w:bCs/>
          <w:color w:val="auto"/>
          <w:sz w:val="32"/>
          <w:szCs w:val="32"/>
          <w:lang w:val="en-US" w:eastAsia="zh-CN"/>
        </w:rPr>
        <w:t>扣1分，指标得分3分。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color w:val="auto"/>
          <w:szCs w:val="32"/>
          <w:highlight w:val="none"/>
          <w:lang w:val="en-US" w:eastAsia="zh-CN"/>
        </w:rPr>
      </w:pPr>
      <w:r>
        <w:rPr>
          <w:rFonts w:hint="eastAsia" w:cs="仿宋_GB2312"/>
          <w:b/>
          <w:bCs/>
          <w:color w:val="auto"/>
          <w:sz w:val="32"/>
          <w:szCs w:val="32"/>
          <w:highlight w:val="none"/>
          <w:lang w:val="en-US" w:eastAsia="zh-CN"/>
        </w:rPr>
        <w:t>（2）</w:t>
      </w:r>
      <w:r>
        <w:rPr>
          <w:rFonts w:hint="eastAsia" w:cs="仿宋_GB2312"/>
          <w:b/>
          <w:color w:val="auto"/>
          <w:szCs w:val="32"/>
          <w:highlight w:val="none"/>
          <w:lang w:eastAsia="zh-CN"/>
        </w:rPr>
        <w:t>资金使用合规性</w:t>
      </w:r>
      <w:r>
        <w:rPr>
          <w:rFonts w:hint="eastAsia" w:ascii="仿宋_GB2312" w:hAnsi="仿宋_GB2312" w:eastAsia="仿宋_GB2312" w:cs="仿宋_GB2312"/>
          <w:b/>
          <w:color w:val="auto"/>
          <w:szCs w:val="32"/>
          <w:highlight w:val="none"/>
        </w:rPr>
        <w:t>（指标分值2分）（得分2分）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highlight w:val="none"/>
          <w:lang w:val="en-US" w:eastAsia="zh-CN"/>
        </w:rPr>
      </w:pPr>
      <w:r>
        <w:rPr>
          <w:rFonts w:hint="eastAsia" w:cs="仿宋_GB2312"/>
          <w:color w:val="auto"/>
          <w:highlight w:val="none"/>
          <w:lang w:val="en-US" w:eastAsia="zh-CN"/>
        </w:rPr>
        <w:t>经</w:t>
      </w:r>
      <w:r>
        <w:rPr>
          <w:rFonts w:hint="eastAsia" w:cs="Times New Roman"/>
          <w:color w:val="auto"/>
          <w:highlight w:val="none"/>
          <w:lang w:val="en-US" w:eastAsia="zh-CN"/>
        </w:rPr>
        <w:t>查阅项目财务资料与审计报告</w:t>
      </w:r>
      <w:r>
        <w:rPr>
          <w:rFonts w:hint="eastAsia" w:cs="仿宋_GB2312"/>
          <w:color w:val="auto"/>
          <w:kern w:val="2"/>
          <w:sz w:val="32"/>
          <w:szCs w:val="24"/>
          <w:highlight w:val="none"/>
          <w:lang w:val="en-US" w:eastAsia="zh-CN" w:bidi="ar-SA"/>
        </w:rPr>
        <w:t>，城中区教育局财务科严格按照</w:t>
      </w:r>
      <w:r>
        <w:rPr>
          <w:rFonts w:hint="eastAsia" w:cs="仿宋_GB2312"/>
          <w:color w:val="auto"/>
          <w:highlight w:val="none"/>
          <w:lang w:val="en-US" w:eastAsia="zh-CN"/>
        </w:rPr>
        <w:t>《城中区教育局基建项目资金管理办法》《西宁市城中区教育局财务管理制度》《西宁市城中区教育局资金使用办法》等制度，建立基建台账，支付的工程款与工程质量挂钩，支付时必须有监理单位签署的付款意见，资金使用合规。</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仿宋_GB2312" w:cs="Times New Roman"/>
          <w:bCs/>
          <w:color w:val="auto"/>
          <w:sz w:val="32"/>
          <w:szCs w:val="32"/>
          <w:lang w:val="en-US" w:eastAsia="zh-CN"/>
        </w:rPr>
      </w:pPr>
      <w:r>
        <w:rPr>
          <w:rFonts w:hint="eastAsia" w:cs="仿宋_GB2312"/>
          <w:color w:val="auto"/>
          <w:kern w:val="2"/>
          <w:sz w:val="32"/>
          <w:szCs w:val="24"/>
          <w:highlight w:val="none"/>
          <w:lang w:val="en-US" w:eastAsia="zh-CN" w:bidi="ar-SA"/>
        </w:rPr>
        <w:t>根据指标体系评分标准，项目资金支付符合国家财经法规和财务管理制度以及有关专项资金管理办法的规定，得</w:t>
      </w:r>
      <w:r>
        <w:rPr>
          <w:rFonts w:hint="eastAsia" w:ascii="Times New Roman" w:hAnsi="Times New Roman" w:eastAsia="仿宋_GB2312" w:cs="Times New Roman"/>
          <w:bCs/>
          <w:color w:val="auto"/>
          <w:sz w:val="32"/>
          <w:szCs w:val="32"/>
          <w:lang w:val="en-US" w:eastAsia="zh-CN"/>
        </w:rPr>
        <w:t>0.5分；资金</w:t>
      </w:r>
      <w:r>
        <w:rPr>
          <w:rFonts w:hint="eastAsia" w:cs="仿宋_GB2312"/>
          <w:color w:val="auto"/>
          <w:kern w:val="2"/>
          <w:sz w:val="32"/>
          <w:szCs w:val="24"/>
          <w:highlight w:val="none"/>
          <w:lang w:val="en-US" w:eastAsia="zh-CN" w:bidi="ar-SA"/>
        </w:rPr>
        <w:t>的拨付有完整的审批程序和手续，</w:t>
      </w:r>
      <w:r>
        <w:rPr>
          <w:rFonts w:hint="eastAsia" w:ascii="Times New Roman" w:hAnsi="Times New Roman" w:eastAsia="仿宋_GB2312" w:cs="Times New Roman"/>
          <w:bCs/>
          <w:color w:val="auto"/>
          <w:sz w:val="32"/>
          <w:szCs w:val="32"/>
          <w:lang w:val="en-US" w:eastAsia="zh-CN"/>
        </w:rPr>
        <w:t>得0.5分；资金使用符合项目预算批复或合同规定的用途，得0.5分；不存在截留、挤占、挪用、虚列支出等情况，得0.5分。指标综合得分2分。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color w:val="auto"/>
          <w:szCs w:val="32"/>
          <w:highlight w:val="none"/>
          <w:lang w:eastAsia="zh-CN"/>
        </w:rPr>
      </w:pPr>
      <w:r>
        <w:rPr>
          <w:rFonts w:hint="eastAsia" w:cs="仿宋_GB2312"/>
          <w:b/>
          <w:color w:val="auto"/>
          <w:szCs w:val="32"/>
          <w:highlight w:val="none"/>
          <w:lang w:eastAsia="zh-CN"/>
        </w:rPr>
        <w:t>（</w:t>
      </w:r>
      <w:r>
        <w:rPr>
          <w:rFonts w:hint="eastAsia" w:cs="仿宋_GB2312"/>
          <w:b/>
          <w:color w:val="auto"/>
          <w:szCs w:val="32"/>
          <w:highlight w:val="none"/>
          <w:lang w:val="en-US" w:eastAsia="zh-CN"/>
        </w:rPr>
        <w:t>3</w:t>
      </w:r>
      <w:r>
        <w:rPr>
          <w:rFonts w:hint="eastAsia" w:cs="仿宋_GB2312"/>
          <w:b/>
          <w:color w:val="auto"/>
          <w:szCs w:val="32"/>
          <w:highlight w:val="none"/>
          <w:lang w:eastAsia="zh-CN"/>
        </w:rPr>
        <w:t>）财务管理规范性</w:t>
      </w:r>
      <w:r>
        <w:rPr>
          <w:rFonts w:hint="eastAsia" w:ascii="仿宋_GB2312" w:hAnsi="仿宋_GB2312" w:cs="仿宋_GB2312"/>
          <w:b/>
          <w:color w:val="auto"/>
          <w:szCs w:val="32"/>
          <w:highlight w:val="none"/>
        </w:rPr>
        <w:t>（指标分值2分）（得分2分）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textAlignment w:val="auto"/>
        <w:rPr>
          <w:rFonts w:hint="default" w:ascii="仿宋_GB2312" w:hAnsi="仿宋_GB2312" w:eastAsia="仿宋_GB2312" w:cs="仿宋_GB2312"/>
          <w:color w:val="auto"/>
          <w:highlight w:val="none"/>
          <w:lang w:val="en-US" w:eastAsia="zh-CN"/>
        </w:rPr>
      </w:pPr>
      <w:r>
        <w:rPr>
          <w:rFonts w:hint="eastAsia" w:cs="仿宋_GB2312"/>
          <w:color w:val="auto"/>
          <w:highlight w:val="none"/>
          <w:lang w:val="en-US" w:eastAsia="zh-CN"/>
        </w:rPr>
        <w:t>经</w:t>
      </w:r>
      <w:r>
        <w:rPr>
          <w:rFonts w:hint="eastAsia" w:cs="Times New Roman"/>
          <w:color w:val="auto"/>
          <w:highlight w:val="none"/>
          <w:lang w:val="en-US" w:eastAsia="zh-CN"/>
        </w:rPr>
        <w:t>查阅项目财务资料与审计报告</w:t>
      </w:r>
      <w:r>
        <w:rPr>
          <w:rFonts w:hint="eastAsia" w:cs="仿宋_GB2312"/>
          <w:color w:val="auto"/>
          <w:kern w:val="2"/>
          <w:sz w:val="32"/>
          <w:szCs w:val="24"/>
          <w:highlight w:val="none"/>
          <w:lang w:val="en-US" w:eastAsia="zh-CN" w:bidi="ar-SA"/>
        </w:rPr>
        <w:t>，城中区教育局财务科</w:t>
      </w:r>
      <w:r>
        <w:rPr>
          <w:rFonts w:hint="eastAsia" w:ascii="仿宋_GB2312" w:hAnsi="仿宋_GB2312" w:cs="仿宋_GB2312"/>
          <w:color w:val="auto"/>
          <w:highlight w:val="none"/>
        </w:rPr>
        <w:t>严格按照</w:t>
      </w:r>
      <w:r>
        <w:rPr>
          <w:rFonts w:hint="eastAsia" w:cs="仿宋_GB2312"/>
          <w:color w:val="auto"/>
          <w:highlight w:val="none"/>
          <w:lang w:eastAsia="zh-CN"/>
        </w:rPr>
        <w:t>《中华人民共和国会计法》</w:t>
      </w:r>
      <w:r>
        <w:rPr>
          <w:rFonts w:hint="eastAsia" w:ascii="仿宋_GB2312" w:hAnsi="仿宋_GB2312" w:cs="仿宋_GB2312"/>
          <w:color w:val="auto"/>
          <w:highlight w:val="none"/>
        </w:rPr>
        <w:t>和</w:t>
      </w:r>
      <w:r>
        <w:rPr>
          <w:rFonts w:hint="eastAsia" w:cs="仿宋_GB2312"/>
          <w:color w:val="auto"/>
          <w:highlight w:val="none"/>
          <w:lang w:val="en-US" w:eastAsia="zh-CN"/>
        </w:rPr>
        <w:t>《城中区教育局基建项目资金管理办法》《西宁市城中区教育局财务管理制度》《西宁市城中区教育局资金使用办法》等制度</w:t>
      </w:r>
      <w:r>
        <w:rPr>
          <w:rFonts w:hint="eastAsia" w:cs="仿宋_GB2312"/>
          <w:color w:val="auto"/>
          <w:highlight w:val="none"/>
          <w:lang w:eastAsia="zh-CN"/>
        </w:rPr>
        <w:t>对专项资金进行单独核算，</w:t>
      </w:r>
      <w:r>
        <w:rPr>
          <w:rFonts w:cs="Times New Roman"/>
          <w:spacing w:val="-9"/>
        </w:rPr>
        <w:t>其会计核算及编报内容符合会计行业相关要</w:t>
      </w:r>
      <w:r>
        <w:rPr>
          <w:rFonts w:cs="Times New Roman"/>
          <w:spacing w:val="11"/>
          <w:w w:val="95"/>
        </w:rPr>
        <w:t>求，</w:t>
      </w:r>
      <w:r>
        <w:rPr>
          <w:rFonts w:cs="Times New Roman"/>
          <w:spacing w:val="-2"/>
        </w:rPr>
        <w:t>各项资金支出记账凭证号按照日期或使用类别进行连续</w:t>
      </w:r>
      <w:r>
        <w:rPr>
          <w:rFonts w:cs="Times New Roman"/>
        </w:rPr>
        <w:t>编号，</w:t>
      </w:r>
      <w:r>
        <w:rPr>
          <w:rFonts w:hint="eastAsia" w:cs="仿宋_GB2312"/>
          <w:color w:val="auto"/>
          <w:highlight w:val="none"/>
          <w:lang w:eastAsia="zh-CN"/>
        </w:rPr>
        <w:t>会计凭证完整、齐全，财务会计信息内容真实、准确、规范</w:t>
      </w:r>
      <w:r>
        <w:rPr>
          <w:rFonts w:cs="Times New Roman"/>
        </w:rPr>
        <w:t>。</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0"/>
        <w:textAlignment w:val="auto"/>
        <w:rPr>
          <w:rFonts w:hint="eastAsia" w:ascii="Times New Roman" w:hAnsi="Times New Roman" w:eastAsia="仿宋_GB2312" w:cs="Times New Roman"/>
          <w:bCs/>
          <w:color w:val="auto"/>
          <w:sz w:val="32"/>
          <w:szCs w:val="32"/>
          <w:lang w:val="zh-CN" w:eastAsia="zh-CN"/>
        </w:rPr>
      </w:pPr>
      <w:r>
        <w:rPr>
          <w:rFonts w:hint="eastAsia" w:cs="仿宋_GB2312"/>
          <w:color w:val="auto"/>
          <w:kern w:val="2"/>
          <w:sz w:val="32"/>
          <w:szCs w:val="24"/>
          <w:highlight w:val="none"/>
          <w:lang w:val="en-US" w:eastAsia="zh-CN" w:bidi="ar-SA"/>
        </w:rPr>
        <w:t>根据指标体系评分标准，项目财务核算规范、符合行业要求，得</w:t>
      </w:r>
      <w:r>
        <w:rPr>
          <w:rFonts w:hint="eastAsia" w:ascii="Times New Roman" w:hAnsi="Times New Roman" w:eastAsia="仿宋_GB2312" w:cs="Times New Roman"/>
          <w:bCs/>
          <w:color w:val="auto"/>
          <w:sz w:val="32"/>
          <w:szCs w:val="32"/>
          <w:lang w:val="en-US" w:eastAsia="zh-CN"/>
        </w:rPr>
        <w:t>1分；财务会计信息真实、完整、凭证齐全，得1分。指标综合得分2分。</w:t>
      </w:r>
    </w:p>
    <w:p>
      <w:pPr>
        <w:keepNext w:val="0"/>
        <w:keepLines w:val="0"/>
        <w:pageBreakBefore w:val="0"/>
        <w:widowControl w:val="0"/>
        <w:kinsoku/>
        <w:wordWrap/>
        <w:overflowPunct/>
        <w:topLinePunct w:val="0"/>
        <w:autoSpaceDE w:val="0"/>
        <w:autoSpaceDN w:val="0"/>
        <w:bidi w:val="0"/>
        <w:adjustRightInd w:val="0"/>
        <w:snapToGrid w:val="0"/>
        <w:spacing w:line="576" w:lineRule="exact"/>
        <w:ind w:left="0" w:leftChars="0" w:firstLine="643"/>
        <w:jc w:val="left"/>
        <w:textAlignment w:val="auto"/>
        <w:outlineLvl w:val="1"/>
        <w:rPr>
          <w:rFonts w:hint="eastAsia" w:ascii="楷体_GB2312" w:hAnsi="楷体_GB2312" w:eastAsia="楷体_GB2312" w:cs="楷体_GB2312"/>
          <w:b/>
          <w:bCs/>
          <w:szCs w:val="32"/>
          <w:lang w:val="zh-CN"/>
        </w:rPr>
      </w:pPr>
      <w:bookmarkStart w:id="1294" w:name="_Toc23479"/>
      <w:bookmarkStart w:id="1295" w:name="_Toc4140"/>
      <w:bookmarkStart w:id="1296" w:name="_Toc10466"/>
      <w:bookmarkStart w:id="1297" w:name="_Toc31558"/>
      <w:r>
        <w:rPr>
          <w:rFonts w:hint="eastAsia" w:ascii="楷体_GB2312" w:hAnsi="楷体_GB2312" w:eastAsia="楷体_GB2312" w:cs="楷体_GB2312"/>
          <w:b/>
          <w:bCs/>
          <w:szCs w:val="32"/>
          <w:lang w:val="zh-CN"/>
        </w:rPr>
        <w:t>（三）项目产出情况</w:t>
      </w:r>
      <w:bookmarkEnd w:id="1294"/>
      <w:bookmarkEnd w:id="1295"/>
      <w:bookmarkEnd w:id="1296"/>
      <w:bookmarkEnd w:id="1297"/>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rPr>
          <w:rFonts w:hint="eastAsia" w:ascii="仿宋_GB2312" w:hAnsi="仿宋_GB2312" w:eastAsia="仿宋_GB2312" w:cs="仿宋_GB2312"/>
          <w:color w:val="auto"/>
          <w:highlight w:val="none"/>
          <w:lang w:val="en-US" w:eastAsia="zh-CN"/>
        </w:rPr>
      </w:pPr>
      <w:r>
        <w:rPr>
          <w:rFonts w:hint="eastAsia" w:cs="仿宋_GB2312"/>
          <w:color w:val="auto"/>
          <w:highlight w:val="none"/>
          <w:lang w:val="en-US" w:eastAsia="zh-CN"/>
        </w:rPr>
        <w:t>西宁市城中区前营街幼儿园建设项目</w:t>
      </w:r>
      <w:r>
        <w:rPr>
          <w:rFonts w:hint="eastAsia" w:ascii="仿宋_GB2312" w:hAnsi="仿宋_GB2312" w:eastAsia="仿宋_GB2312" w:cs="仿宋_GB2312"/>
          <w:color w:val="auto"/>
          <w:highlight w:val="none"/>
          <w:lang w:val="en-US" w:eastAsia="zh-CN"/>
        </w:rPr>
        <w:t>绩效评价</w:t>
      </w:r>
      <w:r>
        <w:rPr>
          <w:rFonts w:hint="eastAsia" w:cs="仿宋_GB2312"/>
          <w:color w:val="auto"/>
          <w:highlight w:val="none"/>
          <w:lang w:val="en-US" w:eastAsia="zh-CN"/>
        </w:rPr>
        <w:t>产出</w:t>
      </w:r>
      <w:r>
        <w:rPr>
          <w:rFonts w:hint="eastAsia" w:ascii="仿宋_GB2312" w:hAnsi="仿宋_GB2312" w:eastAsia="仿宋_GB2312" w:cs="仿宋_GB2312"/>
          <w:color w:val="auto"/>
          <w:highlight w:val="none"/>
          <w:lang w:val="en-US" w:eastAsia="zh-CN"/>
        </w:rPr>
        <w:t>类指标分别</w:t>
      </w:r>
      <w:r>
        <w:rPr>
          <w:rFonts w:hint="eastAsia" w:cs="仿宋_GB2312"/>
          <w:color w:val="auto"/>
          <w:highlight w:val="none"/>
          <w:lang w:val="en-US" w:eastAsia="zh-CN"/>
        </w:rPr>
        <w:t>从</w:t>
      </w:r>
      <w:r>
        <w:rPr>
          <w:rFonts w:hint="eastAsia" w:cs="Times New Roman"/>
          <w:color w:val="auto"/>
          <w:highlight w:val="none"/>
        </w:rPr>
        <w:t>产出数量、产出质量、产出时效</w:t>
      </w:r>
      <w:r>
        <w:rPr>
          <w:rFonts w:hint="eastAsia" w:cs="Times New Roman"/>
          <w:color w:val="auto"/>
          <w:highlight w:val="none"/>
          <w:lang w:eastAsia="zh-CN"/>
        </w:rPr>
        <w:t>、成本节约四</w:t>
      </w:r>
      <w:r>
        <w:rPr>
          <w:rFonts w:hint="eastAsia" w:cs="Times New Roman"/>
          <w:color w:val="auto"/>
          <w:highlight w:val="none"/>
        </w:rPr>
        <w:t>个方面进行绩效分析</w:t>
      </w:r>
      <w:r>
        <w:rPr>
          <w:rFonts w:hint="eastAsia" w:cs="仿宋_GB2312"/>
          <w:color w:val="auto"/>
          <w:highlight w:val="none"/>
          <w:lang w:val="en-US" w:eastAsia="zh-CN"/>
        </w:rPr>
        <w:t>。各项</w:t>
      </w:r>
      <w:r>
        <w:rPr>
          <w:rFonts w:hint="eastAsia" w:ascii="仿宋_GB2312" w:hAnsi="仿宋_GB2312" w:eastAsia="仿宋_GB2312" w:cs="仿宋_GB2312"/>
          <w:color w:val="auto"/>
          <w:highlight w:val="none"/>
          <w:lang w:val="en-US" w:eastAsia="zh-CN"/>
        </w:rPr>
        <w:t>指标具体得分情况如下表所示：</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3"/>
        <w:gridCol w:w="2202"/>
        <w:gridCol w:w="3586"/>
        <w:gridCol w:w="13"/>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5"/>
            <w:tcBorders>
              <w:top w:val="nil"/>
              <w:left w:val="nil"/>
              <w:bottom w:val="double" w:color="000000" w:sz="4" w:space="0"/>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6产出</w:t>
            </w:r>
            <w:r>
              <w:rPr>
                <w:rFonts w:hint="eastAsia" w:ascii="宋体" w:hAnsi="宋体" w:eastAsia="宋体" w:cs="宋体"/>
                <w:b/>
                <w:bCs/>
                <w:color w:val="auto"/>
                <w:sz w:val="28"/>
                <w:szCs w:val="28"/>
                <w:highlight w:val="none"/>
              </w:rPr>
              <w:t>类各项指标绩效评价</w:t>
            </w:r>
            <w:r>
              <w:rPr>
                <w:rFonts w:hint="eastAsia" w:ascii="宋体" w:hAnsi="宋体" w:eastAsia="宋体" w:cs="宋体"/>
                <w:b/>
                <w:color w:val="auto"/>
                <w:sz w:val="28"/>
                <w:szCs w:val="28"/>
                <w:highlight w:val="none"/>
              </w:rPr>
              <w:t>得分表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0" w:type="pct"/>
            <w:tcBorders>
              <w:top w:val="double" w:color="000000" w:sz="4" w:space="0"/>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1215" w:type="pct"/>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1979" w:type="pct"/>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654" w:type="pct"/>
            <w:gridSpan w:val="2"/>
            <w:tcBorders>
              <w:top w:val="double" w:color="000000" w:sz="4" w:space="0"/>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0" w:type="pct"/>
            <w:vMerge w:val="restart"/>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eastAsia="zh-CN"/>
              </w:rPr>
            </w:pPr>
            <w:r>
              <w:rPr>
                <w:rFonts w:hint="eastAsia" w:ascii="宋体" w:hAnsi="宋体" w:eastAsia="宋体" w:cs="宋体"/>
                <w:b/>
                <w:color w:val="auto"/>
                <w:sz w:val="24"/>
                <w:szCs w:val="22"/>
                <w:highlight w:val="none"/>
                <w:u w:val="single"/>
                <w:lang w:val="en-US" w:eastAsia="zh-CN"/>
              </w:rPr>
              <w:t>产出</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71.43</w:t>
            </w:r>
            <w:r>
              <w:rPr>
                <w:rFonts w:hint="eastAsia" w:ascii="宋体" w:hAnsi="宋体" w:eastAsia="宋体" w:cs="宋体"/>
                <w:bCs/>
                <w:color w:val="auto"/>
                <w:sz w:val="24"/>
                <w:szCs w:val="22"/>
                <w:highlight w:val="none"/>
              </w:rPr>
              <w:t>%</w:t>
            </w:r>
          </w:p>
        </w:tc>
        <w:tc>
          <w:tcPr>
            <w:tcW w:w="1215"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产出数量</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color w:val="auto"/>
                <w:sz w:val="24"/>
                <w:szCs w:val="24"/>
                <w:highlight w:val="none"/>
                <w:lang w:val="en-US" w:eastAsia="zh-CN"/>
              </w:rPr>
              <w:t>100.00%</w:t>
            </w:r>
          </w:p>
        </w:tc>
        <w:tc>
          <w:tcPr>
            <w:tcW w:w="197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center"/>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工程建设内容完工率</w:t>
            </w:r>
          </w:p>
        </w:tc>
        <w:tc>
          <w:tcPr>
            <w:tcW w:w="1118" w:type="dxa"/>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0"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5"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产出质量</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color w:val="auto"/>
                <w:sz w:val="24"/>
                <w:szCs w:val="24"/>
                <w:highlight w:val="none"/>
                <w:lang w:val="en-US" w:eastAsia="zh-CN"/>
              </w:rPr>
              <w:t>100.00</w:t>
            </w:r>
            <w:r>
              <w:rPr>
                <w:rFonts w:hint="eastAsia" w:ascii="宋体" w:hAnsi="宋体" w:eastAsia="宋体" w:cs="宋体"/>
                <w:bCs/>
                <w:color w:val="auto"/>
                <w:sz w:val="24"/>
                <w:szCs w:val="22"/>
                <w:highlight w:val="none"/>
              </w:rPr>
              <w:t>%</w:t>
            </w:r>
          </w:p>
        </w:tc>
        <w:tc>
          <w:tcPr>
            <w:tcW w:w="197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center"/>
              <w:rPr>
                <w:rFonts w:hint="default" w:ascii="宋体" w:hAnsi="宋体" w:eastAsia="宋体" w:cs="宋体"/>
                <w:bCs/>
                <w:i w:val="0"/>
                <w:iCs w:val="0"/>
                <w:color w:val="auto"/>
                <w:sz w:val="24"/>
                <w:szCs w:val="22"/>
                <w:highlight w:val="none"/>
                <w:lang w:val="en-US" w:eastAsia="zh-CN"/>
              </w:rPr>
            </w:pPr>
            <w:r>
              <w:rPr>
                <w:rFonts w:hint="eastAsia" w:ascii="宋体" w:hAnsi="宋体" w:eastAsia="宋体" w:cs="宋体"/>
                <w:color w:val="auto"/>
                <w:sz w:val="24"/>
                <w:szCs w:val="24"/>
                <w:highlight w:val="none"/>
                <w:lang w:val="en-US" w:eastAsia="zh-CN"/>
              </w:rPr>
              <w:t>工程建设合格情况</w:t>
            </w:r>
          </w:p>
        </w:tc>
        <w:tc>
          <w:tcPr>
            <w:tcW w:w="1118" w:type="dxa"/>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0"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5" w:type="pct"/>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产出时效</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50.00</w:t>
            </w:r>
            <w:r>
              <w:rPr>
                <w:rFonts w:hint="eastAsia" w:ascii="宋体" w:hAnsi="宋体" w:eastAsia="宋体" w:cs="宋体"/>
                <w:bCs/>
                <w:color w:val="auto"/>
                <w:sz w:val="24"/>
                <w:szCs w:val="22"/>
                <w:highlight w:val="none"/>
              </w:rPr>
              <w:t>%</w:t>
            </w:r>
          </w:p>
        </w:tc>
        <w:tc>
          <w:tcPr>
            <w:tcW w:w="1979"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kern w:val="0"/>
                <w:sz w:val="24"/>
                <w:highlight w:val="none"/>
                <w:lang w:bidi="ar"/>
              </w:rPr>
            </w:pPr>
            <w:r>
              <w:rPr>
                <w:rFonts w:hint="eastAsia" w:ascii="宋体" w:hAnsi="宋体" w:eastAsia="宋体" w:cs="宋体"/>
                <w:color w:val="auto"/>
                <w:sz w:val="24"/>
                <w:szCs w:val="24"/>
                <w:highlight w:val="none"/>
                <w:lang w:val="en-US" w:eastAsia="zh-CN"/>
              </w:rPr>
              <w:t>工程完工及时性</w:t>
            </w:r>
          </w:p>
        </w:tc>
        <w:tc>
          <w:tcPr>
            <w:tcW w:w="1118" w:type="dxa"/>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0"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5" w:type="pct"/>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79"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kern w:val="0"/>
                <w:sz w:val="24"/>
                <w:highlight w:val="none"/>
                <w:lang w:bidi="ar"/>
              </w:rPr>
            </w:pPr>
            <w:r>
              <w:rPr>
                <w:rFonts w:hint="eastAsia" w:ascii="宋体" w:hAnsi="宋体" w:eastAsia="宋体" w:cs="宋体"/>
                <w:color w:val="auto"/>
                <w:sz w:val="24"/>
                <w:szCs w:val="24"/>
                <w:highlight w:val="none"/>
                <w:lang w:val="en-US" w:eastAsia="zh-CN"/>
              </w:rPr>
              <w:t>竣工验收、决算及时性</w:t>
            </w:r>
          </w:p>
        </w:tc>
        <w:tc>
          <w:tcPr>
            <w:tcW w:w="1118" w:type="dxa"/>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50" w:type="pct"/>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215" w:type="pc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产出成本</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lang w:eastAsia="zh-CN"/>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0.00</w:t>
            </w:r>
            <w:r>
              <w:rPr>
                <w:rFonts w:hint="eastAsia" w:ascii="宋体" w:hAnsi="宋体" w:eastAsia="宋体" w:cs="宋体"/>
                <w:bCs/>
                <w:color w:val="auto"/>
                <w:sz w:val="24"/>
                <w:szCs w:val="22"/>
                <w:highlight w:val="none"/>
              </w:rPr>
              <w:t>%</w:t>
            </w:r>
          </w:p>
        </w:tc>
        <w:tc>
          <w:tcPr>
            <w:tcW w:w="197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成本节约率</w:t>
            </w:r>
          </w:p>
        </w:tc>
        <w:tc>
          <w:tcPr>
            <w:tcW w:w="1118" w:type="dxa"/>
            <w:gridSpan w:val="2"/>
            <w:tcBorders>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51" w:type="pct"/>
            <w:gridSpan w:val="4"/>
            <w:tcBorders>
              <w:left w:val="nil"/>
              <w:bottom w:val="doub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val="en-US" w:eastAsia="zh-CN"/>
              </w:rPr>
              <w:t>产出</w:t>
            </w:r>
            <w:r>
              <w:rPr>
                <w:rFonts w:hint="eastAsia" w:ascii="宋体" w:hAnsi="宋体" w:eastAsia="宋体" w:cs="宋体"/>
                <w:b/>
                <w:color w:val="auto"/>
                <w:sz w:val="24"/>
                <w:szCs w:val="22"/>
                <w:highlight w:val="none"/>
              </w:rPr>
              <w:t>”情况评级</w:t>
            </w:r>
          </w:p>
        </w:tc>
        <w:tc>
          <w:tcPr>
            <w:tcW w:w="648" w:type="pct"/>
            <w:tcBorders>
              <w:bottom w:val="doub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中</w:t>
            </w:r>
          </w:p>
        </w:tc>
      </w:tr>
    </w:tbl>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1.产出数量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w:t>
      </w:r>
      <w:r>
        <w:rPr>
          <w:rFonts w:hint="eastAsia" w:cs="仿宋_GB2312"/>
          <w:b/>
          <w:bCs/>
          <w:color w:val="auto"/>
          <w:kern w:val="2"/>
          <w:sz w:val="32"/>
          <w:szCs w:val="32"/>
          <w:highlight w:val="none"/>
          <w:lang w:val="en-US" w:eastAsia="zh-CN" w:bidi="ar-SA"/>
        </w:rPr>
        <w:t>工程建设内容完成率</w:t>
      </w: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指标分值8分</w:t>
      </w: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（得分8分）</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cs="Times New Roman"/>
          <w:color w:val="auto"/>
          <w:lang w:val="zh-CN" w:eastAsia="zh-CN"/>
        </w:rPr>
        <w:t>根据《西宁市城中区发展改革和经济商务局</w:t>
      </w:r>
      <w:r>
        <w:rPr>
          <w:rFonts w:hint="eastAsia" w:cs="Times New Roman"/>
          <w:color w:val="auto"/>
          <w:lang w:val="en-US" w:eastAsia="zh-CN"/>
        </w:rPr>
        <w:t>&lt;关于前营街幼儿园（暂定名）项目可行性研究报告&gt;的批复</w:t>
      </w:r>
      <w:r>
        <w:rPr>
          <w:rFonts w:hint="eastAsia" w:cs="Times New Roman"/>
          <w:color w:val="auto"/>
          <w:lang w:val="zh-CN" w:eastAsia="zh-CN"/>
        </w:rPr>
        <w:t>》（城中发经字</w:t>
      </w:r>
      <w:r>
        <w:rPr>
          <w:rFonts w:hint="eastAsia" w:ascii="Times New Roman" w:hAnsi="Times New Roman" w:eastAsia="仿宋_GB2312" w:cs="Times New Roman"/>
          <w:bCs/>
          <w:color w:val="auto"/>
          <w:sz w:val="32"/>
          <w:szCs w:val="32"/>
          <w:lang w:val="en-US" w:eastAsia="zh-CN"/>
        </w:rPr>
        <w:t>〔2017〕93号</w:t>
      </w:r>
      <w:r>
        <w:rPr>
          <w:rFonts w:hint="eastAsia" w:ascii="Times New Roman" w:hAnsi="Times New Roman" w:eastAsia="仿宋_GB2312" w:cs="Times New Roman"/>
          <w:bCs/>
          <w:color w:val="auto"/>
          <w:sz w:val="32"/>
          <w:szCs w:val="32"/>
          <w:lang w:val="zh-CN" w:eastAsia="zh-CN"/>
        </w:rPr>
        <w:t>）和《西宁市城乡规划和建设局关于&lt;城中区前营街育儿园建设项目初步设计&gt;的批复》（</w:t>
      </w:r>
      <w:r>
        <w:rPr>
          <w:rFonts w:hint="eastAsia" w:ascii="Times New Roman" w:hAnsi="Times New Roman" w:eastAsia="仿宋_GB2312" w:cs="Times New Roman"/>
          <w:bCs/>
          <w:color w:val="auto"/>
          <w:sz w:val="32"/>
          <w:szCs w:val="32"/>
          <w:lang w:val="en-US" w:eastAsia="zh-CN"/>
        </w:rPr>
        <w:t>宁规建〔2017〕305号</w:t>
      </w:r>
      <w:r>
        <w:rPr>
          <w:rFonts w:hint="eastAsia" w:ascii="Times New Roman" w:hAnsi="Times New Roman" w:eastAsia="仿宋_GB2312" w:cs="Times New Roman"/>
          <w:bCs/>
          <w:color w:val="auto"/>
          <w:sz w:val="32"/>
          <w:szCs w:val="32"/>
          <w:lang w:val="zh-CN" w:eastAsia="zh-CN"/>
        </w:rPr>
        <w:t>），</w:t>
      </w:r>
      <w:r>
        <w:rPr>
          <w:rFonts w:hint="eastAsia" w:ascii="Times New Roman" w:hAnsi="Times New Roman" w:eastAsia="仿宋_GB2312" w:cs="Times New Roman"/>
          <w:bCs/>
          <w:color w:val="auto"/>
          <w:sz w:val="32"/>
          <w:szCs w:val="32"/>
          <w:lang w:val="en-US" w:eastAsia="zh-CN"/>
        </w:rPr>
        <w:t>城中区教育局</w:t>
      </w:r>
      <w:r>
        <w:rPr>
          <w:rFonts w:hint="eastAsia" w:ascii="Times New Roman" w:hAnsi="Times New Roman" w:eastAsia="仿宋_GB2312" w:cs="Times New Roman"/>
          <w:bCs/>
          <w:color w:val="auto"/>
          <w:sz w:val="32"/>
          <w:szCs w:val="32"/>
          <w:lang w:val="zh-CN" w:eastAsia="zh-CN"/>
        </w:rPr>
        <w:t>计划在城中区法院以北，原玉井巷小学院内建设城中区前营街幼儿园，总建筑面积4981.55平方米。其中：新建幼教楼一栋，建筑面积4979.55平方米，地下一层、地上三层，框架结构；新建门卫值班室一栋，建筑面积3平方米，单层框架结构。</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经实地调研及查阅项目资料，2017年10月，</w:t>
      </w:r>
      <w:r>
        <w:rPr>
          <w:rFonts w:hint="eastAsia" w:cs="Times New Roman"/>
          <w:color w:val="auto"/>
          <w:lang w:val="en-US" w:eastAsia="zh-CN"/>
        </w:rPr>
        <w:t>西宁市城中区教育局委托红城国际工程管理有限公司进行了前营街幼儿园建设项目工程施工和监理工程的公开招标工作。经评标委员会评定，陕西盛鑫建筑安装工程有限公司、浙江同舟建设管理有限公司分别为该项目施工单位、监理单位，并与城中区教育局签订《合同协议书》。</w:t>
      </w:r>
      <w:r>
        <w:rPr>
          <w:rFonts w:hint="eastAsia" w:ascii="Times New Roman" w:hAnsi="Times New Roman" w:eastAsia="仿宋_GB2312" w:cs="Times New Roman"/>
          <w:bCs/>
          <w:color w:val="auto"/>
          <w:sz w:val="32"/>
          <w:szCs w:val="32"/>
          <w:lang w:val="en-US" w:eastAsia="zh-CN"/>
        </w:rPr>
        <w:t>合同约定项目施工期为：2018年3月15日至2019年3月15日，工期总日历天数365天。</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该项目于2018年3月15日开工建设，于2020年6月23日进行了预验收，项目已全部完工。2020年7月27日，城中区教育局组织城中区发展改革和工业信息化局、项目设计、勘察、监理、施工单位对项目进行了竣工验收，项目已全部完工，通过验收，工程建设内容完工率为100%。</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根据指标体系评分标准，项目工程建设内容完工率为100%，指标得分8分。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2.产出质量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1</w:t>
      </w: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工程建设合格情况</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8</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8</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ascii="Times New Roman" w:hAnsi="Times New Roman" w:eastAsia="仿宋_GB2312" w:cs="Times New Roman"/>
          <w:bCs/>
          <w:color w:val="auto"/>
          <w:sz w:val="32"/>
          <w:szCs w:val="32"/>
          <w:lang w:val="en-US" w:eastAsia="zh-CN"/>
        </w:rPr>
      </w:pPr>
      <w:r>
        <w:rPr>
          <w:rFonts w:hint="eastAsia" w:cs="仿宋_GB2312"/>
          <w:color w:val="auto"/>
          <w:kern w:val="2"/>
          <w:sz w:val="32"/>
          <w:szCs w:val="32"/>
          <w:highlight w:val="none"/>
          <w:lang w:val="en-US" w:eastAsia="zh-CN" w:bidi="ar-SA"/>
        </w:rPr>
        <w:t>经实地调研及查阅项目资料，</w:t>
      </w:r>
      <w:r>
        <w:rPr>
          <w:rFonts w:hint="eastAsia" w:ascii="Times New Roman" w:hAnsi="Times New Roman" w:eastAsia="仿宋_GB2312" w:cs="Times New Roman"/>
          <w:bCs/>
          <w:color w:val="auto"/>
          <w:sz w:val="32"/>
          <w:szCs w:val="32"/>
          <w:lang w:val="en-US" w:eastAsia="zh-CN"/>
        </w:rPr>
        <w:t>2020年6月23日，城中区教育局组织相关人员对项目工程进行了预验收，并对项目工程提出相关整改意见，项目施工相关单位就提出的整改意见进行整改，并对验收资料进行整理。2020年7月24日，城中区教育局向发展改革和工业信息化局上报《关于前营街幼儿园项目竣工验收的报告》，申请项目竣工验收。2020年7月27日，城中区教育局组织城中区发展改革和工业信息化局、项目设计、勘察、监理、施工单位对项目进行了竣工验收，并出具《城中区教育局基建项目验收单》，项目质量合格，通过验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根据指标体系评分标准，</w:t>
      </w:r>
      <w:r>
        <w:rPr>
          <w:rFonts w:hint="eastAsia" w:cs="仿宋_GB2312"/>
          <w:color w:val="auto"/>
          <w:kern w:val="2"/>
          <w:sz w:val="32"/>
          <w:szCs w:val="32"/>
          <w:highlight w:val="none"/>
          <w:lang w:val="en-US" w:eastAsia="zh-CN" w:bidi="ar-SA"/>
        </w:rPr>
        <w:t>项目工程建设按照合同及相关要求完成项目工程建设，且已通过竣工验收，指标</w:t>
      </w:r>
      <w:r>
        <w:rPr>
          <w:rFonts w:hint="eastAsia" w:ascii="Times New Roman" w:hAnsi="Times New Roman" w:eastAsia="仿宋_GB2312" w:cs="Times New Roman"/>
          <w:bCs/>
          <w:color w:val="auto"/>
          <w:sz w:val="32"/>
          <w:szCs w:val="32"/>
          <w:lang w:val="en-US" w:eastAsia="zh-CN"/>
        </w:rPr>
        <w:t>得分8分。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3.产出时效</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default"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1</w:t>
      </w: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工程完工及时性</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分）（得分2分）</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cs="仿宋_GB2312"/>
          <w:color w:val="auto"/>
          <w:kern w:val="2"/>
          <w:sz w:val="32"/>
          <w:szCs w:val="32"/>
          <w:highlight w:val="none"/>
          <w:lang w:val="en-US" w:eastAsia="zh-CN" w:bidi="ar-SA"/>
        </w:rPr>
        <w:t>根据城中区教育局与</w:t>
      </w:r>
      <w:r>
        <w:rPr>
          <w:rFonts w:hint="eastAsia" w:cs="Times New Roman"/>
          <w:color w:val="auto"/>
          <w:lang w:val="en-US" w:eastAsia="zh-CN"/>
        </w:rPr>
        <w:t>陕西盛鑫建筑安装工程有限公司签订的《施工合同协议书》，合同约定项目施工期为：</w:t>
      </w:r>
      <w:r>
        <w:rPr>
          <w:rFonts w:hint="eastAsia" w:ascii="Times New Roman" w:hAnsi="Times New Roman" w:eastAsia="仿宋_GB2312" w:cs="Times New Roman"/>
          <w:bCs/>
          <w:color w:val="auto"/>
          <w:sz w:val="32"/>
          <w:szCs w:val="32"/>
          <w:lang w:val="en-US" w:eastAsia="zh-CN"/>
        </w:rPr>
        <w:t>2018年3月15日至2019年3月15日，工期总日历天数365天。</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城中区教育局关于上报西宁市建设工程质量监督站的《竣工预验收申请报告》中明确该项目于2018年3月15日开始施工，于2020年6月23日进行了预验收，项目已全部完工，实际完工时间较合同约定完工时间2019年3月15日延迟一年有余，工程完工不及时。</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Cs/>
          <w:color w:val="auto"/>
          <w:sz w:val="32"/>
          <w:szCs w:val="32"/>
          <w:lang w:val="en-US" w:eastAsia="zh-CN"/>
        </w:rPr>
      </w:pPr>
      <w:r>
        <w:rPr>
          <w:rFonts w:hint="eastAsia" w:cs="仿宋_GB2312"/>
          <w:color w:val="auto"/>
          <w:kern w:val="2"/>
          <w:sz w:val="32"/>
          <w:szCs w:val="32"/>
          <w:highlight w:val="none"/>
          <w:lang w:val="en-US" w:eastAsia="zh-CN" w:bidi="ar-SA"/>
        </w:rPr>
        <w:t>根据指标体系评分标准，项目建设工程未按照合同约定及时完成，尚未造成重要影响。此项指标扣</w:t>
      </w:r>
      <w:r>
        <w:rPr>
          <w:rFonts w:hint="eastAsia" w:ascii="Times New Roman" w:hAnsi="Times New Roman" w:eastAsia="仿宋_GB2312" w:cs="Times New Roman"/>
          <w:bCs/>
          <w:color w:val="auto"/>
          <w:sz w:val="32"/>
          <w:szCs w:val="32"/>
          <w:lang w:val="en-US" w:eastAsia="zh-CN"/>
        </w:rPr>
        <w:t>2分，指标得分2分。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default"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竣工验收、决算及时性</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经实地调研及查阅项目资料，</w:t>
      </w:r>
      <w:r>
        <w:rPr>
          <w:rFonts w:hint="eastAsia" w:ascii="Times New Roman" w:hAnsi="Times New Roman" w:eastAsia="仿宋_GB2312" w:cs="Times New Roman"/>
          <w:bCs/>
          <w:color w:val="auto"/>
          <w:sz w:val="32"/>
          <w:szCs w:val="32"/>
          <w:lang w:val="en-US" w:eastAsia="zh-CN"/>
        </w:rPr>
        <w:t>2020年6月23日，城中区教育局组织相关人员对项目工程进行了预验收，并对项目工程提出相关整改意见，项目施工相关单位就提出的整改意见进行整改，并对验收资料进行整理。2020年7月24日，城中区教育局向发展改革和工业信息化局上报《关于前营街幼儿园项目竣工验收的报告》，申请项目竣工验收。2020年7月27日，城中区教育局组织城中区发展改革和工业信息化</w:t>
      </w:r>
      <w:r>
        <w:rPr>
          <w:rFonts w:hint="eastAsia" w:cs="Times New Roman"/>
          <w:lang w:val="en-US" w:eastAsia="zh-CN"/>
        </w:rPr>
        <w:t>局、项目设计、勘察、监理、施工单位对项目进行了竣工验收，并出具《城中区教育局基建项目验收单》，项目质量合格，通过验收，项目工程竣工验收及时</w:t>
      </w:r>
      <w:r>
        <w:rPr>
          <w:rFonts w:hint="eastAsia" w:cs="仿宋_GB2312"/>
          <w:color w:val="auto"/>
          <w:kern w:val="2"/>
          <w:sz w:val="32"/>
          <w:szCs w:val="32"/>
          <w:highlight w:val="none"/>
          <w:lang w:val="en-US" w:eastAsia="zh-CN" w:bidi="ar-SA"/>
        </w:rPr>
        <w:t>。</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Cs/>
          <w:color w:val="auto"/>
          <w:sz w:val="32"/>
          <w:szCs w:val="32"/>
          <w:lang w:val="en-US" w:eastAsia="zh-CN"/>
        </w:rPr>
      </w:pPr>
      <w:r>
        <w:rPr>
          <w:rFonts w:hint="eastAsia" w:cs="仿宋_GB2312"/>
          <w:color w:val="auto"/>
          <w:kern w:val="2"/>
          <w:sz w:val="32"/>
          <w:szCs w:val="32"/>
          <w:highlight w:val="none"/>
          <w:lang w:val="en-US" w:eastAsia="zh-CN" w:bidi="ar-SA"/>
        </w:rPr>
        <w:t>城中区教育局委托</w:t>
      </w:r>
      <w:r>
        <w:rPr>
          <w:rFonts w:hint="eastAsia" w:cs="Times New Roman"/>
          <w:color w:val="auto"/>
          <w:lang w:val="en-US" w:eastAsia="zh-CN"/>
        </w:rPr>
        <w:t>青海华翼会计师事务所有限公司对该项目进行了工程决算审核，并</w:t>
      </w:r>
      <w:r>
        <w:rPr>
          <w:rFonts w:hint="eastAsia" w:ascii="Times New Roman" w:hAnsi="Times New Roman" w:eastAsia="仿宋_GB2312" w:cs="Times New Roman"/>
          <w:bCs/>
          <w:color w:val="auto"/>
          <w:sz w:val="32"/>
          <w:szCs w:val="32"/>
          <w:lang w:val="en-US" w:eastAsia="zh-CN"/>
        </w:rPr>
        <w:t>于2020年12月21日出具《基本建设工程结算审核定案单》，不符合《城中区教育局基建项目管理办法》中“施工单位在工程验收结束后，在一个月之内，提交工程竣工结算书”的规定。”项目竣工决算不及时。</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根据指标体系评分标准，项目按照相关要求及时竣工验收，得2分；项目竣工决算不及时，扣2分，得0分。指标综合得分2分。</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4.产出成本</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w:t>
      </w:r>
      <w:r>
        <w:rPr>
          <w:rFonts w:hint="eastAsia" w:cs="仿宋_GB2312"/>
          <w:b/>
          <w:bCs/>
          <w:color w:val="auto"/>
          <w:kern w:val="2"/>
          <w:sz w:val="32"/>
          <w:szCs w:val="32"/>
          <w:highlight w:val="none"/>
          <w:lang w:val="en-US" w:eastAsia="zh-CN" w:bidi="ar-SA"/>
        </w:rPr>
        <w:t>成本节约率</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0</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cs="Times New Roman"/>
          <w:color w:val="auto"/>
          <w:lang w:val="zh-CN" w:eastAsia="zh-CN"/>
        </w:rPr>
        <w:t>根据《西宁市城中区发展改革和经济商务局</w:t>
      </w:r>
      <w:r>
        <w:rPr>
          <w:rFonts w:hint="eastAsia" w:cs="Times New Roman"/>
          <w:color w:val="auto"/>
          <w:lang w:val="en-US" w:eastAsia="zh-CN"/>
        </w:rPr>
        <w:t>&lt;关于前营街幼儿园（暂定名）项目可行性研究报告&gt;的批复</w:t>
      </w:r>
      <w:r>
        <w:rPr>
          <w:rFonts w:hint="eastAsia" w:cs="Times New Roman"/>
          <w:color w:val="auto"/>
          <w:lang w:val="zh-CN" w:eastAsia="zh-CN"/>
        </w:rPr>
        <w:t>》（城中发经字</w:t>
      </w:r>
      <w:r>
        <w:rPr>
          <w:rFonts w:hint="eastAsia" w:ascii="Times New Roman" w:hAnsi="Times New Roman" w:eastAsia="仿宋_GB2312" w:cs="Times New Roman"/>
          <w:bCs/>
          <w:color w:val="auto"/>
          <w:sz w:val="32"/>
          <w:szCs w:val="32"/>
          <w:lang w:val="en-US" w:eastAsia="zh-CN"/>
        </w:rPr>
        <w:t>〔2017〕93号</w:t>
      </w:r>
      <w:r>
        <w:rPr>
          <w:rFonts w:hint="eastAsia" w:ascii="Times New Roman" w:hAnsi="Times New Roman" w:eastAsia="仿宋_GB2312" w:cs="Times New Roman"/>
          <w:bCs/>
          <w:color w:val="auto"/>
          <w:sz w:val="32"/>
          <w:szCs w:val="32"/>
          <w:lang w:val="zh-CN" w:eastAsia="zh-CN"/>
        </w:rPr>
        <w:t>）和《西宁市城乡规划和建设局关于&lt;城中区前营街育儿园建设项目初步设计&gt;的批复》（</w:t>
      </w:r>
      <w:r>
        <w:rPr>
          <w:rFonts w:hint="eastAsia" w:ascii="Times New Roman" w:hAnsi="Times New Roman" w:eastAsia="仿宋_GB2312" w:cs="Times New Roman"/>
          <w:bCs/>
          <w:color w:val="auto"/>
          <w:sz w:val="32"/>
          <w:szCs w:val="32"/>
          <w:lang w:val="en-US" w:eastAsia="zh-CN"/>
        </w:rPr>
        <w:t>宁规建〔2017〕305号</w:t>
      </w:r>
      <w:r>
        <w:rPr>
          <w:rFonts w:hint="eastAsia" w:ascii="Times New Roman" w:hAnsi="Times New Roman" w:eastAsia="仿宋_GB2312" w:cs="Times New Roman"/>
          <w:bCs/>
          <w:color w:val="auto"/>
          <w:sz w:val="32"/>
          <w:szCs w:val="32"/>
          <w:lang w:val="zh-CN" w:eastAsia="zh-CN"/>
        </w:rPr>
        <w:t>），该项目计划总投资</w:t>
      </w:r>
      <w:r>
        <w:rPr>
          <w:rFonts w:hint="eastAsia" w:ascii="Times New Roman" w:hAnsi="Times New Roman" w:eastAsia="仿宋_GB2312" w:cs="Times New Roman"/>
          <w:bCs/>
          <w:color w:val="auto"/>
          <w:sz w:val="32"/>
          <w:szCs w:val="32"/>
          <w:lang w:val="en-US" w:eastAsia="zh-CN"/>
        </w:rPr>
        <w:t>17870000.00元。</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根据《西宁市城中区审计局关于&lt;前营街幼儿园建设项目&gt;的审计报告》（城中审项报〔2021〕第3号），该项目实际完成投资19451645.11元（含基坑支护增项700000.00元），超项目批复资金8.84%，成本节约率=（17870000-19451645.11）/17870000×100%=-8.85%。</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仿宋_GB2312"/>
          <w:bCs/>
          <w:color w:val="auto"/>
          <w:szCs w:val="32"/>
          <w:highlight w:val="none"/>
          <w:lang w:val="en-US" w:eastAsia="zh-CN"/>
        </w:rPr>
      </w:pPr>
      <w:r>
        <w:rPr>
          <w:rFonts w:hint="eastAsia" w:cs="仿宋_GB2312"/>
          <w:bCs/>
          <w:color w:val="auto"/>
          <w:szCs w:val="32"/>
          <w:highlight w:val="none"/>
          <w:lang w:val="en-US" w:eastAsia="zh-CN"/>
        </w:rPr>
        <w:t>根据指标体系评分标准，</w:t>
      </w:r>
      <w:r>
        <w:rPr>
          <w:rFonts w:hint="eastAsia" w:ascii="Times New Roman" w:hAnsi="Times New Roman" w:eastAsia="仿宋_GB2312" w:cs="Times New Roman"/>
          <w:bCs/>
          <w:color w:val="auto"/>
          <w:sz w:val="32"/>
          <w:szCs w:val="32"/>
          <w:lang w:val="en-US" w:eastAsia="zh-CN"/>
        </w:rPr>
        <w:t>项目成本节约率为-8.85%小于0，此项指标扣4分，指标得分0分。</w:t>
      </w:r>
    </w:p>
    <w:p>
      <w:pPr>
        <w:keepNext w:val="0"/>
        <w:keepLines w:val="0"/>
        <w:pageBreakBefore w:val="0"/>
        <w:widowControl w:val="0"/>
        <w:kinsoku/>
        <w:wordWrap/>
        <w:overflowPunct/>
        <w:topLinePunct w:val="0"/>
        <w:autoSpaceDE/>
        <w:autoSpaceDN/>
        <w:bidi w:val="0"/>
        <w:adjustRightInd w:val="0"/>
        <w:snapToGrid w:val="0"/>
        <w:spacing w:before="0" w:line="576" w:lineRule="exact"/>
        <w:ind w:left="0" w:leftChars="0" w:firstLine="643" w:firstLineChars="200"/>
        <w:jc w:val="both"/>
        <w:textAlignment w:val="auto"/>
        <w:outlineLvl w:val="1"/>
        <w:rPr>
          <w:rFonts w:hint="eastAsia" w:ascii="楷体" w:hAnsi="楷体" w:eastAsia="楷体" w:cs="仿宋_GB2312"/>
          <w:b/>
          <w:bCs/>
          <w:color w:val="auto"/>
          <w:kern w:val="2"/>
          <w:sz w:val="32"/>
          <w:szCs w:val="32"/>
          <w:highlight w:val="none"/>
          <w:lang w:val="en-US" w:eastAsia="zh-CN" w:bidi="ar-SA"/>
        </w:rPr>
      </w:pPr>
      <w:bookmarkStart w:id="1298" w:name="_Toc8971"/>
      <w:bookmarkStart w:id="1299" w:name="_Toc19077"/>
      <w:bookmarkStart w:id="1300" w:name="_Toc21851"/>
      <w:bookmarkStart w:id="1301" w:name="_Toc17584"/>
      <w:bookmarkStart w:id="1302" w:name="_Toc22973"/>
      <w:r>
        <w:rPr>
          <w:rFonts w:hint="eastAsia" w:ascii="楷体" w:hAnsi="楷体" w:eastAsia="楷体" w:cs="楷体"/>
          <w:b/>
          <w:bCs/>
          <w:color w:val="auto"/>
          <w:kern w:val="2"/>
          <w:sz w:val="32"/>
          <w:szCs w:val="32"/>
          <w:highlight w:val="none"/>
          <w:lang w:val="en-US" w:eastAsia="zh-CN" w:bidi="ar-SA"/>
        </w:rPr>
        <w:fldChar w:fldCharType="begin"/>
      </w:r>
      <w:r>
        <w:rPr>
          <w:rFonts w:hint="eastAsia" w:ascii="楷体" w:hAnsi="楷体" w:eastAsia="楷体" w:cs="楷体"/>
          <w:b/>
          <w:bCs/>
          <w:color w:val="auto"/>
          <w:kern w:val="2"/>
          <w:sz w:val="32"/>
          <w:szCs w:val="32"/>
          <w:highlight w:val="none"/>
          <w:lang w:val="en-US" w:eastAsia="zh-CN" w:bidi="ar-SA"/>
        </w:rPr>
        <w:instrText xml:space="preserve"> HYPERLINK \l "_Toc31209" </w:instrText>
      </w:r>
      <w:r>
        <w:rPr>
          <w:rFonts w:hint="eastAsia" w:ascii="楷体" w:hAnsi="楷体" w:eastAsia="楷体" w:cs="楷体"/>
          <w:b/>
          <w:bCs/>
          <w:color w:val="auto"/>
          <w:kern w:val="2"/>
          <w:sz w:val="32"/>
          <w:szCs w:val="32"/>
          <w:highlight w:val="none"/>
          <w:lang w:val="en-US" w:eastAsia="zh-CN" w:bidi="ar-SA"/>
        </w:rPr>
        <w:fldChar w:fldCharType="separate"/>
      </w:r>
      <w:r>
        <w:rPr>
          <w:rFonts w:hint="eastAsia" w:ascii="楷体" w:hAnsi="楷体" w:eastAsia="楷体" w:cs="楷体"/>
          <w:b/>
          <w:bCs/>
          <w:color w:val="auto"/>
          <w:kern w:val="2"/>
          <w:sz w:val="32"/>
          <w:szCs w:val="32"/>
          <w:highlight w:val="none"/>
          <w:lang w:val="en-US" w:eastAsia="zh-CN" w:bidi="ar-SA"/>
        </w:rPr>
        <w:t>（四）项目效益</w:t>
      </w:r>
      <w:r>
        <w:rPr>
          <w:rFonts w:hint="eastAsia" w:ascii="楷体" w:hAnsi="楷体" w:eastAsia="楷体" w:cs="楷体"/>
          <w:b/>
          <w:bCs/>
          <w:color w:val="auto"/>
          <w:kern w:val="2"/>
          <w:sz w:val="32"/>
          <w:szCs w:val="32"/>
          <w:highlight w:val="none"/>
          <w:lang w:val="en-US" w:eastAsia="zh-CN" w:bidi="ar-SA"/>
        </w:rPr>
        <w:fldChar w:fldCharType="end"/>
      </w:r>
      <w:r>
        <w:rPr>
          <w:rFonts w:hint="eastAsia" w:ascii="楷体" w:hAnsi="楷体" w:eastAsia="楷体" w:cs="楷体"/>
          <w:b/>
          <w:bCs/>
          <w:color w:val="auto"/>
          <w:kern w:val="2"/>
          <w:sz w:val="32"/>
          <w:szCs w:val="32"/>
          <w:highlight w:val="none"/>
          <w:lang w:val="en-US" w:eastAsia="zh-CN" w:bidi="ar-SA"/>
        </w:rPr>
        <w:t>情况</w:t>
      </w:r>
      <w:bookmarkEnd w:id="1298"/>
      <w:bookmarkEnd w:id="1299"/>
      <w:bookmarkEnd w:id="1300"/>
      <w:bookmarkEnd w:id="1301"/>
      <w:bookmarkEnd w:id="1302"/>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643"/>
        <w:textAlignment w:val="auto"/>
        <w:rPr>
          <w:rFonts w:hint="eastAsia" w:ascii="仿宋_GB2312" w:hAnsi="仿宋_GB2312" w:eastAsia="仿宋_GB2312" w:cs="仿宋_GB2312"/>
          <w:color w:val="auto"/>
          <w:highlight w:val="none"/>
          <w:lang w:val="en-US" w:eastAsia="zh-CN"/>
        </w:rPr>
      </w:pPr>
      <w:r>
        <w:rPr>
          <w:rFonts w:hint="eastAsia" w:cs="仿宋_GB2312"/>
          <w:color w:val="auto"/>
          <w:highlight w:val="none"/>
          <w:lang w:val="en-US" w:eastAsia="zh-CN"/>
        </w:rPr>
        <w:t>西宁市城中区前营街幼儿园建设项目</w:t>
      </w:r>
      <w:r>
        <w:rPr>
          <w:rFonts w:hint="eastAsia" w:ascii="仿宋_GB2312" w:hAnsi="仿宋_GB2312" w:eastAsia="仿宋_GB2312" w:cs="仿宋_GB2312"/>
          <w:color w:val="auto"/>
          <w:highlight w:val="none"/>
          <w:lang w:val="en-US" w:eastAsia="zh-CN"/>
        </w:rPr>
        <w:t>绩效评价</w:t>
      </w:r>
      <w:r>
        <w:rPr>
          <w:rFonts w:hint="eastAsia" w:cs="仿宋_GB2312"/>
          <w:color w:val="auto"/>
          <w:highlight w:val="none"/>
          <w:lang w:val="en-US" w:eastAsia="zh-CN"/>
        </w:rPr>
        <w:t>效益</w:t>
      </w:r>
      <w:r>
        <w:rPr>
          <w:rFonts w:hint="eastAsia" w:ascii="仿宋_GB2312" w:hAnsi="仿宋_GB2312" w:eastAsia="仿宋_GB2312" w:cs="仿宋_GB2312"/>
          <w:color w:val="auto"/>
          <w:highlight w:val="none"/>
          <w:lang w:val="en-US" w:eastAsia="zh-CN"/>
        </w:rPr>
        <w:t>类指标分别</w:t>
      </w:r>
      <w:r>
        <w:rPr>
          <w:rFonts w:hint="eastAsia" w:cs="仿宋_GB2312"/>
          <w:color w:val="auto"/>
          <w:highlight w:val="none"/>
          <w:lang w:val="en-US" w:eastAsia="zh-CN"/>
        </w:rPr>
        <w:t>从经济效益、</w:t>
      </w:r>
      <w:r>
        <w:rPr>
          <w:rFonts w:hint="eastAsia" w:cs="Times New Roman"/>
          <w:color w:val="auto"/>
          <w:highlight w:val="none"/>
        </w:rPr>
        <w:t>社会效益、可持续影响、满意度</w:t>
      </w:r>
      <w:r>
        <w:rPr>
          <w:rFonts w:hint="eastAsia" w:cs="Times New Roman"/>
          <w:color w:val="auto"/>
          <w:highlight w:val="none"/>
          <w:lang w:eastAsia="zh-CN"/>
        </w:rPr>
        <w:t>四</w:t>
      </w:r>
      <w:r>
        <w:rPr>
          <w:rFonts w:hint="eastAsia" w:cs="Times New Roman"/>
          <w:color w:val="auto"/>
          <w:highlight w:val="none"/>
        </w:rPr>
        <w:t>个方面进行评价分析</w:t>
      </w:r>
      <w:r>
        <w:rPr>
          <w:rFonts w:hint="eastAsia" w:cs="仿宋_GB2312"/>
          <w:color w:val="auto"/>
          <w:highlight w:val="none"/>
          <w:lang w:val="en-US" w:eastAsia="zh-CN"/>
        </w:rPr>
        <w:t>。各项</w:t>
      </w:r>
      <w:r>
        <w:rPr>
          <w:rFonts w:hint="eastAsia" w:ascii="仿宋_GB2312" w:hAnsi="仿宋_GB2312" w:eastAsia="仿宋_GB2312" w:cs="仿宋_GB2312"/>
          <w:color w:val="auto"/>
          <w:highlight w:val="none"/>
          <w:lang w:val="en-US" w:eastAsia="zh-CN"/>
        </w:rPr>
        <w:t>指标具体得分情况如下表所示：</w:t>
      </w:r>
    </w:p>
    <w:tbl>
      <w:tblPr>
        <w:tblStyle w:val="13"/>
        <w:tblW w:w="46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2"/>
        <w:gridCol w:w="2036"/>
        <w:gridCol w:w="3277"/>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858" w:type="dxa"/>
            <w:gridSpan w:val="4"/>
            <w:tcBorders>
              <w:top w:val="nil"/>
              <w:left w:val="nil"/>
              <w:bottom w:val="double" w:color="000000" w:sz="4" w:space="0"/>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bCs/>
                <w:color w:val="auto"/>
                <w:sz w:val="28"/>
                <w:szCs w:val="28"/>
                <w:highlight w:val="none"/>
              </w:rPr>
              <w:t>表</w:t>
            </w:r>
            <w:r>
              <w:rPr>
                <w:rFonts w:hint="eastAsia" w:ascii="宋体" w:hAnsi="宋体" w:eastAsia="宋体" w:cs="宋体"/>
                <w:b/>
                <w:bCs/>
                <w:color w:val="auto"/>
                <w:sz w:val="28"/>
                <w:szCs w:val="28"/>
                <w:highlight w:val="none"/>
                <w:lang w:val="en-US" w:eastAsia="zh-CN"/>
              </w:rPr>
              <w:t>7效益</w:t>
            </w:r>
            <w:r>
              <w:rPr>
                <w:rFonts w:hint="eastAsia" w:ascii="宋体" w:hAnsi="宋体" w:eastAsia="宋体" w:cs="宋体"/>
                <w:b/>
                <w:bCs/>
                <w:color w:val="auto"/>
                <w:sz w:val="28"/>
                <w:szCs w:val="28"/>
                <w:highlight w:val="none"/>
              </w:rPr>
              <w:t>类各项指标绩效评价</w:t>
            </w:r>
            <w:r>
              <w:rPr>
                <w:rFonts w:hint="eastAsia" w:ascii="宋体" w:hAnsi="宋体" w:eastAsia="宋体" w:cs="宋体"/>
                <w:b/>
                <w:color w:val="auto"/>
                <w:sz w:val="28"/>
                <w:szCs w:val="28"/>
                <w:highlight w:val="none"/>
              </w:rPr>
              <w:t>得分表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815" w:type="dxa"/>
            <w:tcBorders>
              <w:top w:val="double" w:color="000000" w:sz="4" w:space="0"/>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一级指标</w:t>
            </w:r>
          </w:p>
        </w:tc>
        <w:tc>
          <w:tcPr>
            <w:tcW w:w="1922" w:type="dxa"/>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二级指标</w:t>
            </w:r>
          </w:p>
        </w:tc>
        <w:tc>
          <w:tcPr>
            <w:tcW w:w="3094" w:type="dxa"/>
            <w:tcBorders>
              <w:top w:val="double" w:color="000000"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三级指标</w:t>
            </w:r>
          </w:p>
        </w:tc>
        <w:tc>
          <w:tcPr>
            <w:tcW w:w="1027" w:type="dxa"/>
            <w:tcBorders>
              <w:top w:val="double" w:color="000000" w:sz="4" w:space="0"/>
              <w:righ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得分率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vMerge w:val="restart"/>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eastAsia="zh-CN"/>
              </w:rPr>
            </w:pPr>
            <w:r>
              <w:rPr>
                <w:rFonts w:hint="eastAsia" w:ascii="宋体" w:hAnsi="宋体" w:eastAsia="宋体" w:cs="宋体"/>
                <w:b/>
                <w:color w:val="auto"/>
                <w:sz w:val="24"/>
                <w:szCs w:val="22"/>
                <w:highlight w:val="none"/>
                <w:u w:val="single"/>
                <w:lang w:val="en-US" w:eastAsia="zh-CN"/>
              </w:rPr>
              <w:t>效益</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95.14</w:t>
            </w:r>
            <w:r>
              <w:rPr>
                <w:rFonts w:hint="eastAsia" w:ascii="宋体" w:hAnsi="宋体" w:eastAsia="宋体" w:cs="宋体"/>
                <w:bCs/>
                <w:color w:val="auto"/>
                <w:sz w:val="24"/>
                <w:szCs w:val="22"/>
                <w:highlight w:val="none"/>
              </w:rPr>
              <w:t>%</w:t>
            </w:r>
          </w:p>
        </w:tc>
        <w:tc>
          <w:tcPr>
            <w:tcW w:w="1922" w:type="dxa"/>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经济效益</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lang w:eastAsia="zh-CN"/>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80.00</w:t>
            </w:r>
            <w:r>
              <w:rPr>
                <w:rFonts w:hint="eastAsia" w:ascii="宋体" w:hAnsi="宋体" w:eastAsia="宋体" w:cs="宋体"/>
                <w:bCs/>
                <w:color w:val="auto"/>
                <w:sz w:val="24"/>
                <w:szCs w:val="22"/>
                <w:highlight w:val="none"/>
              </w:rPr>
              <w:t>%</w:t>
            </w:r>
          </w:p>
        </w:tc>
        <w:tc>
          <w:tcPr>
            <w:tcW w:w="3094"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576" w:lineRule="exact"/>
              <w:ind w:left="0" w:leftChars="0" w:firstLine="0" w:firstLineChars="0"/>
              <w:jc w:val="center"/>
              <w:textAlignment w:val="auto"/>
              <w:outlineLvl w:val="9"/>
              <w:rPr>
                <w:rFonts w:hint="default" w:ascii="宋体" w:hAnsi="宋体" w:eastAsia="宋体" w:cs="宋体"/>
                <w:b w:val="0"/>
                <w:bCs w:val="0"/>
                <w:color w:val="auto"/>
                <w:kern w:val="0"/>
                <w:sz w:val="24"/>
                <w:szCs w:val="24"/>
                <w:highlight w:val="none"/>
                <w:lang w:val="en-US" w:eastAsia="zh-CN"/>
              </w:rPr>
            </w:pPr>
            <w:r>
              <w:rPr>
                <w:rFonts w:hint="eastAsia" w:ascii="宋体" w:hAnsi="宋体" w:eastAsia="宋体" w:cs="宋体"/>
                <w:color w:val="auto"/>
                <w:sz w:val="24"/>
                <w:szCs w:val="24"/>
                <w:highlight w:val="none"/>
                <w:lang w:val="en-US" w:eastAsia="zh-CN"/>
              </w:rPr>
              <w:t>节约保教费支出</w:t>
            </w:r>
          </w:p>
        </w:tc>
        <w:tc>
          <w:tcPr>
            <w:tcW w:w="102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22" w:type="dxa"/>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社会效益</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100.0</w:t>
            </w:r>
            <w:r>
              <w:rPr>
                <w:rFonts w:hint="eastAsia" w:ascii="宋体" w:hAnsi="宋体" w:eastAsia="宋体" w:cs="宋体"/>
                <w:bCs/>
                <w:color w:val="auto"/>
                <w:sz w:val="24"/>
                <w:szCs w:val="22"/>
                <w:highlight w:val="none"/>
              </w:rPr>
              <w:t>%</w:t>
            </w:r>
          </w:p>
        </w:tc>
        <w:tc>
          <w:tcPr>
            <w:tcW w:w="309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改善幼儿入园难</w:t>
            </w:r>
          </w:p>
        </w:tc>
        <w:tc>
          <w:tcPr>
            <w:tcW w:w="102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2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309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改善城中区幼儿园</w:t>
            </w:r>
          </w:p>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教育环境</w:t>
            </w:r>
          </w:p>
        </w:tc>
        <w:tc>
          <w:tcPr>
            <w:tcW w:w="102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192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309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提升学前教育水平</w:t>
            </w:r>
          </w:p>
        </w:tc>
        <w:tc>
          <w:tcPr>
            <w:tcW w:w="102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22" w:type="dxa"/>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可持续影响</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100.00</w:t>
            </w:r>
            <w:r>
              <w:rPr>
                <w:rFonts w:hint="eastAsia" w:ascii="宋体" w:hAnsi="宋体" w:eastAsia="宋体" w:cs="宋体"/>
                <w:bCs/>
                <w:color w:val="auto"/>
                <w:sz w:val="24"/>
                <w:szCs w:val="22"/>
                <w:highlight w:val="none"/>
              </w:rPr>
              <w:t>%</w:t>
            </w:r>
          </w:p>
        </w:tc>
        <w:tc>
          <w:tcPr>
            <w:tcW w:w="309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Cs/>
                <w:i w:val="0"/>
                <w:iCs w:val="0"/>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扩大城中区办公学前教育资源</w:t>
            </w:r>
          </w:p>
        </w:tc>
        <w:tc>
          <w:tcPr>
            <w:tcW w:w="102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2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309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完善学前教育体系</w:t>
            </w:r>
          </w:p>
        </w:tc>
        <w:tc>
          <w:tcPr>
            <w:tcW w:w="102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2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Cs/>
                <w:color w:val="auto"/>
                <w:sz w:val="24"/>
                <w:szCs w:val="22"/>
                <w:highlight w:val="none"/>
              </w:rPr>
            </w:pPr>
          </w:p>
        </w:tc>
        <w:tc>
          <w:tcPr>
            <w:tcW w:w="309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Cs/>
                <w:i w:val="0"/>
                <w:iCs w:val="0"/>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推动学前教育事业发展</w:t>
            </w:r>
          </w:p>
        </w:tc>
        <w:tc>
          <w:tcPr>
            <w:tcW w:w="102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22" w:type="dxa"/>
            <w:vMerge w:val="restart"/>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lang w:val="en-US" w:eastAsia="zh-CN"/>
              </w:rPr>
            </w:pPr>
            <w:r>
              <w:rPr>
                <w:rFonts w:hint="eastAsia" w:ascii="宋体" w:hAnsi="宋体" w:eastAsia="宋体" w:cs="宋体"/>
                <w:b/>
                <w:color w:val="auto"/>
                <w:sz w:val="24"/>
                <w:szCs w:val="22"/>
                <w:highlight w:val="none"/>
                <w:u w:val="single"/>
                <w:lang w:val="en-US" w:eastAsia="zh-CN"/>
              </w:rPr>
              <w:t>满意度</w:t>
            </w:r>
          </w:p>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Cs/>
                <w:color w:val="auto"/>
                <w:sz w:val="24"/>
                <w:szCs w:val="22"/>
                <w:highlight w:val="none"/>
                <w:lang w:val="en-US" w:eastAsia="zh-CN"/>
              </w:rPr>
            </w:pPr>
            <w:r>
              <w:rPr>
                <w:rFonts w:hint="eastAsia" w:ascii="宋体" w:hAnsi="宋体" w:eastAsia="宋体" w:cs="宋体"/>
                <w:bCs/>
                <w:color w:val="auto"/>
                <w:sz w:val="24"/>
                <w:szCs w:val="22"/>
                <w:highlight w:val="none"/>
              </w:rPr>
              <w:t>得分率：</w:t>
            </w:r>
            <w:r>
              <w:rPr>
                <w:rFonts w:hint="eastAsia" w:ascii="宋体" w:hAnsi="宋体" w:eastAsia="宋体" w:cs="宋体"/>
                <w:bCs/>
                <w:color w:val="auto"/>
                <w:sz w:val="24"/>
                <w:szCs w:val="22"/>
                <w:highlight w:val="none"/>
                <w:lang w:val="en-US" w:eastAsia="zh-CN"/>
              </w:rPr>
              <w:t>88.89</w:t>
            </w:r>
            <w:r>
              <w:rPr>
                <w:rFonts w:hint="eastAsia" w:ascii="宋体" w:hAnsi="宋体" w:eastAsia="宋体" w:cs="宋体"/>
                <w:bCs/>
                <w:color w:val="auto"/>
                <w:sz w:val="24"/>
                <w:szCs w:val="22"/>
                <w:highlight w:val="none"/>
              </w:rPr>
              <w:t>%</w:t>
            </w:r>
          </w:p>
        </w:tc>
        <w:tc>
          <w:tcPr>
            <w:tcW w:w="309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val="0"/>
                <w:bCs w:val="0"/>
                <w:i w:val="0"/>
                <w:iCs w:val="0"/>
                <w:color w:val="auto"/>
                <w:kern w:val="0"/>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教师满意度</w:t>
            </w:r>
          </w:p>
        </w:tc>
        <w:tc>
          <w:tcPr>
            <w:tcW w:w="102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15" w:type="dxa"/>
            <w:vMerge w:val="continue"/>
            <w:tcBorders>
              <w:left w:val="nil"/>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u w:val="single"/>
              </w:rPr>
            </w:pPr>
          </w:p>
        </w:tc>
        <w:tc>
          <w:tcPr>
            <w:tcW w:w="1922" w:type="dxa"/>
            <w:vMerge w:val="continue"/>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default" w:ascii="宋体" w:hAnsi="宋体" w:eastAsia="宋体" w:cs="宋体"/>
                <w:bCs/>
                <w:color w:val="auto"/>
                <w:sz w:val="24"/>
                <w:szCs w:val="22"/>
                <w:highlight w:val="none"/>
                <w:lang w:val="en-US" w:eastAsia="zh-CN"/>
              </w:rPr>
            </w:pPr>
          </w:p>
        </w:tc>
        <w:tc>
          <w:tcPr>
            <w:tcW w:w="309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Cs/>
                <w:i w:val="0"/>
                <w:iCs w:val="0"/>
                <w:color w:val="auto"/>
                <w:sz w:val="24"/>
                <w:szCs w:val="24"/>
                <w:highlight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社会公众满意度</w:t>
            </w:r>
          </w:p>
        </w:tc>
        <w:tc>
          <w:tcPr>
            <w:tcW w:w="1027" w:type="dxa"/>
            <w:tcBorders>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6831" w:type="dxa"/>
            <w:gridSpan w:val="3"/>
            <w:tcBorders>
              <w:left w:val="nil"/>
              <w:bottom w:val="double" w:color="auto" w:sz="4" w:space="0"/>
            </w:tcBorders>
            <w:shd w:val="clear" w:color="auto" w:fill="auto"/>
            <w:vAlign w:val="center"/>
          </w:tcPr>
          <w:p>
            <w:pPr>
              <w:keepNext w:val="0"/>
              <w:keepLines w:val="0"/>
              <w:pageBreakBefore w:val="0"/>
              <w:widowControl w:val="0"/>
              <w:kinsoku/>
              <w:overflowPunct/>
              <w:topLinePunct w:val="0"/>
              <w:autoSpaceDE/>
              <w:autoSpaceDN/>
              <w:bidi w:val="0"/>
              <w:spacing w:line="576" w:lineRule="exact"/>
              <w:ind w:left="0" w:leftChars="0" w:firstLine="0" w:firstLineChars="0"/>
              <w:jc w:val="center"/>
              <w:rPr>
                <w:rFonts w:hint="eastAsia" w:ascii="宋体" w:hAnsi="宋体" w:eastAsia="宋体" w:cs="宋体"/>
                <w:b/>
                <w:color w:val="auto"/>
                <w:sz w:val="24"/>
                <w:szCs w:val="22"/>
                <w:highlight w:val="none"/>
              </w:rPr>
            </w:pPr>
            <w:r>
              <w:rPr>
                <w:rFonts w:hint="eastAsia" w:ascii="宋体" w:hAnsi="宋体" w:eastAsia="宋体" w:cs="宋体"/>
                <w:b/>
                <w:color w:val="auto"/>
                <w:sz w:val="24"/>
                <w:szCs w:val="22"/>
                <w:highlight w:val="none"/>
              </w:rPr>
              <w:t>“</w:t>
            </w:r>
            <w:r>
              <w:rPr>
                <w:rFonts w:hint="eastAsia" w:ascii="宋体" w:hAnsi="宋体" w:eastAsia="宋体" w:cs="宋体"/>
                <w:b/>
                <w:color w:val="auto"/>
                <w:sz w:val="24"/>
                <w:szCs w:val="22"/>
                <w:highlight w:val="none"/>
                <w:lang w:val="en-US" w:eastAsia="zh-CN"/>
              </w:rPr>
              <w:t>效益</w:t>
            </w:r>
            <w:r>
              <w:rPr>
                <w:rFonts w:hint="eastAsia" w:ascii="宋体" w:hAnsi="宋体" w:eastAsia="宋体" w:cs="宋体"/>
                <w:b/>
                <w:color w:val="auto"/>
                <w:sz w:val="24"/>
                <w:szCs w:val="22"/>
                <w:highlight w:val="none"/>
              </w:rPr>
              <w:t>”情况评级</w:t>
            </w:r>
          </w:p>
        </w:tc>
        <w:tc>
          <w:tcPr>
            <w:tcW w:w="1027" w:type="dxa"/>
            <w:tcBorders>
              <w:bottom w:val="double" w:color="auto" w:sz="4" w:space="0"/>
              <w:right w:val="nil"/>
            </w:tcBorders>
            <w:shd w:val="clear" w:color="auto" w:fill="auto"/>
            <w:vAlign w:val="center"/>
          </w:tcPr>
          <w:p>
            <w:pPr>
              <w:keepNext w:val="0"/>
              <w:keepLines w:val="0"/>
              <w:pageBreakBefore w:val="0"/>
              <w:widowControl w:val="0"/>
              <w:kinsoku/>
              <w:wordWrap/>
              <w:overflowPunct/>
              <w:topLinePunct w:val="0"/>
              <w:autoSpaceDE/>
              <w:autoSpaceDN/>
              <w:bidi w:val="0"/>
              <w:spacing w:line="576" w:lineRule="exact"/>
              <w:ind w:left="0" w:leftChars="0" w:firstLine="0" w:firstLineChars="0"/>
              <w:jc w:val="center"/>
              <w:rPr>
                <w:rFonts w:hint="default" w:ascii="宋体" w:hAnsi="宋体" w:eastAsia="宋体" w:cs="宋体"/>
                <w:b/>
                <w:color w:val="auto"/>
                <w:sz w:val="24"/>
                <w:szCs w:val="22"/>
                <w:highlight w:val="none"/>
                <w:lang w:val="en-US" w:eastAsia="zh-CN"/>
              </w:rPr>
            </w:pPr>
            <w:r>
              <w:rPr>
                <w:rFonts w:hint="eastAsia" w:ascii="宋体" w:hAnsi="宋体" w:eastAsia="宋体" w:cs="宋体"/>
                <w:b/>
                <w:color w:val="auto"/>
                <w:sz w:val="24"/>
                <w:szCs w:val="22"/>
                <w:highlight w:val="none"/>
                <w:lang w:val="en-US" w:eastAsia="zh-CN"/>
              </w:rPr>
              <w:t>优</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w:t>
      </w:r>
      <w:r>
        <w:rPr>
          <w:rFonts w:hint="eastAsia" w:cs="仿宋_GB2312"/>
          <w:b/>
          <w:bCs/>
          <w:color w:val="auto"/>
          <w:kern w:val="2"/>
          <w:sz w:val="32"/>
          <w:szCs w:val="32"/>
          <w:highlight w:val="none"/>
          <w:lang w:val="en-US" w:eastAsia="zh-CN" w:bidi="ar-SA"/>
        </w:rPr>
        <w:t>经济</w:t>
      </w:r>
      <w:r>
        <w:rPr>
          <w:rFonts w:hint="eastAsia" w:ascii="仿宋_GB2312" w:hAnsi="仿宋_GB2312" w:eastAsia="仿宋_GB2312" w:cs="仿宋_GB2312"/>
          <w:b/>
          <w:bCs/>
          <w:color w:val="auto"/>
          <w:kern w:val="2"/>
          <w:sz w:val="32"/>
          <w:szCs w:val="32"/>
          <w:highlight w:val="none"/>
          <w:lang w:val="en-US" w:eastAsia="zh-CN" w:bidi="ar-SA"/>
        </w:rPr>
        <w:t>效益</w:t>
      </w:r>
    </w:p>
    <w:p>
      <w:pPr>
        <w:keepNext w:val="0"/>
        <w:keepLines w:val="0"/>
        <w:pageBreakBefore w:val="0"/>
        <w:widowControl w:val="0"/>
        <w:numPr>
          <w:ilvl w:val="0"/>
          <w:numId w:val="5"/>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节约保教费支出</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3.2</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Cs/>
          <w:color w:val="auto"/>
          <w:sz w:val="32"/>
          <w:szCs w:val="32"/>
          <w:lang w:val="en-US" w:eastAsia="zh-CN"/>
        </w:rPr>
      </w:pPr>
      <w:r>
        <w:rPr>
          <w:rFonts w:hint="eastAsia" w:ascii="仿宋_GB2312" w:hAnsi="仿宋_GB2312" w:cs="仿宋_GB2312"/>
          <w:color w:val="auto"/>
          <w:kern w:val="2"/>
          <w:sz w:val="32"/>
          <w:szCs w:val="32"/>
          <w:highlight w:val="none"/>
          <w:lang w:val="en-US" w:eastAsia="zh-CN" w:bidi="ar-SA"/>
        </w:rPr>
        <w:t>经现场调研及调查问卷统计分析，前营街幼儿园（现城中区第一幼儿园）收费按照备案制收费原则，报城中区发展改革和工业信息化局审核批复，收费表如下：</w:t>
      </w:r>
      <w:r>
        <w:rPr>
          <w:rFonts w:hint="eastAsia" w:ascii="Times New Roman" w:hAnsi="Times New Roman" w:eastAsia="仿宋_GB2312" w:cs="Times New Roman"/>
          <w:bCs/>
          <w:color w:val="auto"/>
          <w:sz w:val="32"/>
          <w:szCs w:val="32"/>
          <w:lang w:val="en-US" w:eastAsia="zh-CN"/>
        </w:rPr>
        <w:t>保育费900元每月，伙食费15元每日，取暖费15元每月。另外，对回收的315份有效调查问卷统计分析，83.17%的调查对象认为西宁市前营街幼儿园（城中区第一幼儿园）的投入运营节约了保教费支出，16.83%的调查对象认为西宁市前营街幼儿园（城中区第一幼儿园）的投入运营未节约保教费支出。</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根据指标体系评分标准，认为西宁市前营街幼儿园（城中区第一幼儿园）的投入运营节约了保教费支出调查占比小于90%，西宁市前营街幼儿园（城中区第一幼儿园）的投入运营对节约保教费支出作用比较明显，得指标满分80%的分值，此次指标扣0.8分，指标得分3.2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.社会效益</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w:t>
      </w:r>
      <w:r>
        <w:rPr>
          <w:rFonts w:hint="eastAsia" w:cs="仿宋_GB2312"/>
          <w:b/>
          <w:bCs/>
          <w:color w:val="auto"/>
          <w:kern w:val="2"/>
          <w:sz w:val="32"/>
          <w:szCs w:val="32"/>
          <w:highlight w:val="none"/>
          <w:lang w:val="en-US" w:eastAsia="zh-CN" w:bidi="ar-SA"/>
        </w:rPr>
        <w:t>改善幼儿园入园难</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ascii="Times New Roman" w:hAnsi="Times New Roman" w:eastAsia="仿宋_GB2312" w:cs="Times New Roman"/>
          <w:bCs/>
          <w:color w:val="auto"/>
          <w:sz w:val="32"/>
          <w:szCs w:val="32"/>
          <w:lang w:val="en-US" w:eastAsia="zh-CN"/>
        </w:rPr>
        <w:t>经现场调研及调查问卷统计分析，前营街幼儿园（现城中区第一幼儿园）占地面积5966平方米，建筑面积4981平方米，户外活动场地1730平方米。园所设12个教学班，可提供360个学前教育学位。目前，幼儿园有六个小班，一个中班和一个中大混龄班在内的8个教学班，在园幼儿311人，可有效解决至少360位幼儿入园难得问题。另外，对回收的315份有效调查问卷统计分析，99.68%的调查对象认为西宁市前营街幼儿园（城中区第一幼儿园）的投入运营可有效改善入园难的问题，0.32%的调查对象认为西宁市前营街幼儿</w:t>
      </w:r>
      <w:r>
        <w:rPr>
          <w:rFonts w:hint="eastAsia" w:cs="仿宋_GB2312"/>
          <w:color w:val="auto"/>
          <w:kern w:val="2"/>
          <w:sz w:val="32"/>
          <w:szCs w:val="32"/>
          <w:highlight w:val="none"/>
          <w:lang w:val="en-US" w:eastAsia="zh-CN" w:bidi="ar-SA"/>
        </w:rPr>
        <w:t>园（城中区第一幼儿园）的投入运营对改善入园难作用不明显。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根据指标体系评分标准，西宁市前营街幼儿园（城中区第一幼儿园）的投入运营对改善入园难作用非常明显，指标得分</w:t>
      </w:r>
      <w:r>
        <w:rPr>
          <w:rFonts w:hint="eastAsia" w:ascii="Times New Roman" w:hAnsi="Times New Roman" w:eastAsia="仿宋_GB2312" w:cs="Times New Roman"/>
          <w:bCs/>
          <w:color w:val="auto"/>
          <w:sz w:val="32"/>
          <w:szCs w:val="32"/>
          <w:lang w:val="en-US" w:eastAsia="zh-CN"/>
        </w:rPr>
        <w:t>4分。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改善城中区幼儿园教育设施环境</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Times New Roman" w:hAnsi="Times New Roman" w:eastAsia="仿宋_GB2312" w:cs="Times New Roman"/>
          <w:bCs/>
          <w:color w:val="auto"/>
          <w:sz w:val="32"/>
          <w:szCs w:val="32"/>
          <w:lang w:val="en-US" w:eastAsia="zh-CN"/>
        </w:rPr>
      </w:pPr>
      <w:r>
        <w:rPr>
          <w:rFonts w:hint="eastAsia" w:ascii="仿宋_GB2312" w:hAnsi="仿宋_GB2312" w:cs="仿宋_GB2312"/>
          <w:color w:val="auto"/>
          <w:kern w:val="2"/>
          <w:sz w:val="32"/>
          <w:szCs w:val="32"/>
          <w:highlight w:val="none"/>
          <w:lang w:val="en-US" w:eastAsia="zh-CN" w:bidi="ar-SA"/>
        </w:rPr>
        <w:t>经现场调研及调查问卷统计分析，前营街幼儿园（现城中区第一幼儿园）</w:t>
      </w:r>
      <w:r>
        <w:rPr>
          <w:rFonts w:hint="eastAsia" w:ascii="仿宋_GB2312" w:hAnsi="仿宋" w:eastAsia="仿宋_GB2312" w:cs="宋体"/>
          <w:sz w:val="32"/>
          <w:szCs w:val="32"/>
        </w:rPr>
        <w:t>位于西宁市法院街</w:t>
      </w:r>
      <w:r>
        <w:rPr>
          <w:rFonts w:hint="eastAsia" w:ascii="Times New Roman" w:hAnsi="Times New Roman" w:eastAsia="仿宋_GB2312" w:cs="Times New Roman"/>
          <w:bCs/>
          <w:color w:val="auto"/>
          <w:sz w:val="32"/>
          <w:szCs w:val="32"/>
          <w:lang w:val="en-US" w:eastAsia="zh-CN"/>
        </w:rPr>
        <w:t>2号（原玉井巷小学原址），园内活动场地及设施、室内教学设备及生活用具一应俱全，室内设有科学发现室、创意美工室、多功能音乐厅、陶艺室、绘本馆、益智童趣天地等专用活动室，户外设有彩虹操场、大型玩具区，沙池、后花园种植区等，教育设施条件完备。另外，对回收的315份有效调查问卷统计分析，99.68%的调查对象对西宁市前营街幼儿园（城中区第一幼儿园）设施环境表示满意，0.32%的调查对象对西宁市前营街幼儿园（城中区第一幼儿园）设施环境不满意。</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根据指标体系评分标准，</w:t>
      </w:r>
      <w:r>
        <w:rPr>
          <w:rFonts w:hint="eastAsia" w:cs="仿宋_GB2312"/>
          <w:color w:val="auto"/>
          <w:kern w:val="2"/>
          <w:sz w:val="32"/>
          <w:szCs w:val="32"/>
          <w:highlight w:val="none"/>
          <w:lang w:val="en-US" w:eastAsia="zh-CN" w:bidi="ar-SA"/>
        </w:rPr>
        <w:t>西宁市前营街幼儿园（城中区第一幼儿园）的投入运营对改善城中区幼儿园教育设施环境作用非常明显，指标得</w:t>
      </w:r>
      <w:r>
        <w:rPr>
          <w:rFonts w:hint="eastAsia" w:ascii="Times New Roman" w:hAnsi="Times New Roman" w:eastAsia="仿宋_GB2312" w:cs="Times New Roman"/>
          <w:bCs/>
          <w:color w:val="auto"/>
          <w:sz w:val="32"/>
          <w:szCs w:val="32"/>
          <w:lang w:val="en-US" w:eastAsia="zh-CN"/>
        </w:rPr>
        <w:t>分4分。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3</w:t>
      </w: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提升学前教育水平</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ascii="仿宋_GB2312" w:hAnsi="仿宋_GB2312" w:cs="仿宋_GB2312"/>
          <w:color w:val="auto"/>
          <w:kern w:val="2"/>
          <w:sz w:val="32"/>
          <w:szCs w:val="32"/>
          <w:highlight w:val="none"/>
          <w:lang w:val="en-US" w:eastAsia="zh-CN" w:bidi="ar-SA"/>
        </w:rPr>
        <w:t>经现场调研及调查问卷统计分析，前营街幼儿园（现城中区第一幼儿园）现有教职</w:t>
      </w:r>
      <w:r>
        <w:rPr>
          <w:rFonts w:hint="eastAsia" w:ascii="Times New Roman" w:hAnsi="Times New Roman" w:eastAsia="仿宋_GB2312" w:cs="Times New Roman"/>
          <w:bCs/>
          <w:color w:val="auto"/>
          <w:sz w:val="32"/>
          <w:szCs w:val="32"/>
          <w:lang w:val="en-US" w:eastAsia="zh-CN"/>
        </w:rPr>
        <w:t>工41名，其中一线专任教师17名，均为学前教育专科及以上学历，其中本科学历7名，</w:t>
      </w:r>
      <w:r>
        <w:rPr>
          <w:rFonts w:hint="eastAsia" w:ascii="仿宋_GB2312" w:hAnsi="仿宋_GB2312" w:cs="仿宋_GB2312"/>
          <w:color w:val="auto"/>
          <w:kern w:val="2"/>
          <w:sz w:val="32"/>
          <w:szCs w:val="32"/>
          <w:highlight w:val="none"/>
          <w:lang w:val="en-US" w:eastAsia="zh-CN" w:bidi="ar-SA"/>
        </w:rPr>
        <w:t>研究生学历</w:t>
      </w:r>
      <w:r>
        <w:rPr>
          <w:rFonts w:hint="eastAsia" w:ascii="Times New Roman" w:hAnsi="Times New Roman" w:eastAsia="仿宋_GB2312" w:cs="Times New Roman"/>
          <w:bCs/>
          <w:color w:val="auto"/>
          <w:sz w:val="32"/>
          <w:szCs w:val="32"/>
          <w:lang w:val="en-US" w:eastAsia="zh-CN"/>
        </w:rPr>
        <w:t>1名；保育老师9名，</w:t>
      </w:r>
      <w:r>
        <w:rPr>
          <w:rFonts w:hint="eastAsia" w:ascii="仿宋_GB2312" w:hAnsi="仿宋_GB2312" w:cs="仿宋_GB2312"/>
          <w:color w:val="auto"/>
          <w:kern w:val="2"/>
          <w:sz w:val="32"/>
          <w:szCs w:val="32"/>
          <w:highlight w:val="none"/>
          <w:lang w:val="en-US" w:eastAsia="zh-CN" w:bidi="ar-SA"/>
        </w:rPr>
        <w:t>学历为高中及大专</w:t>
      </w:r>
      <w:r>
        <w:rPr>
          <w:rFonts w:hint="eastAsia" w:cs="仿宋_GB2312"/>
          <w:color w:val="auto"/>
          <w:kern w:val="2"/>
          <w:sz w:val="32"/>
          <w:szCs w:val="32"/>
          <w:highlight w:val="none"/>
          <w:lang w:val="en-US" w:eastAsia="zh-CN" w:bidi="ar-SA"/>
        </w:rPr>
        <w:t>，</w:t>
      </w:r>
      <w:r>
        <w:rPr>
          <w:rFonts w:hint="eastAsia" w:ascii="仿宋_GB2312" w:hAnsi="仿宋_GB2312" w:cs="仿宋_GB2312"/>
          <w:color w:val="auto"/>
          <w:kern w:val="2"/>
          <w:sz w:val="32"/>
          <w:szCs w:val="32"/>
          <w:highlight w:val="none"/>
          <w:lang w:val="en-US" w:eastAsia="zh-CN" w:bidi="ar-SA"/>
        </w:rPr>
        <w:t>所有保教人员均持有岗位资格证，保教队伍呈现年轻化，专业化。幼儿园自运营一年以来，秉承“让每一个孩子健康快乐地成长和富有个性的发展”的办园理念，以“爱心保育，绘心教育”为办园宗旨，以“绘本教育”为办</w:t>
      </w:r>
      <w:r>
        <w:rPr>
          <w:rFonts w:hint="eastAsia" w:ascii="仿宋_GB2312" w:hAnsi="仿宋" w:eastAsia="仿宋_GB2312" w:cs="宋体"/>
          <w:sz w:val="32"/>
          <w:szCs w:val="32"/>
        </w:rPr>
        <w:t>园特色，不断深化教育改革，</w:t>
      </w:r>
      <w:r>
        <w:rPr>
          <w:rFonts w:hint="eastAsia" w:hAnsi="仿宋" w:cs="宋体"/>
          <w:sz w:val="32"/>
          <w:szCs w:val="32"/>
          <w:lang w:val="en-US" w:eastAsia="zh-CN"/>
        </w:rPr>
        <w:t>提升学前教育水平。另外，</w:t>
      </w:r>
      <w:r>
        <w:rPr>
          <w:rFonts w:hint="eastAsia" w:cs="仿宋_GB2312"/>
          <w:color w:val="auto"/>
          <w:kern w:val="2"/>
          <w:sz w:val="32"/>
          <w:szCs w:val="32"/>
          <w:highlight w:val="none"/>
          <w:lang w:val="en-US" w:eastAsia="zh-CN" w:bidi="ar-SA"/>
        </w:rPr>
        <w:t>对回收的</w:t>
      </w:r>
      <w:r>
        <w:rPr>
          <w:rFonts w:hint="eastAsia" w:ascii="Times New Roman" w:hAnsi="Times New Roman" w:eastAsia="仿宋_GB2312" w:cs="Times New Roman"/>
          <w:bCs/>
          <w:color w:val="auto"/>
          <w:sz w:val="32"/>
          <w:szCs w:val="32"/>
          <w:lang w:val="en-US" w:eastAsia="zh-CN"/>
        </w:rPr>
        <w:t>315份有效调查问卷统计分析，99.37%的调查对象认为西宁市前营街幼儿园（城中区第一幼儿园）的投入运营对提升学前教育水平作用明显，0.63%的调查对象认为西宁市前营街幼</w:t>
      </w:r>
      <w:r>
        <w:rPr>
          <w:rFonts w:hint="eastAsia" w:cs="仿宋_GB2312"/>
          <w:color w:val="auto"/>
          <w:kern w:val="2"/>
          <w:sz w:val="32"/>
          <w:szCs w:val="32"/>
          <w:highlight w:val="none"/>
          <w:lang w:val="en-US" w:eastAsia="zh-CN" w:bidi="ar-SA"/>
        </w:rPr>
        <w:t>儿园（城中区第一幼儿园）的投入运营对提升学前教育水平作用不明显。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根据指标体系评分标准，西宁市前营街幼儿园（城中区第一幼儿园）的投入运营对提升学前教育水平作用非常明显，指标得</w:t>
      </w:r>
      <w:r>
        <w:rPr>
          <w:rFonts w:hint="eastAsia" w:ascii="Times New Roman" w:hAnsi="Times New Roman" w:eastAsia="仿宋_GB2312" w:cs="Times New Roman"/>
          <w:bCs/>
          <w:color w:val="auto"/>
          <w:sz w:val="32"/>
          <w:szCs w:val="32"/>
          <w:lang w:val="en-US" w:eastAsia="zh-CN"/>
        </w:rPr>
        <w:t>分4分。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3.</w:t>
      </w:r>
      <w:r>
        <w:rPr>
          <w:rFonts w:hint="eastAsia" w:ascii="仿宋_GB2312" w:hAnsi="仿宋_GB2312" w:eastAsia="仿宋_GB2312" w:cs="仿宋_GB2312"/>
          <w:b/>
          <w:bCs/>
          <w:color w:val="auto"/>
          <w:kern w:val="2"/>
          <w:sz w:val="32"/>
          <w:szCs w:val="32"/>
          <w:highlight w:val="none"/>
          <w:lang w:val="en-US" w:eastAsia="zh-CN" w:bidi="ar-SA"/>
        </w:rPr>
        <w:t>可持续影响</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w:t>
      </w:r>
      <w:r>
        <w:rPr>
          <w:rFonts w:hint="eastAsia" w:cs="仿宋_GB2312"/>
          <w:b/>
          <w:bCs/>
          <w:color w:val="auto"/>
          <w:kern w:val="2"/>
          <w:sz w:val="32"/>
          <w:szCs w:val="32"/>
          <w:highlight w:val="none"/>
          <w:lang w:val="en-US" w:eastAsia="zh-CN" w:bidi="ar-SA"/>
        </w:rPr>
        <w:t>扩大城中区学前教育资源</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ascii="仿宋_GB2312" w:hAnsi="仿宋_GB2312" w:cs="仿宋_GB2312"/>
          <w:color w:val="auto"/>
          <w:kern w:val="2"/>
          <w:sz w:val="32"/>
          <w:szCs w:val="32"/>
          <w:highlight w:val="none"/>
          <w:lang w:val="en-US" w:eastAsia="zh-CN" w:bidi="ar-SA"/>
        </w:rPr>
        <w:t>经现场调研及调查问卷统计分析，前营街幼儿园（现城中区第一幼儿园）整座教学楼东西朝向呈U字型，南北三层教学楼中间用连廊连通。三楼连廊为党建长廊，记录了党建工作掠影</w:t>
      </w:r>
      <w:r>
        <w:rPr>
          <w:rFonts w:hint="eastAsia" w:cs="仿宋_GB2312"/>
          <w:color w:val="auto"/>
          <w:kern w:val="2"/>
          <w:sz w:val="32"/>
          <w:szCs w:val="32"/>
          <w:highlight w:val="none"/>
          <w:lang w:val="en-US" w:eastAsia="zh-CN" w:bidi="ar-SA"/>
        </w:rPr>
        <w:t>；</w:t>
      </w:r>
      <w:r>
        <w:rPr>
          <w:rFonts w:hint="eastAsia" w:ascii="仿宋_GB2312" w:hAnsi="仿宋_GB2312" w:cs="仿宋_GB2312"/>
          <w:color w:val="auto"/>
          <w:kern w:val="2"/>
          <w:sz w:val="32"/>
          <w:szCs w:val="32"/>
          <w:highlight w:val="none"/>
          <w:lang w:val="en-US" w:eastAsia="zh-CN" w:bidi="ar-SA"/>
        </w:rPr>
        <w:t>二楼一楼连廊是孩子们的乐园，依据幼儿年龄特点和操作水平，设置了益智童趣大道，涉及电、光、力、生物能源等各类知识，孩子们在这里操作体验，开阔眼界，增长知识</w:t>
      </w:r>
      <w:r>
        <w:rPr>
          <w:rFonts w:hint="eastAsia" w:cs="仿宋_GB2312"/>
          <w:color w:val="auto"/>
          <w:kern w:val="2"/>
          <w:sz w:val="32"/>
          <w:szCs w:val="32"/>
          <w:highlight w:val="none"/>
          <w:lang w:val="en-US" w:eastAsia="zh-CN" w:bidi="ar-SA"/>
        </w:rPr>
        <w:t>；</w:t>
      </w:r>
      <w:r>
        <w:rPr>
          <w:rFonts w:hint="eastAsia" w:ascii="仿宋_GB2312" w:hAnsi="仿宋_GB2312" w:cs="仿宋_GB2312"/>
          <w:color w:val="auto"/>
          <w:kern w:val="2"/>
          <w:sz w:val="32"/>
          <w:szCs w:val="32"/>
          <w:highlight w:val="none"/>
          <w:lang w:val="en-US" w:eastAsia="zh-CN" w:bidi="ar-SA"/>
        </w:rPr>
        <w:t>东西向的走廊由幼儿活动室和各功能室组成</w:t>
      </w:r>
      <w:r>
        <w:rPr>
          <w:rFonts w:hint="eastAsia" w:cs="仿宋_GB2312"/>
          <w:color w:val="auto"/>
          <w:kern w:val="2"/>
          <w:sz w:val="32"/>
          <w:szCs w:val="32"/>
          <w:highlight w:val="none"/>
          <w:lang w:val="en-US" w:eastAsia="zh-CN" w:bidi="ar-SA"/>
        </w:rPr>
        <w:t>；</w:t>
      </w:r>
      <w:r>
        <w:rPr>
          <w:rFonts w:hint="eastAsia" w:ascii="仿宋_GB2312" w:hAnsi="仿宋_GB2312" w:cs="仿宋_GB2312"/>
          <w:color w:val="auto"/>
          <w:kern w:val="2"/>
          <w:sz w:val="32"/>
          <w:szCs w:val="32"/>
          <w:highlight w:val="none"/>
          <w:lang w:val="en-US" w:eastAsia="zh-CN" w:bidi="ar-SA"/>
        </w:rPr>
        <w:t>寝教一体的幼儿活动室设置了陶艺室、科探室、美术室、音乐室、绘本馆五大功能室，为孩子提供了更多有益体验</w:t>
      </w:r>
      <w:r>
        <w:rPr>
          <w:rFonts w:hint="eastAsia" w:cs="仿宋_GB2312"/>
          <w:color w:val="auto"/>
          <w:kern w:val="2"/>
          <w:sz w:val="32"/>
          <w:szCs w:val="32"/>
          <w:highlight w:val="none"/>
          <w:lang w:val="en-US" w:eastAsia="zh-CN" w:bidi="ar-SA"/>
        </w:rPr>
        <w:t>。</w:t>
      </w:r>
      <w:r>
        <w:rPr>
          <w:rFonts w:hint="eastAsia" w:ascii="仿宋_GB2312" w:hAnsi="仿宋_GB2312" w:cs="仿宋_GB2312"/>
          <w:color w:val="auto"/>
          <w:kern w:val="2"/>
          <w:sz w:val="32"/>
          <w:szCs w:val="32"/>
          <w:highlight w:val="none"/>
          <w:lang w:val="en-US" w:eastAsia="zh-CN" w:bidi="ar-SA"/>
        </w:rPr>
        <w:t>前营街幼儿园（现城中区第一幼儿园）</w:t>
      </w:r>
      <w:r>
        <w:rPr>
          <w:rFonts w:hint="eastAsia" w:cs="仿宋_GB2312"/>
          <w:color w:val="auto"/>
          <w:kern w:val="2"/>
          <w:sz w:val="32"/>
          <w:szCs w:val="32"/>
          <w:highlight w:val="none"/>
          <w:lang w:val="en-US" w:eastAsia="zh-CN" w:bidi="ar-SA"/>
        </w:rPr>
        <w:t>的投入运营可有效解决</w:t>
      </w:r>
      <w:r>
        <w:rPr>
          <w:rFonts w:hint="eastAsia" w:cs="Times New Roman"/>
          <w:color w:val="auto"/>
          <w:lang w:val="en-US" w:eastAsia="zh-CN"/>
        </w:rPr>
        <w:t>区域内现有学前教育资源不能满足适龄儿童入园的问题</w:t>
      </w:r>
      <w:r>
        <w:rPr>
          <w:rFonts w:hint="eastAsia" w:ascii="仿宋_GB2312" w:hAnsi="仿宋_GB2312" w:cs="仿宋_GB2312"/>
          <w:color w:val="auto"/>
          <w:kern w:val="2"/>
          <w:sz w:val="32"/>
          <w:szCs w:val="32"/>
          <w:highlight w:val="none"/>
          <w:lang w:val="en-US" w:eastAsia="zh-CN" w:bidi="ar-SA"/>
        </w:rPr>
        <w:t>。</w:t>
      </w:r>
      <w:r>
        <w:rPr>
          <w:rFonts w:hint="eastAsia" w:cs="仿宋_GB2312"/>
          <w:color w:val="auto"/>
          <w:kern w:val="2"/>
          <w:sz w:val="32"/>
          <w:szCs w:val="32"/>
          <w:highlight w:val="none"/>
          <w:lang w:val="en-US" w:eastAsia="zh-CN" w:bidi="ar-SA"/>
        </w:rPr>
        <w:t>另外，对回收的</w:t>
      </w:r>
      <w:r>
        <w:rPr>
          <w:rFonts w:hint="eastAsia" w:ascii="Times New Roman" w:hAnsi="Times New Roman" w:eastAsia="仿宋_GB2312" w:cs="Times New Roman"/>
          <w:bCs/>
          <w:color w:val="auto"/>
          <w:sz w:val="32"/>
          <w:szCs w:val="32"/>
          <w:lang w:val="en-US" w:eastAsia="zh-CN"/>
        </w:rPr>
        <w:t>315份有效调查问卷统计分析，99.68%的调查对象认为西宁市前营街幼儿园（城中区第一幼儿园）的投入运营对扩大城中区学前教育资源作用明显，0.32%的</w:t>
      </w:r>
      <w:r>
        <w:rPr>
          <w:rFonts w:hint="eastAsia" w:cs="仿宋_GB2312"/>
          <w:color w:val="auto"/>
          <w:kern w:val="2"/>
          <w:sz w:val="32"/>
          <w:szCs w:val="32"/>
          <w:highlight w:val="none"/>
          <w:lang w:val="en-US" w:eastAsia="zh-CN" w:bidi="ar-SA"/>
        </w:rPr>
        <w:t>调查对象认为西宁市前营街幼儿园（城中区第一幼儿园）的投入运营对扩大城中区学前教育资源作用不明显。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根据指标体系评分标准，西宁市前营街幼儿园（城中区第一幼儿园）的投入运营对扩大城中区学前教育资源作用非常明显，指标得</w:t>
      </w:r>
      <w:r>
        <w:rPr>
          <w:rFonts w:hint="eastAsia" w:ascii="Times New Roman" w:hAnsi="Times New Roman" w:eastAsia="仿宋_GB2312" w:cs="Times New Roman"/>
          <w:bCs/>
          <w:color w:val="auto"/>
          <w:sz w:val="32"/>
          <w:szCs w:val="32"/>
          <w:lang w:val="en-US" w:eastAsia="zh-CN"/>
        </w:rPr>
        <w:t>分4分。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完善学前教育体系</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ascii="仿宋_GB2312" w:hAnsi="仿宋_GB2312" w:cs="仿宋_GB2312"/>
          <w:color w:val="auto"/>
          <w:kern w:val="2"/>
          <w:sz w:val="32"/>
          <w:szCs w:val="32"/>
          <w:highlight w:val="none"/>
          <w:lang w:val="en-US" w:eastAsia="zh-CN" w:bidi="ar-SA"/>
        </w:rPr>
        <w:t>经现场调研及调查问卷统计分析，前营街幼儿园（现城中区第一幼儿园）</w:t>
      </w:r>
      <w:r>
        <w:rPr>
          <w:rFonts w:hint="eastAsia" w:cs="Times New Roman"/>
          <w:color w:val="auto"/>
          <w:lang w:val="en-US" w:eastAsia="zh-CN"/>
        </w:rPr>
        <w:t>的投入运营可进一步改善西宁市城中区学前教育整体规模不足、幼儿园布局不合理的现状，保障儿童均能就近接受高质量的学前教育，促进城乡学前教育均衡发展，完善学前教育体系。</w:t>
      </w:r>
      <w:r>
        <w:rPr>
          <w:rFonts w:hint="eastAsia" w:cs="仿宋_GB2312"/>
          <w:color w:val="auto"/>
          <w:kern w:val="2"/>
          <w:sz w:val="32"/>
          <w:szCs w:val="32"/>
          <w:highlight w:val="none"/>
          <w:lang w:val="en-US" w:eastAsia="zh-CN" w:bidi="ar-SA"/>
        </w:rPr>
        <w:t>另外，对回收的</w:t>
      </w:r>
      <w:r>
        <w:rPr>
          <w:rFonts w:hint="eastAsia" w:ascii="Times New Roman" w:hAnsi="Times New Roman" w:eastAsia="仿宋_GB2312" w:cs="Times New Roman"/>
          <w:bCs/>
          <w:color w:val="auto"/>
          <w:sz w:val="32"/>
          <w:szCs w:val="32"/>
          <w:lang w:val="en-US" w:eastAsia="zh-CN"/>
        </w:rPr>
        <w:t>315份有效调查问卷统计分析，99.37%的调查对象认为西宁市前营街幼儿园（城中区第一幼儿园）的投入运营对完善学前教育体系作用明显，0.63%的调查对象认为西宁市前营街幼</w:t>
      </w:r>
      <w:r>
        <w:rPr>
          <w:rFonts w:hint="eastAsia" w:cs="仿宋_GB2312"/>
          <w:color w:val="auto"/>
          <w:kern w:val="2"/>
          <w:sz w:val="32"/>
          <w:szCs w:val="32"/>
          <w:highlight w:val="none"/>
          <w:lang w:val="en-US" w:eastAsia="zh-CN" w:bidi="ar-SA"/>
        </w:rPr>
        <w:t>儿园（城中区第一幼儿园）的投入运营对完善学前教育体系作用不明显。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根据指标体系评分标准，西宁市前营街幼儿园（城中区第一幼儿园）的投入运营对完善学前教育体系作用非常明显，指标得</w:t>
      </w:r>
      <w:r>
        <w:rPr>
          <w:rFonts w:hint="eastAsia" w:ascii="Times New Roman" w:hAnsi="Times New Roman" w:eastAsia="仿宋_GB2312" w:cs="Times New Roman"/>
          <w:bCs/>
          <w:color w:val="auto"/>
          <w:sz w:val="32"/>
          <w:szCs w:val="32"/>
          <w:lang w:val="en-US" w:eastAsia="zh-CN"/>
        </w:rPr>
        <w:t>分4分。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3</w:t>
      </w: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推动学前教育事业发展</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color w:val="auto"/>
          <w:kern w:val="2"/>
          <w:sz w:val="32"/>
          <w:szCs w:val="32"/>
          <w:highlight w:val="none"/>
          <w:lang w:val="en-US" w:eastAsia="zh-CN" w:bidi="ar-SA"/>
        </w:rPr>
      </w:pPr>
      <w:r>
        <w:rPr>
          <w:rFonts w:hint="eastAsia" w:ascii="仿宋_GB2312" w:hAnsi="仿宋_GB2312" w:cs="仿宋_GB2312"/>
          <w:color w:val="auto"/>
          <w:kern w:val="2"/>
          <w:sz w:val="32"/>
          <w:szCs w:val="32"/>
          <w:highlight w:val="none"/>
          <w:lang w:val="en-US" w:eastAsia="zh-CN" w:bidi="ar-SA"/>
        </w:rPr>
        <w:t>经现场调研及调查问卷统计分析，前营街幼儿园（现城中区第一幼儿园）</w:t>
      </w:r>
      <w:r>
        <w:rPr>
          <w:rFonts w:hint="eastAsia" w:hAnsi="仿宋" w:cs="宋体"/>
          <w:sz w:val="32"/>
          <w:szCs w:val="32"/>
          <w:lang w:val="en-US" w:eastAsia="zh-CN"/>
        </w:rPr>
        <w:t>旨在</w:t>
      </w:r>
      <w:r>
        <w:rPr>
          <w:rFonts w:ascii="仿宋_GB2312" w:hAnsi="仿宋" w:eastAsia="仿宋_GB2312" w:cs="宋体"/>
          <w:sz w:val="32"/>
          <w:szCs w:val="32"/>
        </w:rPr>
        <w:t>建设管理一流、保教一流、队伍一流的先进性、示范性</w:t>
      </w:r>
      <w:r>
        <w:rPr>
          <w:rFonts w:hint="eastAsia" w:hAnsi="仿宋" w:cs="宋体"/>
          <w:sz w:val="32"/>
          <w:szCs w:val="32"/>
          <w:lang w:val="en-US" w:eastAsia="zh-CN"/>
        </w:rPr>
        <w:t>的</w:t>
      </w:r>
      <w:r>
        <w:rPr>
          <w:rFonts w:ascii="仿宋_GB2312" w:hAnsi="仿宋" w:eastAsia="仿宋_GB2312" w:cs="宋体"/>
          <w:sz w:val="32"/>
          <w:szCs w:val="32"/>
        </w:rPr>
        <w:t>幼儿园</w:t>
      </w:r>
      <w:r>
        <w:rPr>
          <w:rFonts w:hint="eastAsia" w:hAnsi="仿宋" w:cs="宋体"/>
          <w:sz w:val="32"/>
          <w:szCs w:val="32"/>
          <w:lang w:eastAsia="zh-CN"/>
        </w:rPr>
        <w:t>，</w:t>
      </w:r>
      <w:r>
        <w:rPr>
          <w:rFonts w:hint="eastAsia" w:cs="Times New Roman"/>
          <w:color w:val="auto"/>
          <w:lang w:val="en-US" w:eastAsia="zh-CN"/>
        </w:rPr>
        <w:t>提高学前教育质量和水平，推动城中区学前教育事业发展，从而切实改善西宁市教育长足稳定发展。</w:t>
      </w:r>
      <w:r>
        <w:rPr>
          <w:rFonts w:hint="eastAsia" w:cs="仿宋_GB2312"/>
          <w:color w:val="auto"/>
          <w:kern w:val="2"/>
          <w:sz w:val="32"/>
          <w:szCs w:val="32"/>
          <w:highlight w:val="none"/>
          <w:lang w:val="en-US" w:eastAsia="zh-CN" w:bidi="ar-SA"/>
        </w:rPr>
        <w:t>另外，对回收的</w:t>
      </w:r>
      <w:r>
        <w:rPr>
          <w:rFonts w:hint="eastAsia" w:ascii="Times New Roman" w:hAnsi="Times New Roman" w:eastAsia="仿宋_GB2312" w:cs="Times New Roman"/>
          <w:bCs/>
          <w:color w:val="auto"/>
          <w:sz w:val="32"/>
          <w:szCs w:val="32"/>
          <w:lang w:val="en-US" w:eastAsia="zh-CN"/>
        </w:rPr>
        <w:t>315份有效调查问卷统计分析，99.68%的调查对象认为西宁市前营街幼儿园（城中区第一幼儿园）的投入运营对推动学前教育事业发展作用明显，0.32%</w:t>
      </w:r>
      <w:r>
        <w:rPr>
          <w:rFonts w:hint="eastAsia" w:cs="仿宋_GB2312"/>
          <w:color w:val="auto"/>
          <w:kern w:val="2"/>
          <w:sz w:val="32"/>
          <w:szCs w:val="32"/>
          <w:highlight w:val="none"/>
          <w:lang w:val="en-US" w:eastAsia="zh-CN" w:bidi="ar-SA"/>
        </w:rPr>
        <w:t>的调查对象</w:t>
      </w:r>
      <w:r>
        <w:rPr>
          <w:rFonts w:hint="eastAsia" w:ascii="仿宋_GB2312" w:hAnsi="仿宋" w:eastAsia="仿宋_GB2312" w:cs="宋体"/>
          <w:sz w:val="32"/>
          <w:szCs w:val="32"/>
          <w:lang w:val="en-US" w:eastAsia="zh-CN"/>
        </w:rPr>
        <w:t>认为西宁市前营街幼儿园（城中区第一幼儿园）的投入运营对推动学前教育事业发展作用不</w:t>
      </w:r>
      <w:r>
        <w:rPr>
          <w:rFonts w:hint="eastAsia" w:cs="仿宋_GB2312"/>
          <w:color w:val="auto"/>
          <w:kern w:val="2"/>
          <w:sz w:val="32"/>
          <w:szCs w:val="32"/>
          <w:highlight w:val="none"/>
          <w:lang w:val="en-US" w:eastAsia="zh-CN" w:bidi="ar-SA"/>
        </w:rPr>
        <w:t>明显。</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cs="仿宋_GB2312"/>
          <w:color w:val="auto"/>
          <w:kern w:val="2"/>
          <w:sz w:val="32"/>
          <w:szCs w:val="32"/>
          <w:highlight w:val="none"/>
          <w:lang w:val="en-US" w:eastAsia="zh-CN" w:bidi="ar-SA"/>
        </w:rPr>
        <w:t>根据指标体系评分标准，西宁市前营街幼儿园（城中区第一幼儿园）的投入运营对推动学前教育事业发展作用非常明显，指标得</w:t>
      </w:r>
      <w:r>
        <w:rPr>
          <w:rFonts w:hint="eastAsia" w:ascii="Times New Roman" w:hAnsi="Times New Roman" w:eastAsia="仿宋_GB2312" w:cs="Times New Roman"/>
          <w:bCs/>
          <w:color w:val="auto"/>
          <w:sz w:val="32"/>
          <w:szCs w:val="32"/>
          <w:lang w:val="en-US" w:eastAsia="zh-CN"/>
        </w:rPr>
        <w:t>分4分</w:t>
      </w:r>
      <w:r>
        <w:rPr>
          <w:rFonts w:hint="eastAsia" w:cs="仿宋_GB2312"/>
          <w:color w:val="auto"/>
          <w:kern w:val="2"/>
          <w:sz w:val="32"/>
          <w:szCs w:val="32"/>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满意度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（1）</w:t>
      </w:r>
      <w:r>
        <w:rPr>
          <w:rFonts w:hint="eastAsia" w:cs="仿宋_GB2312"/>
          <w:b/>
          <w:bCs/>
          <w:color w:val="auto"/>
          <w:kern w:val="2"/>
          <w:sz w:val="32"/>
          <w:szCs w:val="32"/>
          <w:highlight w:val="none"/>
          <w:lang w:val="en-US" w:eastAsia="zh-CN" w:bidi="ar-SA"/>
        </w:rPr>
        <w:t>教师满意度</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default" w:ascii="Times New Roman" w:hAnsi="Times New Roman" w:eastAsia="仿宋_GB2312" w:cs="Times New Roman"/>
          <w:bCs/>
          <w:color w:val="auto"/>
          <w:sz w:val="32"/>
          <w:szCs w:val="32"/>
          <w:lang w:val="en-US" w:eastAsia="zh-CN"/>
        </w:rPr>
      </w:pPr>
      <w:r>
        <w:rPr>
          <w:rFonts w:hint="eastAsia" w:cs="仿宋_GB2312"/>
          <w:color w:val="auto"/>
          <w:kern w:val="2"/>
          <w:sz w:val="32"/>
          <w:szCs w:val="32"/>
          <w:highlight w:val="none"/>
          <w:lang w:val="en-US" w:eastAsia="zh-CN" w:bidi="ar-SA"/>
        </w:rPr>
        <w:t>经对回收的</w:t>
      </w:r>
      <w:r>
        <w:rPr>
          <w:rFonts w:hint="eastAsia" w:ascii="Times New Roman" w:hAnsi="Times New Roman" w:eastAsia="仿宋_GB2312" w:cs="Times New Roman"/>
          <w:bCs/>
          <w:color w:val="auto"/>
          <w:sz w:val="32"/>
          <w:szCs w:val="32"/>
          <w:lang w:val="en-US" w:eastAsia="zh-CN"/>
        </w:rPr>
        <w:t>34份在校教师有效调查问卷统计分析，70.59%的在校教师对西宁市前营街幼儿园（城中区第一幼儿园）建设及投入运营整体非常满意，29.41%的在校教师对西宁市前营街幼儿园（城中区第一幼儿园）建设及投入运营整体比较满意。同时，对调查问卷整体进行分数统计分析，在校教师对西宁市前营街幼儿园（城中区第一幼儿园）建设及投入运营整体满意度得分为92.94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根据指标体系评分标准，</w:t>
      </w:r>
      <w:r>
        <w:rPr>
          <w:rFonts w:hint="eastAsia" w:cs="仿宋_GB2312"/>
          <w:color w:val="auto"/>
          <w:kern w:val="2"/>
          <w:sz w:val="32"/>
          <w:szCs w:val="32"/>
          <w:highlight w:val="none"/>
          <w:lang w:val="en-US" w:eastAsia="zh-CN" w:bidi="ar-SA"/>
        </w:rPr>
        <w:t>在校教师对西宁市前营街幼儿园（城中区第一幼儿园）建设及投入运营整体满意度得分为</w:t>
      </w:r>
      <w:r>
        <w:rPr>
          <w:rFonts w:hint="eastAsia" w:ascii="Times New Roman" w:hAnsi="Times New Roman" w:eastAsia="仿宋_GB2312" w:cs="Times New Roman"/>
          <w:bCs/>
          <w:color w:val="auto"/>
          <w:sz w:val="32"/>
          <w:szCs w:val="32"/>
          <w:lang w:val="en-US" w:eastAsia="zh-CN"/>
        </w:rPr>
        <w:t>92.94分，满意度≥90分。指标得分为4分。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ascii="仿宋_GB2312" w:hAnsi="仿宋_GB2312" w:eastAsia="仿宋_GB2312" w:cs="仿宋_GB2312"/>
          <w:b/>
          <w:bCs/>
          <w:color w:val="auto"/>
          <w:kern w:val="2"/>
          <w:sz w:val="32"/>
          <w:szCs w:val="32"/>
          <w:highlight w:val="none"/>
          <w:lang w:val="en-US" w:eastAsia="zh-CN" w:bidi="ar-SA"/>
        </w:rPr>
      </w:pP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2</w:t>
      </w:r>
      <w:r>
        <w:rPr>
          <w:rFonts w:hint="eastAsia" w:ascii="仿宋_GB2312" w:hAnsi="仿宋_GB2312" w:eastAsia="仿宋_GB2312" w:cs="仿宋_GB2312"/>
          <w:b/>
          <w:bCs/>
          <w:color w:val="auto"/>
          <w:kern w:val="2"/>
          <w:sz w:val="32"/>
          <w:szCs w:val="32"/>
          <w:highlight w:val="none"/>
          <w:lang w:val="en-US" w:eastAsia="zh-CN" w:bidi="ar-SA"/>
        </w:rPr>
        <w:t>）</w:t>
      </w:r>
      <w:r>
        <w:rPr>
          <w:rFonts w:hint="eastAsia" w:cs="仿宋_GB2312"/>
          <w:b/>
          <w:bCs/>
          <w:color w:val="auto"/>
          <w:kern w:val="2"/>
          <w:sz w:val="32"/>
          <w:szCs w:val="32"/>
          <w:highlight w:val="none"/>
          <w:lang w:val="en-US" w:eastAsia="zh-CN" w:bidi="ar-SA"/>
        </w:rPr>
        <w:t>社会公众满意度</w:t>
      </w:r>
      <w:r>
        <w:rPr>
          <w:rFonts w:hint="eastAsia" w:ascii="仿宋_GB2312" w:hAnsi="仿宋_GB2312" w:eastAsia="仿宋_GB2312" w:cs="仿宋_GB2312"/>
          <w:b/>
          <w:bCs/>
          <w:color w:val="auto"/>
          <w:kern w:val="2"/>
          <w:sz w:val="32"/>
          <w:szCs w:val="32"/>
          <w:highlight w:val="none"/>
          <w:lang w:val="en-US" w:eastAsia="zh-CN" w:bidi="ar-SA"/>
        </w:rPr>
        <w:t>（指标分值</w:t>
      </w:r>
      <w:r>
        <w:rPr>
          <w:rFonts w:hint="eastAsia" w:cs="仿宋_GB2312"/>
          <w:b/>
          <w:bCs/>
          <w:color w:val="auto"/>
          <w:kern w:val="2"/>
          <w:sz w:val="32"/>
          <w:szCs w:val="32"/>
          <w:highlight w:val="none"/>
          <w:lang w:val="en-US" w:eastAsia="zh-CN" w:bidi="ar-SA"/>
        </w:rPr>
        <w:t>5</w:t>
      </w:r>
      <w:r>
        <w:rPr>
          <w:rFonts w:hint="eastAsia" w:ascii="仿宋_GB2312" w:hAnsi="仿宋_GB2312" w:eastAsia="仿宋_GB2312" w:cs="仿宋_GB2312"/>
          <w:b/>
          <w:bCs/>
          <w:color w:val="auto"/>
          <w:kern w:val="2"/>
          <w:sz w:val="32"/>
          <w:szCs w:val="32"/>
          <w:highlight w:val="none"/>
          <w:lang w:val="en-US" w:eastAsia="zh-CN" w:bidi="ar-SA"/>
        </w:rPr>
        <w:t>分）（得分</w:t>
      </w:r>
      <w:r>
        <w:rPr>
          <w:rFonts w:hint="eastAsia" w:cs="仿宋_GB2312"/>
          <w:b/>
          <w:bCs/>
          <w:color w:val="auto"/>
          <w:kern w:val="2"/>
          <w:sz w:val="32"/>
          <w:szCs w:val="32"/>
          <w:highlight w:val="none"/>
          <w:lang w:val="en-US" w:eastAsia="zh-CN" w:bidi="ar-SA"/>
        </w:rPr>
        <w:t>4</w:t>
      </w:r>
      <w:r>
        <w:rPr>
          <w:rFonts w:hint="eastAsia" w:ascii="仿宋_GB2312" w:hAnsi="仿宋_GB2312" w:eastAsia="仿宋_GB2312" w:cs="仿宋_GB2312"/>
          <w:b/>
          <w:bCs/>
          <w:color w:val="auto"/>
          <w:kern w:val="2"/>
          <w:sz w:val="32"/>
          <w:szCs w:val="32"/>
          <w:highlight w:val="none"/>
          <w:lang w:val="en-US" w:eastAsia="zh-CN" w:bidi="ar-SA"/>
        </w:rPr>
        <w:t>分）</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经对回收的281份在社会公众有效调查问卷统计分析，其中：儿童家长274份，其他人员7份。53.28%的儿童家长对西宁市前营街幼儿园（城中区第一幼儿园）建设及投入运营整体非常满意，41.61%的儿童家长对西宁市前营街幼儿园（城中区第一幼儿园）建设及投入运营整体比较满意，4.74%的儿童家长对西宁市前营街幼儿园（城中区第一幼儿园）建设及投入运营整体一般满意；28.57%的其他人员对西宁市前营街幼儿园（城中区第一幼儿园）建设及投入运营整体非常满意，42.86%的其他人员对西宁市前营街幼儿园（城中区第一幼儿园）建设及投入运营整体比较满意，28.57%的其他人员对西宁市前营街幼儿园（城中区第一幼儿园）建设及投入运营整体一般满意。同时，对调查问卷整体进行分数统计分析，儿童家长对西宁市前营街幼儿园（城中区第一幼儿园）建设及投入运营整体满意度得分为87.67分，其他人员对西宁市前营街幼儿园（城中区第一幼儿园）建设及投入运营整体满意度得分为81.14分，社会公众对西宁市前营街幼儿园（城中区第一幼儿园）建设及投入运营整体满意度得分为87.54分。</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根据指标体系评分标准，社会公众对西宁市前营街幼儿园（城中区第一幼儿园）建设及投入运营整体满意度得分为87.54分，85分≤满意度＜90分。此项指标扣1分，指标得分</w:t>
      </w:r>
      <w:r>
        <w:rPr>
          <w:rFonts w:hint="eastAsia" w:ascii="Times New Roman" w:hAnsi="Times New Roman" w:eastAsia="仿宋_GB2312" w:cs="Times New Roman"/>
          <w:bCs/>
          <w:color w:val="auto"/>
          <w:sz w:val="32"/>
          <w:szCs w:val="32"/>
          <w:lang w:val="en-US" w:eastAsia="zh-CN"/>
        </w:rPr>
        <w:tab/>
      </w:r>
      <w:r>
        <w:rPr>
          <w:rFonts w:hint="eastAsia" w:ascii="Times New Roman" w:hAnsi="Times New Roman" w:eastAsia="仿宋_GB2312" w:cs="Times New Roman"/>
          <w:bCs/>
          <w:color w:val="auto"/>
          <w:sz w:val="32"/>
          <w:szCs w:val="32"/>
          <w:lang w:val="en-US" w:eastAsia="zh-CN"/>
        </w:rPr>
        <w:t>4分。</w:t>
      </w:r>
    </w:p>
    <w:p>
      <w:pPr>
        <w:keepNext w:val="0"/>
        <w:keepLines w:val="0"/>
        <w:pageBreakBefore w:val="0"/>
        <w:widowControl w:val="0"/>
        <w:kinsoku/>
        <w:wordWrap/>
        <w:overflowPunct/>
        <w:topLinePunct w:val="0"/>
        <w:autoSpaceDE w:val="0"/>
        <w:autoSpaceDN w:val="0"/>
        <w:bidi w:val="0"/>
        <w:adjustRightInd w:val="0"/>
        <w:snapToGrid w:val="0"/>
        <w:spacing w:line="576" w:lineRule="exact"/>
        <w:ind w:left="0" w:leftChars="0"/>
        <w:jc w:val="left"/>
        <w:textAlignment w:val="auto"/>
        <w:outlineLvl w:val="0"/>
        <w:rPr>
          <w:rFonts w:hint="eastAsia" w:ascii="黑体" w:hAnsi="黑体" w:eastAsia="黑体" w:cs="黑体"/>
          <w:b/>
          <w:bCs/>
          <w:szCs w:val="32"/>
          <w:lang w:val="zh-CN"/>
        </w:rPr>
      </w:pPr>
      <w:bookmarkStart w:id="1303" w:name="_Toc7998"/>
      <w:bookmarkStart w:id="1304" w:name="_Toc22946"/>
      <w:bookmarkStart w:id="1305" w:name="_Toc20683"/>
      <w:bookmarkStart w:id="1306" w:name="_Toc12478"/>
      <w:r>
        <w:rPr>
          <w:rFonts w:hint="eastAsia" w:ascii="黑体" w:hAnsi="黑体" w:eastAsia="黑体" w:cs="黑体"/>
          <w:b/>
          <w:bCs/>
          <w:szCs w:val="32"/>
          <w:lang w:val="zh-CN"/>
        </w:rPr>
        <w:t>六、项目主要经验及做法</w:t>
      </w:r>
      <w:bookmarkEnd w:id="1303"/>
      <w:bookmarkEnd w:id="1304"/>
      <w:bookmarkEnd w:id="1305"/>
      <w:bookmarkEnd w:id="1306"/>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b/>
          <w:bCs/>
          <w:lang w:val="en-US" w:eastAsia="zh-CN"/>
        </w:rPr>
      </w:pPr>
      <w:bookmarkStart w:id="1307" w:name="_Toc16557"/>
      <w:r>
        <w:rPr>
          <w:rFonts w:hint="eastAsia" w:cs="Times New Roman"/>
          <w:b/>
          <w:bCs/>
          <w:lang w:val="en-US" w:eastAsia="zh-CN"/>
        </w:rPr>
        <w:t>（一）项目实施精准，效益发挥显著。</w:t>
      </w:r>
      <w:bookmarkEnd w:id="1307"/>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Times New Roman"/>
          <w:color w:val="auto"/>
          <w:lang w:val="en-US" w:eastAsia="zh-CN"/>
        </w:rPr>
      </w:pPr>
      <w:r>
        <w:rPr>
          <w:rFonts w:hint="eastAsia" w:cs="Times New Roman"/>
          <w:color w:val="auto"/>
          <w:lang w:val="en-US" w:eastAsia="zh-CN"/>
        </w:rPr>
        <w:t>前营街地区作为西宁市城中区居住人口相对较多的老城区，区域内现有学前教育资源不能满足适龄儿童入园的问题日益凸显，西宁市教育局、城中区教育局根据《教育部办公厅国家发展改革委办公厅&lt;关于实施中西部农村学前教育推进工程试点项目&gt;的指导意见》《青海省中长期教育改革和发展规划纲要</w:t>
      </w:r>
      <w:r>
        <w:rPr>
          <w:rFonts w:hint="eastAsia" w:ascii="Times New Roman" w:hAnsi="Times New Roman" w:eastAsia="仿宋_GB2312" w:cs="Times New Roman"/>
          <w:bCs/>
          <w:color w:val="auto"/>
          <w:sz w:val="32"/>
          <w:szCs w:val="32"/>
          <w:lang w:val="en-US" w:eastAsia="zh-CN"/>
        </w:rPr>
        <w:t>（2010—2020年）》</w:t>
      </w:r>
      <w:r>
        <w:rPr>
          <w:rFonts w:hint="eastAsia" w:cs="Times New Roman"/>
          <w:color w:val="auto"/>
          <w:lang w:val="en-US" w:eastAsia="zh-CN"/>
        </w:rPr>
        <w:t>《青海省人民政府办公厅转发&lt;青海省教育厅关于进一步促进学前教育发展意见&gt;的通知》和《青海省中小学布局调整规划目标和中小学校安工程实施计划》等相关政策精神，决定建设西宁市城中区前营街幼儿园。事实证明，城中区前营街幼儿园（城中区第一幼儿园）的投入运营切实改善了西宁市城中区学前教育整体规模不足、幼儿园布局不合理的现状，保障了儿童均能就近接受高质量的学前教育，提高了学前教育质量和水平。</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eastAsia" w:cs="Times New Roman"/>
          <w:b/>
          <w:bCs/>
          <w:color w:val="auto"/>
          <w:lang w:val="en-US" w:eastAsia="zh-CN"/>
        </w:rPr>
      </w:pPr>
      <w:r>
        <w:rPr>
          <w:rFonts w:hint="eastAsia" w:cs="Times New Roman"/>
          <w:b/>
          <w:bCs/>
          <w:color w:val="auto"/>
          <w:lang w:val="en-US" w:eastAsia="zh-CN"/>
        </w:rPr>
        <w:t>（二）严格执行档案管理制度，档案管理规范</w:t>
      </w:r>
    </w:p>
    <w:p>
      <w:pPr>
        <w:keepNext w:val="0"/>
        <w:keepLines w:val="0"/>
        <w:pageBreakBefore w:val="0"/>
        <w:widowControl w:val="0"/>
        <w:numPr>
          <w:ilvl w:val="0"/>
          <w:numId w:val="0"/>
        </w:numPr>
        <w:kinsoku/>
        <w:wordWrap/>
        <w:overflowPunct/>
        <w:topLinePunct w:val="0"/>
        <w:bidi w:val="0"/>
        <w:adjustRightInd w:val="0"/>
        <w:snapToGrid w:val="0"/>
        <w:spacing w:line="576" w:lineRule="exact"/>
        <w:ind w:left="0" w:leftChars="0" w:firstLine="640" w:firstLineChars="200"/>
        <w:textAlignment w:val="auto"/>
        <w:rPr>
          <w:rFonts w:hint="default" w:cs="Times New Roman"/>
          <w:lang w:val="en-US" w:eastAsia="zh-CN"/>
        </w:rPr>
      </w:pPr>
      <w:r>
        <w:rPr>
          <w:rFonts w:hint="eastAsia" w:cs="Times New Roman"/>
          <w:lang w:val="en-US" w:eastAsia="zh-CN"/>
        </w:rPr>
        <w:t>经实地调研和查阅资料，城中区教育局项目负责人严格按照《城中区教育局基建项目管理办法》中档案管理规定，对项目资料进行编号，档案盒统一收纳、档案柜统一放置，确保了项目各类资料的完整性。</w:t>
      </w:r>
    </w:p>
    <w:p>
      <w:pPr>
        <w:keepNext w:val="0"/>
        <w:keepLines w:val="0"/>
        <w:pageBreakBefore w:val="0"/>
        <w:widowControl w:val="0"/>
        <w:kinsoku/>
        <w:wordWrap/>
        <w:overflowPunct/>
        <w:topLinePunct w:val="0"/>
        <w:autoSpaceDE w:val="0"/>
        <w:autoSpaceDN w:val="0"/>
        <w:bidi w:val="0"/>
        <w:adjustRightInd w:val="0"/>
        <w:snapToGrid w:val="0"/>
        <w:spacing w:line="576" w:lineRule="exact"/>
        <w:ind w:left="0" w:leftChars="0"/>
        <w:jc w:val="left"/>
        <w:textAlignment w:val="auto"/>
        <w:outlineLvl w:val="0"/>
        <w:rPr>
          <w:rFonts w:hint="eastAsia" w:ascii="黑体" w:hAnsi="黑体" w:eastAsia="黑体" w:cs="黑体"/>
          <w:b/>
          <w:bCs/>
          <w:szCs w:val="32"/>
          <w:lang w:val="zh-CN"/>
        </w:rPr>
      </w:pPr>
      <w:bookmarkStart w:id="1308" w:name="_Toc28055"/>
      <w:bookmarkStart w:id="1309" w:name="_Toc2829"/>
      <w:bookmarkStart w:id="1310" w:name="_Toc6644"/>
      <w:bookmarkStart w:id="1311" w:name="_Toc19566"/>
      <w:r>
        <w:rPr>
          <w:rFonts w:hint="eastAsia" w:ascii="黑体" w:hAnsi="黑体" w:eastAsia="黑体" w:cs="黑体"/>
          <w:b/>
          <w:bCs/>
          <w:szCs w:val="32"/>
          <w:lang w:val="zh-CN"/>
        </w:rPr>
        <w:t>七、存在的问题及原因分析</w:t>
      </w:r>
      <w:bookmarkEnd w:id="1308"/>
      <w:bookmarkEnd w:id="1309"/>
      <w:bookmarkEnd w:id="1310"/>
      <w:bookmarkEnd w:id="1311"/>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cs="仿宋_GB2312"/>
          <w:b w:val="0"/>
          <w:bCs w:val="0"/>
          <w:color w:val="auto"/>
          <w:sz w:val="32"/>
          <w:szCs w:val="32"/>
          <w:highlight w:val="none"/>
          <w:lang w:val="en-US" w:eastAsia="zh-CN"/>
        </w:rPr>
      </w:pPr>
      <w:r>
        <w:rPr>
          <w:rFonts w:hint="eastAsia" w:cs="仿宋_GB2312"/>
          <w:b/>
          <w:bCs/>
          <w:color w:val="auto"/>
          <w:sz w:val="32"/>
          <w:szCs w:val="32"/>
          <w:highlight w:val="none"/>
          <w:lang w:val="en-US" w:eastAsia="zh-CN"/>
        </w:rPr>
        <w:t>（一）绩效指标编制水平不足</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仿宋_GB2312"/>
          <w:b w:val="0"/>
          <w:bCs w:val="0"/>
          <w:color w:val="auto"/>
          <w:sz w:val="32"/>
          <w:szCs w:val="32"/>
          <w:highlight w:val="none"/>
          <w:lang w:val="en-US" w:eastAsia="zh-CN"/>
        </w:rPr>
      </w:pPr>
      <w:r>
        <w:rPr>
          <w:rFonts w:hint="eastAsia" w:cs="仿宋_GB2312"/>
          <w:b w:val="0"/>
          <w:bCs w:val="0"/>
          <w:color w:val="auto"/>
          <w:sz w:val="32"/>
          <w:szCs w:val="32"/>
          <w:highlight w:val="none"/>
          <w:lang w:val="en-US" w:eastAsia="zh-CN"/>
        </w:rPr>
        <w:t>经查阅</w:t>
      </w:r>
      <w:r>
        <w:rPr>
          <w:rFonts w:hint="eastAsia" w:cs="仿宋_GB2312"/>
          <w:color w:val="auto"/>
          <w:highlight w:val="none"/>
          <w:lang w:val="en-US" w:eastAsia="zh-CN"/>
        </w:rPr>
        <w:t>城中区教育局填报的《县(区)级项目支出绩效目标申报表》</w:t>
      </w:r>
      <w:r>
        <w:rPr>
          <w:rFonts w:hint="eastAsia" w:cs="仿宋_GB2312"/>
          <w:b w:val="0"/>
          <w:bCs w:val="0"/>
          <w:color w:val="auto"/>
          <w:sz w:val="32"/>
          <w:szCs w:val="32"/>
          <w:highlight w:val="none"/>
          <w:lang w:val="en-US" w:eastAsia="zh-CN"/>
        </w:rPr>
        <w:t>，申报表中设置的绩效指标能够与项目目标任务数相对应，但存在二级绩效指标设置不全、未填写指标值的问题，具体表现如下：1.二级社会效益指标设置为“</w:t>
      </w:r>
      <w:r>
        <w:rPr>
          <w:rFonts w:hint="eastAsia" w:ascii="宋体" w:hAnsi="宋体" w:cs="宋体"/>
          <w:kern w:val="0"/>
          <w:szCs w:val="21"/>
          <w:lang w:eastAsia="zh-CN"/>
        </w:rPr>
        <w:t>解决玉井巷片区</w:t>
      </w:r>
      <w:r>
        <w:rPr>
          <w:rFonts w:hint="eastAsia" w:ascii="Times New Roman" w:hAnsi="Times New Roman" w:eastAsia="仿宋_GB2312" w:cs="Times New Roman"/>
          <w:bCs/>
          <w:color w:val="auto"/>
          <w:sz w:val="32"/>
          <w:szCs w:val="32"/>
          <w:lang w:val="en-US" w:eastAsia="zh-CN"/>
        </w:rPr>
        <w:t>360余名幼儿接受学前教育的问题，缓解周边公办幼儿园压力，提供优质学前教育资源”，指标设置为一段话不合理；2.未设置可持续影响指标、满意度指标；3.所有指标指标值空白，无法判断绩效指标完成的预期程度，不符合《中共中央 国务院关于全面实施预算绩效管理的意见》（中发〔2018〕34号）“第七条 强化绩效目标管理 各地区各部门编制预算时要贯彻落实党中央</w:t>
      </w:r>
      <w:r>
        <w:rPr>
          <w:rFonts w:hint="eastAsia" w:cs="Times New Roman"/>
          <w:sz w:val="32"/>
          <w:szCs w:val="32"/>
          <w:lang w:eastAsia="zh-CN"/>
        </w:rPr>
        <w:t>、</w:t>
      </w:r>
      <w:r>
        <w:rPr>
          <w:rFonts w:hint="eastAsia" w:ascii="仿宋_GB2312" w:eastAsia="仿宋_GB2312" w:cs="Times New Roman"/>
          <w:sz w:val="32"/>
          <w:szCs w:val="32"/>
        </w:rPr>
        <w:t>国务院各项决策部署，分解细化各项工作要求，结合本地区本部门实际情况，全面设置部门和单位整体绩效目标、政策及项目绩效目标。绩效目标不仅要包括产出、成本，还要包括经济效益、社会效益、生态效益、可持续影响和服务对象满意度等绩效指标。</w:t>
      </w:r>
      <w:r>
        <w:rPr>
          <w:rFonts w:hint="eastAsia" w:cs="Times New Roman"/>
          <w:bCs/>
          <w:color w:val="auto"/>
          <w:sz w:val="32"/>
          <w:szCs w:val="32"/>
          <w:highlight w:val="none"/>
          <w:lang w:val="en-US" w:eastAsia="zh-CN"/>
        </w:rPr>
        <w:t>”中关于</w:t>
      </w:r>
      <w:r>
        <w:rPr>
          <w:rFonts w:hint="eastAsia" w:cs="仿宋_GB2312"/>
          <w:b w:val="0"/>
          <w:bCs w:val="0"/>
          <w:color w:val="auto"/>
          <w:sz w:val="32"/>
          <w:szCs w:val="32"/>
          <w:highlight w:val="none"/>
          <w:lang w:val="en-US" w:eastAsia="zh-CN"/>
        </w:rPr>
        <w:t>预算资金绩效目标管理的相关要求。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default" w:cs="仿宋_GB2312"/>
          <w:b/>
          <w:bCs/>
          <w:color w:val="auto"/>
          <w:highlight w:val="none"/>
          <w:lang w:val="en-US" w:eastAsia="zh-CN"/>
        </w:rPr>
      </w:pPr>
      <w:r>
        <w:rPr>
          <w:rFonts w:hint="eastAsia" w:cs="仿宋_GB2312"/>
          <w:b/>
          <w:bCs/>
          <w:color w:val="auto"/>
          <w:highlight w:val="none"/>
          <w:lang w:val="en-US" w:eastAsia="zh-CN"/>
        </w:rPr>
        <w:t>（二）存在</w:t>
      </w:r>
      <w:r>
        <w:rPr>
          <w:rFonts w:hint="eastAsia" w:cs="Times New Roman"/>
          <w:b/>
          <w:bCs/>
          <w:lang w:val="en-US" w:eastAsia="zh-CN"/>
        </w:rPr>
        <w:t>“边施工边补手续”</w:t>
      </w:r>
      <w:r>
        <w:rPr>
          <w:rFonts w:hint="eastAsia" w:cs="仿宋_GB2312"/>
          <w:b/>
          <w:bCs/>
          <w:color w:val="auto"/>
          <w:highlight w:val="none"/>
          <w:lang w:val="en-US" w:eastAsia="zh-CN"/>
        </w:rPr>
        <w:t>的现象</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绩效评价工作组在查阅资料过程中发现，项目于2018年3月15日开工，《建筑工程施工许可证》【宁建管630103201804090201】于2018年4月9日取得，不符合《中华人民共和国建筑法》第七条“建筑工程开工前，建设单位应按照国家有关规定向工程所在地县级以上人民政府建设行政主管部门申请领取施工许可证”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default" w:cs="Times New Roman"/>
          <w:b/>
          <w:bCs/>
          <w:color w:val="auto"/>
          <w:lang w:val="en-US" w:eastAsia="zh-CN"/>
        </w:rPr>
      </w:pPr>
      <w:r>
        <w:rPr>
          <w:rFonts w:hint="eastAsia" w:cs="Times New Roman"/>
          <w:b/>
          <w:bCs/>
          <w:color w:val="auto"/>
          <w:lang w:val="en-US" w:eastAsia="zh-CN"/>
        </w:rPr>
        <w:t>（三）项目资产交付使用手续尚未办理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cs="Times New Roman"/>
          <w:color w:val="auto"/>
          <w:lang w:val="en-US" w:eastAsia="zh-CN"/>
        </w:rPr>
      </w:pPr>
      <w:r>
        <w:rPr>
          <w:rFonts w:hint="eastAsia" w:cs="Times New Roman"/>
          <w:color w:val="auto"/>
          <w:lang w:val="en-US" w:eastAsia="zh-CN"/>
        </w:rPr>
        <w:t>经查阅项目佐证资料及现场问询，《西宁市城中区审计局关于&lt;前营街幼儿园建设项目&gt;的审计报告》（城中审项报</w:t>
      </w:r>
      <w:r>
        <w:rPr>
          <w:rFonts w:hint="eastAsia" w:ascii="Times New Roman" w:hAnsi="Times New Roman" w:eastAsia="仿宋_GB2312" w:cs="Times New Roman"/>
          <w:bCs/>
          <w:color w:val="auto"/>
          <w:sz w:val="32"/>
          <w:szCs w:val="32"/>
          <w:lang w:val="en-US" w:eastAsia="zh-CN"/>
        </w:rPr>
        <w:t>〔2021〕第3号）中关于“未办理项目资产交付使用的问题”仍未解决，不符合《基本建设财务规定》第四十二条“项目竣工验收合格后应当及时办理资产交付使用手续，并依据批复的项目竣工财务决算进行账务调整。”的规定。根据城中区教育局《关于调拨前营街幼儿园固定资产的申请》（城中政教字〔2021〕236号），项目</w:t>
      </w:r>
      <w:r>
        <w:rPr>
          <w:rFonts w:hint="eastAsia" w:cs="Times New Roman"/>
          <w:color w:val="auto"/>
          <w:lang w:val="en-US" w:eastAsia="zh-CN"/>
        </w:rPr>
        <w:t>资产调拨申请现已提交区财政局。</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eastAsia" w:cs="仿宋_GB2312"/>
          <w:b/>
          <w:bCs/>
          <w:color w:val="auto"/>
          <w:kern w:val="2"/>
          <w:sz w:val="32"/>
          <w:szCs w:val="32"/>
          <w:highlight w:val="none"/>
          <w:lang w:val="en-US" w:eastAsia="zh-CN" w:bidi="ar-SA"/>
        </w:rPr>
      </w:pPr>
      <w:r>
        <w:rPr>
          <w:rFonts w:hint="eastAsia" w:cs="仿宋_GB2312"/>
          <w:b/>
          <w:bCs/>
          <w:color w:val="auto"/>
          <w:kern w:val="2"/>
          <w:sz w:val="32"/>
          <w:szCs w:val="32"/>
          <w:highlight w:val="none"/>
          <w:lang w:val="en-US" w:eastAsia="zh-CN" w:bidi="ar-SA"/>
        </w:rPr>
        <w:t>（四）项目完工、竣工结算审核不及时</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default" w:ascii="Times New Roman" w:hAnsi="Times New Roman" w:eastAsia="仿宋_GB2312" w:cs="Times New Roman"/>
          <w:bCs/>
          <w:color w:val="auto"/>
          <w:sz w:val="32"/>
          <w:szCs w:val="32"/>
          <w:lang w:val="en-US" w:eastAsia="zh-CN"/>
        </w:rPr>
      </w:pPr>
      <w:r>
        <w:rPr>
          <w:rFonts w:hint="eastAsia" w:cs="仿宋_GB2312"/>
          <w:color w:val="auto"/>
          <w:kern w:val="2"/>
          <w:sz w:val="32"/>
          <w:szCs w:val="32"/>
          <w:highlight w:val="none"/>
          <w:lang w:val="en-US" w:eastAsia="zh-CN" w:bidi="ar-SA"/>
        </w:rPr>
        <w:t>根据城中区教育局与</w:t>
      </w:r>
      <w:r>
        <w:rPr>
          <w:rFonts w:hint="eastAsia" w:cs="Times New Roman"/>
          <w:color w:val="auto"/>
          <w:lang w:val="en-US" w:eastAsia="zh-CN"/>
        </w:rPr>
        <w:t>陕西盛鑫建筑安装工程有限公司签订的《施工合同协议书》，合同约定项目施工期为：</w:t>
      </w:r>
      <w:r>
        <w:rPr>
          <w:rFonts w:hint="eastAsia" w:ascii="Times New Roman" w:hAnsi="Times New Roman" w:eastAsia="仿宋_GB2312" w:cs="Times New Roman"/>
          <w:bCs/>
          <w:color w:val="auto"/>
          <w:sz w:val="32"/>
          <w:szCs w:val="32"/>
          <w:lang w:val="en-US" w:eastAsia="zh-CN"/>
        </w:rPr>
        <w:t>2018</w:t>
      </w:r>
      <w:r>
        <w:rPr>
          <w:rFonts w:hint="eastAsia" w:cs="Times New Roman"/>
          <w:color w:val="auto"/>
          <w:lang w:val="en-US" w:eastAsia="zh-CN"/>
        </w:rPr>
        <w:t>年</w:t>
      </w:r>
      <w:r>
        <w:rPr>
          <w:rFonts w:hint="eastAsia" w:ascii="Times New Roman" w:hAnsi="Times New Roman" w:eastAsia="仿宋_GB2312" w:cs="Times New Roman"/>
          <w:bCs/>
          <w:color w:val="auto"/>
          <w:sz w:val="32"/>
          <w:szCs w:val="32"/>
          <w:lang w:val="en-US" w:eastAsia="zh-CN"/>
        </w:rPr>
        <w:t>3月15日至2019年3月15日，工期总日历天数365天。城中区教育局关于上报西宁市建设工程质量监督站的《竣工预验收申请报告》中明确该项目于2018年3月15日开始施工，于2020年6月23日进行了预验收，项目已全部完工，实际完工时间较合同约定完工时间2019年3月15日延迟一年有余，工程完工不及时。</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en-US" w:eastAsia="zh-CN"/>
        </w:rPr>
        <w:t>2020年7月27日，城中区教育局组织城中区发展改革和工业信息化局、项目设计、勘察、监理、施工单位对项目进行了竣工验收，并出具《城中区教育局基建项目验收单》，项目质量合格，通过验收。城中区教育局委托青海华翼会计师事务所有限公司对该项目进行了工程决算审核，并于2020年12月21日出具《基本建设工程结算审核定案单》，项目竣工决算审核时间较竣工验收时间间隔将近5月。不符合《城中区教育局基建项目管理办法》中“施工单位在工程验收结束后，在一个月之内，提交工程竣工结算书”的规定。”项目竣工决算不及时。</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default" w:cs="Times New Roman"/>
          <w:b/>
          <w:bCs/>
          <w:color w:val="auto"/>
          <w:lang w:val="en-US" w:eastAsia="zh-CN"/>
        </w:rPr>
      </w:pPr>
      <w:r>
        <w:rPr>
          <w:rFonts w:hint="eastAsia" w:cs="Times New Roman"/>
          <w:b/>
          <w:bCs/>
          <w:color w:val="auto"/>
          <w:lang w:val="zh-CN" w:eastAsia="zh-CN"/>
        </w:rPr>
        <w:t>（</w:t>
      </w:r>
      <w:r>
        <w:rPr>
          <w:rFonts w:hint="eastAsia" w:cs="Times New Roman"/>
          <w:b/>
          <w:bCs/>
          <w:color w:val="auto"/>
          <w:lang w:val="en-US" w:eastAsia="zh-CN"/>
        </w:rPr>
        <w:t>五</w:t>
      </w:r>
      <w:r>
        <w:rPr>
          <w:rFonts w:hint="eastAsia" w:cs="Times New Roman"/>
          <w:b/>
          <w:bCs/>
          <w:color w:val="auto"/>
          <w:lang w:val="zh-CN" w:eastAsia="zh-CN"/>
        </w:rPr>
        <w:t>）</w:t>
      </w:r>
      <w:r>
        <w:rPr>
          <w:rFonts w:hint="eastAsia" w:cs="Times New Roman"/>
          <w:b/>
          <w:bCs/>
          <w:color w:val="auto"/>
          <w:lang w:val="en-US" w:eastAsia="zh-CN"/>
        </w:rPr>
        <w:t>项目实际投资超项目批复资金8.84%，成本控制较差。</w:t>
      </w:r>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r>
        <w:rPr>
          <w:rFonts w:hint="eastAsia" w:ascii="Times New Roman" w:hAnsi="Times New Roman" w:eastAsia="仿宋_GB2312" w:cs="Times New Roman"/>
          <w:bCs/>
          <w:color w:val="auto"/>
          <w:sz w:val="32"/>
          <w:szCs w:val="32"/>
          <w:lang w:val="zh-CN" w:eastAsia="zh-CN"/>
        </w:rPr>
        <w:t>根据《西宁市城中区发展改革和经济商务局</w:t>
      </w:r>
      <w:r>
        <w:rPr>
          <w:rFonts w:hint="eastAsia" w:ascii="Times New Roman" w:hAnsi="Times New Roman" w:eastAsia="仿宋_GB2312" w:cs="Times New Roman"/>
          <w:bCs/>
          <w:color w:val="auto"/>
          <w:sz w:val="32"/>
          <w:szCs w:val="32"/>
          <w:lang w:val="en-US" w:eastAsia="zh-CN"/>
        </w:rPr>
        <w:t>&lt;关于前营街幼儿园（暂定名）项目可行性研究报告&gt;的批复</w:t>
      </w:r>
      <w:r>
        <w:rPr>
          <w:rFonts w:hint="eastAsia" w:ascii="Times New Roman" w:hAnsi="Times New Roman" w:eastAsia="仿宋_GB2312" w:cs="Times New Roman"/>
          <w:bCs/>
          <w:color w:val="auto"/>
          <w:sz w:val="32"/>
          <w:szCs w:val="32"/>
          <w:lang w:val="zh-CN" w:eastAsia="zh-CN"/>
        </w:rPr>
        <w:t>》（城中发经字</w:t>
      </w:r>
      <w:r>
        <w:rPr>
          <w:rFonts w:hint="eastAsia" w:ascii="Times New Roman" w:hAnsi="Times New Roman" w:eastAsia="仿宋_GB2312" w:cs="Times New Roman"/>
          <w:bCs/>
          <w:color w:val="auto"/>
          <w:sz w:val="32"/>
          <w:szCs w:val="32"/>
          <w:lang w:val="en-US" w:eastAsia="zh-CN"/>
        </w:rPr>
        <w:t>〔2017〕93号</w:t>
      </w:r>
      <w:r>
        <w:rPr>
          <w:rFonts w:hint="eastAsia" w:ascii="Times New Roman" w:hAnsi="Times New Roman" w:eastAsia="仿宋_GB2312" w:cs="Times New Roman"/>
          <w:bCs/>
          <w:color w:val="auto"/>
          <w:sz w:val="32"/>
          <w:szCs w:val="32"/>
          <w:lang w:val="zh-CN" w:eastAsia="zh-CN"/>
        </w:rPr>
        <w:t>）和《西宁市城乡规划和建设局关于&lt;城中区前营街育儿园建设项目初步设计&gt;的批复》（</w:t>
      </w:r>
      <w:r>
        <w:rPr>
          <w:rFonts w:hint="eastAsia" w:ascii="Times New Roman" w:hAnsi="Times New Roman" w:eastAsia="仿宋_GB2312" w:cs="Times New Roman"/>
          <w:bCs/>
          <w:color w:val="auto"/>
          <w:sz w:val="32"/>
          <w:szCs w:val="32"/>
          <w:lang w:val="en-US" w:eastAsia="zh-CN"/>
        </w:rPr>
        <w:t>宁规建〔2017〕305号</w:t>
      </w:r>
      <w:r>
        <w:rPr>
          <w:rFonts w:hint="eastAsia" w:ascii="Times New Roman" w:hAnsi="Times New Roman" w:eastAsia="仿宋_GB2312" w:cs="Times New Roman"/>
          <w:bCs/>
          <w:color w:val="auto"/>
          <w:sz w:val="32"/>
          <w:szCs w:val="32"/>
          <w:lang w:val="zh-CN" w:eastAsia="zh-CN"/>
        </w:rPr>
        <w:t>），该项目计划总投资</w:t>
      </w:r>
      <w:r>
        <w:rPr>
          <w:rFonts w:hint="eastAsia" w:ascii="Times New Roman" w:hAnsi="Times New Roman" w:eastAsia="仿宋_GB2312" w:cs="Times New Roman"/>
          <w:bCs/>
          <w:color w:val="auto"/>
          <w:sz w:val="32"/>
          <w:szCs w:val="32"/>
          <w:lang w:val="en-US" w:eastAsia="zh-CN"/>
        </w:rPr>
        <w:t>17870000.00元。根据《西宁市城中区审计局关于&lt;前营街幼儿园建设项目&gt;的审计报告》（城中审项报〔2021〕第3号），该项目实际完成投资19451645.11元（含基坑支护增项700000.00元），超项目批复资金8.84%。</w:t>
      </w:r>
    </w:p>
    <w:p>
      <w:pPr>
        <w:keepNext w:val="0"/>
        <w:keepLines w:val="0"/>
        <w:pageBreakBefore w:val="0"/>
        <w:widowControl w:val="0"/>
        <w:kinsoku/>
        <w:wordWrap/>
        <w:overflowPunct/>
        <w:topLinePunct w:val="0"/>
        <w:autoSpaceDE w:val="0"/>
        <w:autoSpaceDN w:val="0"/>
        <w:bidi w:val="0"/>
        <w:adjustRightInd w:val="0"/>
        <w:snapToGrid w:val="0"/>
        <w:spacing w:line="576" w:lineRule="exact"/>
        <w:ind w:left="0" w:leftChars="0"/>
        <w:jc w:val="left"/>
        <w:textAlignment w:val="auto"/>
        <w:outlineLvl w:val="0"/>
        <w:rPr>
          <w:rFonts w:hint="eastAsia" w:ascii="黑体" w:hAnsi="黑体" w:eastAsia="黑体" w:cs="黑体"/>
          <w:b/>
          <w:bCs/>
          <w:szCs w:val="32"/>
          <w:lang w:val="zh-CN"/>
        </w:rPr>
      </w:pPr>
      <w:bookmarkStart w:id="1312" w:name="_Toc1446"/>
      <w:bookmarkStart w:id="1313" w:name="_Toc1306"/>
      <w:bookmarkStart w:id="1314" w:name="_Toc30394"/>
      <w:bookmarkStart w:id="1315" w:name="_Toc7028"/>
      <w:r>
        <w:rPr>
          <w:rFonts w:hint="eastAsia" w:ascii="黑体" w:hAnsi="黑体" w:eastAsia="黑体" w:cs="黑体"/>
          <w:b/>
          <w:bCs/>
          <w:szCs w:val="32"/>
          <w:lang w:val="zh-CN"/>
        </w:rPr>
        <w:t>八、有关建议</w:t>
      </w:r>
      <w:bookmarkEnd w:id="1312"/>
      <w:bookmarkEnd w:id="1313"/>
      <w:bookmarkEnd w:id="1314"/>
      <w:bookmarkEnd w:id="1315"/>
    </w:p>
    <w:p>
      <w:pPr>
        <w:keepNext w:val="0"/>
        <w:keepLines w:val="0"/>
        <w:pageBreakBefore w:val="0"/>
        <w:widowControl w:val="0"/>
        <w:kinsoku/>
        <w:wordWrap/>
        <w:overflowPunct/>
        <w:topLinePunct w:val="0"/>
        <w:bidi w:val="0"/>
        <w:adjustRightInd w:val="0"/>
        <w:snapToGrid w:val="0"/>
        <w:spacing w:line="576" w:lineRule="exact"/>
        <w:ind w:left="0" w:leftChars="0" w:firstLine="643" w:firstLineChars="200"/>
        <w:jc w:val="both"/>
        <w:textAlignment w:val="auto"/>
        <w:rPr>
          <w:rFonts w:hint="default" w:cs="仿宋_GB2312"/>
          <w:color w:val="auto"/>
          <w:lang w:val="en-US" w:eastAsia="zh-CN"/>
        </w:rPr>
      </w:pPr>
      <w:r>
        <w:rPr>
          <w:rFonts w:hint="eastAsia" w:cs="仿宋_GB2312"/>
          <w:b/>
          <w:bCs/>
          <w:color w:val="auto"/>
          <w:sz w:val="32"/>
          <w:szCs w:val="32"/>
          <w:highlight w:val="none"/>
          <w:lang w:val="en-US" w:eastAsia="zh-CN"/>
        </w:rPr>
        <w:t>（一）</w:t>
      </w:r>
      <w:r>
        <w:rPr>
          <w:rFonts w:hint="eastAsia" w:ascii="仿宋_GB2312" w:hAnsi="仿宋_GB2312" w:eastAsia="仿宋_GB2312" w:cs="仿宋_GB2312"/>
          <w:b/>
          <w:bCs/>
          <w:color w:val="auto"/>
        </w:rPr>
        <w:t>优化</w:t>
      </w:r>
      <w:r>
        <w:rPr>
          <w:rFonts w:hint="eastAsia" w:ascii="仿宋_GB2312" w:hAnsi="仿宋_GB2312" w:eastAsia="仿宋_GB2312" w:cs="仿宋_GB2312"/>
          <w:b/>
          <w:bCs/>
          <w:color w:val="auto"/>
          <w:lang w:val="en-US" w:eastAsia="zh-CN"/>
        </w:rPr>
        <w:t>预算绩效管理，提高指标编制水平</w:t>
      </w:r>
      <w:r>
        <w:rPr>
          <w:rFonts w:hint="eastAsia" w:ascii="仿宋_GB2312" w:hAnsi="仿宋_GB2312" w:eastAsia="仿宋_GB2312" w:cs="仿宋_GB2312"/>
          <w:b/>
          <w:bCs/>
          <w:color w:val="auto"/>
        </w:rPr>
        <w:t>。</w:t>
      </w:r>
      <w:r>
        <w:rPr>
          <w:rFonts w:hint="eastAsia" w:ascii="Times New Roman" w:hAnsi="Times New Roman" w:eastAsia="仿宋_GB2312" w:cs="Times New Roman"/>
          <w:bCs/>
          <w:color w:val="auto"/>
          <w:sz w:val="32"/>
          <w:szCs w:val="32"/>
          <w:lang w:val="en-US" w:eastAsia="zh-CN"/>
        </w:rPr>
        <w:t>建议城中区教育局在以后年度按照《中共中央 国务院关于全面实施预算绩效管理的意见》（中发〔2018〕34号）、财政部《关于印发&lt;项目支出绩效评价管理办法&gt;的通知》（财预〔2020〕10号）、《中共青海省委 青海省人民政府关于全面实施预算绩效管理的实施意见》（青发〔2019〕11号）等文件，从预</w:t>
      </w:r>
      <w:r>
        <w:rPr>
          <w:rFonts w:hint="eastAsia" w:ascii="仿宋_GB2312" w:hAnsi="仿宋_GB2312" w:cs="仿宋_GB2312"/>
          <w:color w:val="auto"/>
        </w:rPr>
        <w:t>算绩效管理入手，加强绩效目标管理，明确绩效目标管理内容，抓好绩效目标管理重点，提高绩效目标设定能力</w:t>
      </w:r>
      <w:r>
        <w:rPr>
          <w:rFonts w:hint="eastAsia" w:ascii="仿宋_GB2312" w:hAnsi="仿宋_GB2312" w:cs="仿宋_GB2312"/>
          <w:color w:val="auto"/>
          <w:szCs w:val="32"/>
        </w:rPr>
        <w:t>。编制绩效目标要能够清晰反映项目实施所达到的预期效果，并按照定量和定性相结合的要求设置绩效指标，着重突出产出、成本、效益、可持续影响力和服务对象满意度等核心绩效指标，尽可能做到量化细化、可衡量、可对比</w:t>
      </w:r>
      <w:r>
        <w:rPr>
          <w:rFonts w:hint="eastAsia" w:cs="仿宋_GB2312"/>
          <w:color w:val="auto"/>
          <w:szCs w:val="32"/>
          <w:lang w:eastAsia="zh-CN"/>
        </w:rPr>
        <w:t>；指标值应尽量细化、量化，可量化的用数值描述，不可量化的以定性描述</w:t>
      </w:r>
      <w:r>
        <w:rPr>
          <w:rFonts w:hint="eastAsia" w:ascii="仿宋_GB2312" w:hAnsi="仿宋_GB2312" w:cs="仿宋_GB2312"/>
          <w:color w:val="auto"/>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default" w:cs="仿宋_GB2312"/>
          <w:b/>
          <w:bCs/>
          <w:color w:val="auto"/>
          <w:highlight w:val="none"/>
          <w:lang w:val="en-US" w:eastAsia="zh-CN"/>
        </w:rPr>
      </w:pPr>
      <w:r>
        <w:rPr>
          <w:rFonts w:hint="eastAsia" w:cs="仿宋_GB2312"/>
          <w:b/>
          <w:bCs/>
          <w:color w:val="auto"/>
          <w:highlight w:val="none"/>
          <w:lang w:val="en-US" w:eastAsia="zh-CN"/>
        </w:rPr>
        <w:t>（二）严格建设手续，规范项目建设流程</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eastAsia" w:hAnsi="Times New Roman" w:cs="Times New Roman"/>
          <w:b w:val="0"/>
          <w:bCs w:val="0"/>
          <w:color w:val="000000"/>
          <w:sz w:val="32"/>
          <w:szCs w:val="32"/>
          <w:highlight w:val="none"/>
          <w:lang w:val="en-US" w:eastAsia="zh-CN"/>
        </w:rPr>
      </w:pPr>
      <w:r>
        <w:rPr>
          <w:rFonts w:hint="eastAsia" w:cs="仿宋_GB2312"/>
          <w:color w:val="auto"/>
          <w:highlight w:val="none"/>
          <w:lang w:val="en-US" w:eastAsia="zh-CN"/>
        </w:rPr>
        <w:t>建议城中区教育局在以后实施基建项目时，</w:t>
      </w:r>
      <w:r>
        <w:rPr>
          <w:rFonts w:hint="eastAsia" w:ascii="仿宋_GB2312" w:hAnsi="Times New Roman" w:eastAsia="仿宋_GB2312" w:cs="Times New Roman"/>
          <w:b w:val="0"/>
          <w:bCs w:val="0"/>
          <w:color w:val="000000"/>
          <w:sz w:val="32"/>
          <w:szCs w:val="32"/>
          <w:highlight w:val="none"/>
          <w:lang w:val="en-US" w:eastAsia="zh-CN"/>
        </w:rPr>
        <w:t>严格按照法定程序报批</w:t>
      </w:r>
      <w:r>
        <w:rPr>
          <w:rFonts w:hint="eastAsia" w:hAnsi="Times New Roman" w:cs="Times New Roman"/>
          <w:b w:val="0"/>
          <w:bCs w:val="0"/>
          <w:color w:val="000000"/>
          <w:sz w:val="32"/>
          <w:szCs w:val="32"/>
          <w:highlight w:val="none"/>
          <w:lang w:val="en-US" w:eastAsia="zh-CN"/>
        </w:rPr>
        <w:t>、执行基本建设程序，做好施工图审查、施工许可、质量监督、竣工验收备案等工作，尤其针对发现的问题，引起重视，严格执行</w:t>
      </w:r>
      <w:r>
        <w:rPr>
          <w:rFonts w:hint="eastAsia" w:ascii="仿宋_GB2312" w:hAnsi="Times New Roman" w:eastAsia="仿宋_GB2312" w:cs="Times New Roman"/>
          <w:b w:val="0"/>
          <w:bCs w:val="0"/>
          <w:color w:val="000000"/>
          <w:sz w:val="32"/>
          <w:szCs w:val="32"/>
          <w:highlight w:val="none"/>
          <w:lang w:val="en-US" w:eastAsia="zh-CN"/>
        </w:rPr>
        <w:t>《</w:t>
      </w:r>
      <w:r>
        <w:rPr>
          <w:rFonts w:hint="eastAsia" w:hAnsi="Times New Roman" w:cs="Times New Roman"/>
          <w:b w:val="0"/>
          <w:bCs w:val="0"/>
          <w:color w:val="000000"/>
          <w:sz w:val="32"/>
          <w:szCs w:val="32"/>
          <w:highlight w:val="none"/>
          <w:lang w:val="en-US" w:eastAsia="zh-CN"/>
        </w:rPr>
        <w:t>中华人民共和国</w:t>
      </w:r>
      <w:r>
        <w:rPr>
          <w:rFonts w:hint="eastAsia" w:ascii="仿宋_GB2312" w:hAnsi="Times New Roman" w:eastAsia="仿宋_GB2312" w:cs="Times New Roman"/>
          <w:b w:val="0"/>
          <w:bCs w:val="0"/>
          <w:color w:val="000000"/>
          <w:sz w:val="32"/>
          <w:szCs w:val="32"/>
          <w:highlight w:val="none"/>
          <w:lang w:val="en-US" w:eastAsia="zh-CN"/>
        </w:rPr>
        <w:t>建筑法》第七条</w:t>
      </w:r>
      <w:r>
        <w:rPr>
          <w:rFonts w:hint="eastAsia" w:hAnsi="Times New Roman" w:cs="Times New Roman"/>
          <w:b w:val="0"/>
          <w:bCs w:val="0"/>
          <w:color w:val="000000"/>
          <w:sz w:val="32"/>
          <w:szCs w:val="32"/>
          <w:highlight w:val="none"/>
          <w:lang w:val="en-US" w:eastAsia="zh-CN"/>
        </w:rPr>
        <w:t>“</w:t>
      </w:r>
      <w:r>
        <w:rPr>
          <w:rFonts w:hint="eastAsia" w:ascii="仿宋_GB2312" w:hAnsi="Times New Roman" w:eastAsia="仿宋_GB2312" w:cs="Times New Roman"/>
          <w:b w:val="0"/>
          <w:bCs w:val="0"/>
          <w:color w:val="000000"/>
          <w:sz w:val="32"/>
          <w:szCs w:val="32"/>
          <w:highlight w:val="none"/>
          <w:lang w:val="en-US" w:eastAsia="zh-CN"/>
        </w:rPr>
        <w:t>建筑工程开工前，建设单位应按照国家有关规定向工程所在地</w:t>
      </w:r>
      <w:r>
        <w:rPr>
          <w:rFonts w:hint="eastAsia" w:hAnsi="Times New Roman" w:cs="Times New Roman"/>
          <w:b w:val="0"/>
          <w:bCs w:val="0"/>
          <w:color w:val="000000"/>
          <w:sz w:val="32"/>
          <w:szCs w:val="32"/>
          <w:highlight w:val="none"/>
          <w:lang w:val="en-US" w:eastAsia="zh-CN"/>
        </w:rPr>
        <w:t>县级以上人民政府建设行政主管部门</w:t>
      </w:r>
      <w:r>
        <w:rPr>
          <w:rFonts w:hint="eastAsia" w:ascii="仿宋_GB2312" w:hAnsi="Times New Roman" w:eastAsia="仿宋_GB2312" w:cs="Times New Roman"/>
          <w:b w:val="0"/>
          <w:bCs w:val="0"/>
          <w:color w:val="000000"/>
          <w:sz w:val="32"/>
          <w:szCs w:val="32"/>
          <w:highlight w:val="none"/>
          <w:lang w:val="en-US" w:eastAsia="zh-CN"/>
        </w:rPr>
        <w:t>申请领取施工许可证</w:t>
      </w:r>
      <w:r>
        <w:rPr>
          <w:rFonts w:hint="eastAsia" w:hAnsi="Times New Roman" w:cs="Times New Roman"/>
          <w:b w:val="0"/>
          <w:bCs w:val="0"/>
          <w:color w:val="000000"/>
          <w:sz w:val="32"/>
          <w:szCs w:val="32"/>
          <w:highlight w:val="none"/>
          <w:lang w:val="en-US" w:eastAsia="zh-CN"/>
        </w:rPr>
        <w:t>”的规定。</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3" w:firstLineChars="200"/>
        <w:textAlignment w:val="auto"/>
        <w:rPr>
          <w:rFonts w:hint="default" w:cs="Times New Roman"/>
          <w:b/>
          <w:bCs/>
          <w:color w:val="auto"/>
          <w:lang w:val="en-US" w:eastAsia="zh-CN"/>
        </w:rPr>
      </w:pPr>
      <w:r>
        <w:rPr>
          <w:rFonts w:hint="eastAsia" w:cs="Times New Roman"/>
          <w:b/>
          <w:bCs/>
          <w:color w:val="auto"/>
          <w:lang w:val="en-US" w:eastAsia="zh-CN"/>
        </w:rPr>
        <w:t>（三）尽早办理项目资产交付使用手续</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640" w:firstLineChars="200"/>
        <w:textAlignment w:val="auto"/>
        <w:rPr>
          <w:rFonts w:hint="default" w:cs="Times New Roman"/>
          <w:color w:val="auto"/>
          <w:lang w:val="en-US" w:eastAsia="zh-CN"/>
        </w:rPr>
      </w:pPr>
      <w:r>
        <w:rPr>
          <w:rFonts w:hint="eastAsia" w:cs="Times New Roman"/>
          <w:color w:val="auto"/>
          <w:lang w:val="en-US" w:eastAsia="zh-CN"/>
        </w:rPr>
        <w:t>建议城中区教育局依照《基本建设财务规定》第四十二条“项目竣工验收合格后应当及时办理资产交付使用手续，并依据批复的项目竣工财务决算进行账务调整。”的规定，尽早办理前营街育儿园建设项目固定资产交付手续，将前营街育儿园建设项目固定资产从城中区教育局调拨至城中区前营街幼儿园（城中区第一幼儿园），做到账账相符、账实相符。</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b/>
          <w:bCs/>
          <w:lang w:val="en-US" w:eastAsia="zh-CN"/>
        </w:rPr>
      </w:pPr>
      <w:bookmarkStart w:id="1316" w:name="_Toc21065"/>
      <w:r>
        <w:rPr>
          <w:rFonts w:hint="eastAsia" w:cs="Times New Roman"/>
          <w:b/>
          <w:bCs/>
          <w:lang w:val="en-US" w:eastAsia="zh-CN"/>
        </w:rPr>
        <w:t>（四）加快项目实施进度，及时进行竣工决算审核</w:t>
      </w:r>
      <w:bookmarkEnd w:id="1316"/>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仿宋_GB2312"/>
          <w:bCs w:val="0"/>
          <w:color w:val="auto"/>
          <w:kern w:val="2"/>
          <w:sz w:val="32"/>
          <w:szCs w:val="24"/>
          <w:highlight w:val="none"/>
          <w:lang w:val="en-US" w:eastAsia="zh-CN" w:bidi="ar-SA"/>
        </w:rPr>
      </w:pPr>
      <w:r>
        <w:rPr>
          <w:rFonts w:hint="eastAsia" w:cs="仿宋_GB2312"/>
          <w:bCs w:val="0"/>
          <w:color w:val="auto"/>
          <w:kern w:val="2"/>
          <w:sz w:val="32"/>
          <w:szCs w:val="24"/>
          <w:highlight w:val="none"/>
          <w:lang w:val="en-US" w:eastAsia="zh-CN" w:bidi="ar-SA"/>
        </w:rPr>
        <w:t>建议城中区教育局在以后年度实施项目时，依据资金预算做好项目任务前期规划，未雨绸缪，及早合理、科学规划，从源头上确保项目任务的顺利实施；严格执行倒排工期，在保证工程质量的前提下，加大工作力度，加强协调，进一步加快项目进度，确保项目按时完成，充分发挥项目效益。</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default" w:cs="仿宋_GB2312"/>
          <w:bCs w:val="0"/>
          <w:color w:val="auto"/>
          <w:kern w:val="2"/>
          <w:sz w:val="32"/>
          <w:szCs w:val="24"/>
          <w:highlight w:val="none"/>
          <w:lang w:val="en-US" w:eastAsia="zh-CN" w:bidi="ar-SA"/>
        </w:rPr>
      </w:pPr>
      <w:r>
        <w:rPr>
          <w:rFonts w:hint="eastAsia" w:cs="仿宋_GB2312"/>
          <w:bCs w:val="0"/>
          <w:color w:val="auto"/>
          <w:kern w:val="2"/>
          <w:sz w:val="32"/>
          <w:szCs w:val="24"/>
          <w:highlight w:val="none"/>
          <w:lang w:val="en-US" w:eastAsia="zh-CN" w:bidi="ar-SA"/>
        </w:rPr>
        <w:t>建议城中区教育局严格按照《城中区教育局基建项目管理办法》中“施工单位在工程验收结束后，在一个月之内，提交工程竣工结算书”的规定”，在项目竣工验收后，及时委托第三方机构对项目进行竣工决算审核并出具决算审核报告。</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textAlignment w:val="auto"/>
        <w:rPr>
          <w:rFonts w:hint="default" w:cs="Times New Roman"/>
          <w:b/>
          <w:bCs/>
          <w:color w:val="auto"/>
          <w:lang w:val="en-US" w:eastAsia="zh-CN"/>
        </w:rPr>
      </w:pPr>
      <w:r>
        <w:rPr>
          <w:rFonts w:hint="eastAsia" w:cs="Times New Roman"/>
          <w:b/>
          <w:bCs/>
          <w:color w:val="auto"/>
          <w:lang w:val="zh-CN" w:eastAsia="zh-CN"/>
        </w:rPr>
        <w:t>（</w:t>
      </w:r>
      <w:r>
        <w:rPr>
          <w:rFonts w:hint="eastAsia" w:cs="Times New Roman"/>
          <w:b/>
          <w:bCs/>
          <w:color w:val="auto"/>
          <w:lang w:val="en-US" w:eastAsia="zh-CN"/>
        </w:rPr>
        <w:t>五</w:t>
      </w:r>
      <w:r>
        <w:rPr>
          <w:rFonts w:hint="eastAsia" w:cs="Times New Roman"/>
          <w:b/>
          <w:bCs/>
          <w:color w:val="auto"/>
          <w:lang w:val="zh-CN" w:eastAsia="zh-CN"/>
        </w:rPr>
        <w:t>）</w:t>
      </w:r>
      <w:r>
        <w:rPr>
          <w:rFonts w:hint="eastAsia" w:cs="Times New Roman"/>
          <w:b/>
          <w:bCs/>
          <w:color w:val="auto"/>
          <w:lang w:val="en-US" w:eastAsia="zh-CN"/>
        </w:rPr>
        <w:t>严格执行批复的建设规模与资金额度，有效控制项目成本</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default" w:eastAsia="仿宋_GB2312" w:cs="Times New Roman"/>
          <w:lang w:val="en-US" w:eastAsia="zh-CN"/>
        </w:rPr>
      </w:pPr>
      <w:r>
        <w:rPr>
          <w:rFonts w:hint="eastAsia" w:cs="Times New Roman"/>
          <w:lang w:val="en-US" w:eastAsia="zh-CN"/>
        </w:rPr>
        <w:t>建议城中区教育局在以后实施基建项目时，严格按照《西宁市城中区教育局基建项目资金管理办法》第八条“教育专项资金的使用坚持量力而行、实事求是的原则，不得进行赤字建设，必须按照批准的项目和资金额度建设，不得随意扩大项目范围和投资额度”的规定，严格按照设计方案所确定的建设规模、标准、概算组织实施，避免因实际投资大于计划投资而导致资金出现缺口的情况。</w:t>
      </w:r>
    </w:p>
    <w:p>
      <w:pPr>
        <w:keepNext w:val="0"/>
        <w:keepLines w:val="0"/>
        <w:pageBreakBefore w:val="0"/>
        <w:widowControl w:val="0"/>
        <w:kinsoku/>
        <w:wordWrap/>
        <w:overflowPunct/>
        <w:topLinePunct w:val="0"/>
        <w:autoSpaceDE w:val="0"/>
        <w:autoSpaceDN w:val="0"/>
        <w:bidi w:val="0"/>
        <w:adjustRightInd w:val="0"/>
        <w:snapToGrid w:val="0"/>
        <w:spacing w:line="576" w:lineRule="exact"/>
        <w:ind w:left="0" w:leftChars="0"/>
        <w:jc w:val="left"/>
        <w:textAlignment w:val="auto"/>
        <w:outlineLvl w:val="0"/>
        <w:rPr>
          <w:rFonts w:hint="eastAsia" w:ascii="黑体" w:hAnsi="黑体" w:eastAsia="黑体" w:cs="黑体"/>
          <w:b/>
          <w:bCs/>
          <w:szCs w:val="32"/>
          <w:lang w:val="zh-CN"/>
        </w:rPr>
      </w:pPr>
      <w:bookmarkStart w:id="1317" w:name="_Toc6749"/>
      <w:bookmarkStart w:id="1318" w:name="_Toc632"/>
      <w:bookmarkStart w:id="1319" w:name="_Toc14233"/>
      <w:bookmarkStart w:id="1320" w:name="_Toc31631"/>
      <w:r>
        <w:rPr>
          <w:rFonts w:hint="eastAsia" w:ascii="黑体" w:hAnsi="黑体" w:eastAsia="黑体" w:cs="黑体"/>
          <w:b/>
          <w:bCs/>
          <w:szCs w:val="32"/>
          <w:lang w:val="zh-CN"/>
        </w:rPr>
        <w:t>九、需要说明的问题</w:t>
      </w:r>
      <w:bookmarkEnd w:id="1317"/>
      <w:bookmarkEnd w:id="1318"/>
      <w:bookmarkEnd w:id="1319"/>
      <w:bookmarkEnd w:id="1320"/>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eastAsia" w:ascii="Times New Roman" w:hAnsi="Times New Roman" w:eastAsia="仿宋_GB2312" w:cs="Times New Roman"/>
          <w:bCs/>
          <w:color w:val="auto"/>
          <w:sz w:val="32"/>
          <w:szCs w:val="32"/>
          <w:lang w:val="en-US" w:eastAsia="zh-CN"/>
        </w:rPr>
      </w:pPr>
      <w:bookmarkStart w:id="1321" w:name="_Toc13013"/>
      <w:r>
        <w:rPr>
          <w:rFonts w:hint="eastAsia" w:cs="Times New Roman"/>
          <w:lang w:val="en-US" w:eastAsia="zh-CN"/>
        </w:rPr>
        <w:t>（一）前营街幼儿园于</w:t>
      </w:r>
      <w:r>
        <w:rPr>
          <w:rFonts w:hint="eastAsia" w:ascii="Times New Roman" w:hAnsi="Times New Roman" w:eastAsia="仿宋_GB2312" w:cs="Times New Roman"/>
          <w:bCs/>
          <w:color w:val="auto"/>
          <w:sz w:val="32"/>
          <w:szCs w:val="32"/>
          <w:lang w:val="en-US" w:eastAsia="zh-CN"/>
        </w:rPr>
        <w:t>2021年3月正式更名为城中区第一幼儿园，在绩效评价报告中以前营街幼儿园展开论述。</w:t>
      </w:r>
      <w:bookmarkEnd w:id="1321"/>
    </w:p>
    <w:p>
      <w:pPr>
        <w:keepNext w:val="0"/>
        <w:keepLines w:val="0"/>
        <w:pageBreakBefore w:val="0"/>
        <w:widowControl w:val="0"/>
        <w:shd w:val="clear"/>
        <w:kinsoku/>
        <w:wordWrap/>
        <w:overflowPunct/>
        <w:topLinePunct w:val="0"/>
        <w:autoSpaceDE/>
        <w:autoSpaceDN/>
        <w:bidi w:val="0"/>
        <w:adjustRightInd w:val="0"/>
        <w:snapToGrid w:val="0"/>
        <w:spacing w:line="576" w:lineRule="exact"/>
        <w:ind w:left="0" w:leftChars="0"/>
        <w:jc w:val="both"/>
        <w:textAlignment w:val="auto"/>
        <w:rPr>
          <w:rFonts w:hint="default" w:cs="Times New Roman"/>
          <w:lang w:val="en-US" w:eastAsia="zh-CN"/>
        </w:rPr>
      </w:pPr>
      <w:bookmarkStart w:id="1322" w:name="_Toc26435"/>
      <w:r>
        <w:rPr>
          <w:rFonts w:hint="eastAsia" w:ascii="Times New Roman" w:hAnsi="Times New Roman" w:eastAsia="仿宋_GB2312" w:cs="Times New Roman"/>
          <w:bCs/>
          <w:color w:val="auto"/>
          <w:sz w:val="32"/>
          <w:szCs w:val="32"/>
          <w:lang w:val="en-US" w:eastAsia="zh-CN"/>
        </w:rPr>
        <w:t>（二）2021年11月24日，绩效</w:t>
      </w:r>
      <w:r>
        <w:rPr>
          <w:rFonts w:hint="eastAsia" w:cs="Times New Roman"/>
          <w:lang w:val="en-US" w:eastAsia="zh-CN"/>
        </w:rPr>
        <w:t>评价工作组在城中区教育局开展现场工作，因疫情防控要求，考虑到以幼儿园儿童安全为主，与城中区教育局协商以电子问卷的形式向幼儿园在校教师及社会公众开展满意度调查。</w:t>
      </w:r>
      <w:bookmarkEnd w:id="1322"/>
    </w:p>
    <w:p>
      <w:pPr>
        <w:keepNext w:val="0"/>
        <w:keepLines w:val="0"/>
        <w:pageBreakBefore w:val="0"/>
        <w:widowControl w:val="0"/>
        <w:kinsoku/>
        <w:wordWrap/>
        <w:overflowPunct/>
        <w:topLinePunct w:val="0"/>
        <w:bidi w:val="0"/>
        <w:adjustRightInd w:val="0"/>
        <w:snapToGrid w:val="0"/>
        <w:spacing w:line="576" w:lineRule="exact"/>
        <w:ind w:left="0" w:leftChars="0" w:firstLine="643" w:firstLineChars="200"/>
        <w:jc w:val="left"/>
        <w:textAlignment w:val="auto"/>
        <w:outlineLvl w:val="0"/>
        <w:rPr>
          <w:rFonts w:ascii="黑体" w:hAnsi="黑体" w:eastAsia="黑体" w:cs="黑体"/>
          <w:b/>
          <w:bCs/>
          <w:kern w:val="2"/>
          <w:sz w:val="32"/>
          <w:szCs w:val="32"/>
          <w:lang w:val="en-US" w:eastAsia="zh-CN" w:bidi="ar-SA"/>
        </w:rPr>
      </w:pPr>
      <w:bookmarkStart w:id="1323" w:name="_Toc8358"/>
      <w:bookmarkStart w:id="1324" w:name="_Toc7160"/>
      <w:bookmarkStart w:id="1325" w:name="_Toc12183"/>
      <w:bookmarkStart w:id="1326" w:name="_Toc21598"/>
      <w:r>
        <w:rPr>
          <w:rFonts w:hint="eastAsia" w:ascii="黑体" w:hAnsi="黑体" w:eastAsia="黑体" w:cs="黑体"/>
          <w:b/>
          <w:bCs/>
          <w:kern w:val="2"/>
          <w:sz w:val="32"/>
          <w:szCs w:val="32"/>
          <w:lang w:val="en-US" w:eastAsia="zh-CN" w:bidi="ar-SA"/>
        </w:rPr>
        <w:t>十、附件</w:t>
      </w:r>
      <w:bookmarkEnd w:id="1323"/>
      <w:bookmarkEnd w:id="1324"/>
      <w:bookmarkEnd w:id="1325"/>
      <w:bookmarkEnd w:id="1326"/>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cs="Times New Roman"/>
        </w:rPr>
      </w:pPr>
      <w:r>
        <w:rPr>
          <w:rFonts w:hint="eastAsia" w:cs="Times New Roman"/>
        </w:rPr>
        <w:t>附件1：绩效评价指标体系</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eastAsia" w:cs="Times New Roman"/>
          <w:lang w:val="en-US" w:eastAsia="zh-CN"/>
        </w:rPr>
      </w:pPr>
      <w:r>
        <w:rPr>
          <w:rFonts w:hint="eastAsia" w:cs="Times New Roman"/>
        </w:rPr>
        <w:t>附件</w:t>
      </w:r>
      <w:r>
        <w:rPr>
          <w:rFonts w:cs="Times New Roman"/>
        </w:rPr>
        <w:t>2</w:t>
      </w:r>
      <w:r>
        <w:rPr>
          <w:rFonts w:hint="eastAsia" w:cs="Times New Roman"/>
        </w:rPr>
        <w:t>：调查问卷统计</w:t>
      </w:r>
      <w:r>
        <w:rPr>
          <w:rFonts w:hint="eastAsia" w:cs="Times New Roman"/>
          <w:lang w:val="en-US" w:eastAsia="zh-CN"/>
        </w:rPr>
        <w:t>情况</w:t>
      </w:r>
    </w:p>
    <w:p>
      <w:pPr>
        <w:keepNext w:val="0"/>
        <w:keepLines w:val="0"/>
        <w:pageBreakBefore w:val="0"/>
        <w:widowControl w:val="0"/>
        <w:kinsoku/>
        <w:wordWrap/>
        <w:overflowPunct/>
        <w:topLinePunct w:val="0"/>
        <w:bidi w:val="0"/>
        <w:adjustRightInd w:val="0"/>
        <w:snapToGrid w:val="0"/>
        <w:spacing w:line="576" w:lineRule="exact"/>
        <w:ind w:left="0" w:leftChars="0"/>
        <w:textAlignment w:val="auto"/>
        <w:rPr>
          <w:rFonts w:hint="default" w:cs="Times New Roman"/>
          <w:lang w:val="en-US"/>
        </w:rPr>
      </w:pPr>
      <w:r>
        <w:rPr>
          <w:rFonts w:hint="eastAsia" w:cs="Times New Roman"/>
          <w:lang w:val="en-US" w:eastAsia="zh-CN"/>
        </w:rPr>
        <w:t>附件3：主评人资质</w:t>
      </w:r>
    </w:p>
    <w:p>
      <w:pPr>
        <w:pageBreakBefore w:val="0"/>
        <w:overflowPunct/>
        <w:topLinePunct w:val="0"/>
        <w:bidi w:val="0"/>
        <w:spacing w:line="576" w:lineRule="exact"/>
        <w:ind w:left="0" w:leftChars="0"/>
        <w:sectPr>
          <w:footerReference r:id="rId66" w:type="default"/>
          <w:footerReference r:id="rId67" w:type="even"/>
          <w:pgSz w:w="11905" w:h="16838"/>
          <w:pgMar w:top="2098" w:right="1474" w:bottom="1984" w:left="1587" w:header="851" w:footer="720" w:gutter="0"/>
          <w:pgBorders>
            <w:top w:val="none" w:sz="0" w:space="0"/>
            <w:left w:val="none" w:sz="0" w:space="0"/>
            <w:bottom w:val="none" w:sz="0" w:space="0"/>
            <w:right w:val="none" w:sz="0" w:space="0"/>
          </w:pgBorders>
          <w:pgNumType w:fmt="numberInDash"/>
          <w:cols w:space="720" w:num="1"/>
          <w:docGrid w:type="lines" w:linePitch="436" w:charSpace="0"/>
        </w:sectPr>
      </w:pPr>
    </w:p>
    <w:p>
      <w:pPr>
        <w:pageBreakBefore w:val="0"/>
        <w:overflowPunct/>
        <w:topLinePunct w:val="0"/>
        <w:bidi w:val="0"/>
        <w:spacing w:line="576" w:lineRule="exact"/>
        <w:ind w:left="0" w:leftChars="0" w:firstLine="0" w:firstLineChars="0"/>
        <w:outlineLvl w:val="1"/>
        <w:rPr>
          <w:rFonts w:ascii="宋体" w:hAnsi="宋体" w:eastAsia="宋体" w:cs="宋体"/>
          <w:b/>
          <w:sz w:val="24"/>
          <w:szCs w:val="28"/>
        </w:rPr>
      </w:pPr>
      <w:bookmarkStart w:id="1327" w:name="_Toc14641"/>
      <w:bookmarkStart w:id="1328" w:name="_Toc24090"/>
      <w:bookmarkStart w:id="1329" w:name="_Toc16359"/>
      <w:bookmarkStart w:id="1330" w:name="_Toc5952"/>
      <w:r>
        <w:rPr>
          <w:rFonts w:hint="eastAsia" w:ascii="楷体" w:hAnsi="楷体" w:eastAsia="楷体" w:cs="楷体"/>
          <w:b/>
          <w:bCs/>
        </w:rPr>
        <w:t>附件</w:t>
      </w:r>
      <w:r>
        <w:rPr>
          <w:rFonts w:ascii="楷体" w:hAnsi="楷体" w:eastAsia="楷体" w:cs="楷体"/>
          <w:b/>
          <w:bCs/>
        </w:rPr>
        <w:t>1</w:t>
      </w:r>
      <w:r>
        <w:rPr>
          <w:rFonts w:hint="eastAsia" w:ascii="楷体" w:hAnsi="楷体" w:eastAsia="楷体" w:cs="楷体"/>
          <w:b/>
          <w:bCs/>
        </w:rPr>
        <w:t>：</w:t>
      </w:r>
      <w:r>
        <w:rPr>
          <w:rFonts w:hint="eastAsia" w:ascii="楷体" w:hAnsi="楷体" w:eastAsia="楷体" w:cs="楷体"/>
          <w:b/>
          <w:bCs/>
          <w:lang w:val="en-US" w:eastAsia="zh-CN"/>
        </w:rPr>
        <w:t>绩效评价</w:t>
      </w:r>
      <w:r>
        <w:rPr>
          <w:rFonts w:hint="eastAsia" w:ascii="楷体" w:hAnsi="楷体" w:eastAsia="楷体" w:cs="楷体"/>
          <w:b/>
          <w:bCs/>
        </w:rPr>
        <w:t>指标体系</w:t>
      </w:r>
      <w:bookmarkEnd w:id="1327"/>
      <w:bookmarkEnd w:id="1328"/>
      <w:bookmarkEnd w:id="1329"/>
      <w:bookmarkEnd w:id="1330"/>
    </w:p>
    <w:p>
      <w:pPr>
        <w:pageBreakBefore w:val="0"/>
        <w:overflowPunct/>
        <w:topLinePunct w:val="0"/>
        <w:bidi w:val="0"/>
        <w:spacing w:line="576" w:lineRule="exact"/>
        <w:ind w:left="0" w:leftChars="0" w:firstLine="0" w:firstLineChars="0"/>
        <w:jc w:val="center"/>
        <w:rPr>
          <w:rFonts w:ascii="宋体" w:hAnsi="宋体" w:eastAsia="宋体" w:cs="Times New Roman"/>
          <w:color w:val="FF0000"/>
          <w:sz w:val="28"/>
        </w:rPr>
      </w:pPr>
      <w:r>
        <w:rPr>
          <w:rFonts w:hint="eastAsia" w:ascii="宋体" w:hAnsi="宋体" w:eastAsia="宋体" w:cs="宋体"/>
          <w:b/>
          <w:color w:val="000000"/>
          <w:kern w:val="0"/>
          <w:sz w:val="28"/>
          <w:szCs w:val="28"/>
          <w:lang w:val="en-US" w:eastAsia="zh-CN"/>
        </w:rPr>
        <w:t>西宁市城中区前营街幼儿园建设</w:t>
      </w:r>
      <w:r>
        <w:rPr>
          <w:rFonts w:hint="eastAsia" w:ascii="宋体" w:hAnsi="宋体" w:eastAsia="宋体" w:cs="宋体"/>
          <w:b/>
          <w:color w:val="000000"/>
          <w:kern w:val="0"/>
          <w:sz w:val="28"/>
          <w:szCs w:val="28"/>
        </w:rPr>
        <w:t>项目</w:t>
      </w:r>
      <w:r>
        <w:rPr>
          <w:rFonts w:hint="eastAsia" w:ascii="宋体" w:hAnsi="宋体" w:eastAsia="宋体" w:cs="宋体"/>
          <w:b/>
          <w:sz w:val="28"/>
          <w:szCs w:val="28"/>
        </w:rPr>
        <w:t>绩</w:t>
      </w:r>
      <w:r>
        <w:rPr>
          <w:rFonts w:hint="eastAsia" w:ascii="宋体" w:hAnsi="宋体" w:eastAsia="宋体" w:cs="宋体"/>
          <w:b/>
          <w:color w:val="000000"/>
          <w:kern w:val="0"/>
          <w:sz w:val="28"/>
          <w:szCs w:val="28"/>
        </w:rPr>
        <w:t>效评价指标体系</w:t>
      </w:r>
    </w:p>
    <w:tbl>
      <w:tblPr>
        <w:tblStyle w:val="13"/>
        <w:tblW w:w="5034" w:type="pc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75"/>
        <w:gridCol w:w="488"/>
        <w:gridCol w:w="749"/>
        <w:gridCol w:w="576"/>
        <w:gridCol w:w="1220"/>
        <w:gridCol w:w="594"/>
        <w:gridCol w:w="2961"/>
        <w:gridCol w:w="5209"/>
        <w:gridCol w:w="1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60" w:hRule="atLeast"/>
          <w:tblHeader/>
        </w:trPr>
        <w:tc>
          <w:tcPr>
            <w:tcW w:w="27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一级指标</w:t>
            </w:r>
          </w:p>
        </w:tc>
        <w:tc>
          <w:tcPr>
            <w:tcW w:w="1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分值</w:t>
            </w:r>
          </w:p>
        </w:tc>
        <w:tc>
          <w:tcPr>
            <w:tcW w:w="26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二级指标</w:t>
            </w:r>
          </w:p>
        </w:tc>
        <w:tc>
          <w:tcPr>
            <w:tcW w:w="2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分值</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三级指标</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分值</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指标解释</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评分标准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资料依据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0" w:hRule="atLeast"/>
        </w:trPr>
        <w:tc>
          <w:tcPr>
            <w:tcW w:w="27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决策</w:t>
            </w:r>
          </w:p>
        </w:tc>
        <w:tc>
          <w:tcPr>
            <w:tcW w:w="173"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26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项目决策</w:t>
            </w:r>
          </w:p>
        </w:tc>
        <w:tc>
          <w:tcPr>
            <w:tcW w:w="204"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立项依据充分性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项目的申请、设立依据是否符合相关政策，用以反映和考核项目立项依据的充分情况。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①项目申报符合国家法律法规、国民经济发展规划和相关政策，得0.5分，否则整体不得分；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②项目申报符合行业发展规划和政策要求，得0.5分，否则不得分；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③项目申报与部门职责范围相符，属于部门履职所需，得0.5分，否则不得分；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④项目与相关部门同类项目或部门内部相关项目无重复，得0.5分，否则不得分。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立项申请文件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0"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项目立项规范性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项目的申请、设立过程是否符合相关要求，用以反映和考核项目立项的规范情况。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①项目按照规定的程序申请设立，得0.5分，否则此项指标不得分；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②审批文件、材料符合相关要求，得0.5分，否则不得分；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③事前已经过必要的可行性研究、专家论证、风险评估、绩效评估、集体决策，得1分，否则不得分。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项目申请书、申报材料、可研报告、稳评报告等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1"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绩效目标管理</w:t>
            </w:r>
          </w:p>
        </w:tc>
        <w:tc>
          <w:tcPr>
            <w:tcW w:w="204"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绩效目标合理性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项目所设定的绩效目标是否依据充分，是否符合客观实际，用以反映和考核项目绩效目标与项目实施的相符情况。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①项目有绩效目标，得0.5分，否则此项指标不得分；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②项目绩效目标与实际工作内容具有相关性，得0.5分，否则不得分；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③项目预期产出效益和效果符合正常的业绩水平，得0.5分，否则不得分；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④与预算确定的项目投资额或资金量相匹配，得0.5分，否则不得分。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绩效目标申报表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绩效目标明确性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依据绩效目标设定的绩效指标是否清晰、细化、可衡量等，用以反映和考核项目绩效目标的明细化情况。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①将项目绩效目标细化分解为具体的绩效指标，得0.5分，否则不得分；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②通过清晰、可衡量的指标值予以体现，得0.5分，否则不得分；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③与项目目标任务数或计划数相对应，得1分，否则不得分。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绩效目标申报表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资金投入</w:t>
            </w:r>
          </w:p>
        </w:tc>
        <w:tc>
          <w:tcPr>
            <w:tcW w:w="204"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预算编制合理性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考察项目建设预算编制是否完整、是否有明确、合理的单价标准和数量确定依据。</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①项目预算内容与项目实际建设内容匹配，得1分，否则不得分；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②预算额度测算依据充分，数量与产出指标匹配，得1分，否则不得分。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项目申请资料、资金分配计划表等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资金到位率</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实际到位资金与预算资金的比率，用以反映和考核资金落实情况对项目实施的总体保障程度。</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资金到位率=实际到位资金/计划到位资金*100%；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指标分值=资金到位率*指标满分值2分，指标得分不超过满分。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资金到位文件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atLeast"/>
        </w:trPr>
        <w:tc>
          <w:tcPr>
            <w:tcW w:w="27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过程</w:t>
            </w:r>
          </w:p>
        </w:tc>
        <w:tc>
          <w:tcPr>
            <w:tcW w:w="173"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26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项目管理</w:t>
            </w:r>
          </w:p>
        </w:tc>
        <w:tc>
          <w:tcPr>
            <w:tcW w:w="204"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管理制度健全性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考察项目实施各项业务管理制度是否健全，反映对项目实施的保障情况。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①已制定或具有相应的项目实施业务、财务管理制度或办法（如质量管理体系、施工管理及竣工验收等），得1分，否则不得分。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②项目实施各管理制度内容完整、明确且合法、合规，得1分，否则不得分。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项目管理制度、资金管理制度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采购招投标合规性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考察项目招标采购申请的规范性、采购计划备案规范性、信息发布规范及时性、采购流程规范性等。</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①项目按照政府采购规定程序进行申请及备案或者审批，得0.5分，否则不得分；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②按照招标程序制定招标采购计划、确定招标形式，有序开展招标工作，得0.5分，否则不得分；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③按照政府采购法律法规及时发布招标采购项目信息并公示招标结果，得0.5分，否则不得分；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④项目招标采购各项审批文件及资料完整合规，按照招标要求及时完成相关合同的签订，得0.5分，否则不得分。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项目招标采购文件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合同管理完备性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考察项目实施过程中各项合同其内容及要素是否明确、清晰。</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①合同签订：签订过程合法合规，签约双方与中标通知书相符、签约时间明确，得0.6分，否则不得分；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②合同内容：各项合同内容完整明确，如履约期限、履约内容及双方权利义务和具体风险责任与措施等，得0.6分，否则不得分；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③严格按照约定履行合同无合同纠纷，得0.6分，否则不得分；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④合同变更与终止：合同内容变更或终止按照相关程序执行且资料齐全，得0.2分，否则不得分。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项目合同文件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9"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施工管理规范性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考察工程施工单位是否按照合同中的工程施工技术规范与要求等进行施工。</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①项目工程建设施工手续完整且条件具备，以施工许可证及监理单位开工令为依据进场施工，得0.6分，否则不得分；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②项目建设工程的实施按照合同中的技术规范进行施工，得0.4分，否则不得分；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③项目施工单位施工日志完整且内容规范、详细，得0.4分，否则不得分；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④项目各项工程施工过程中未有安全事故、环保事故发生，得0.6分，否则不得分。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施工许可证、开工令、施工日志等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8"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工程监理管理规范性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考察监理工作的规范性，工程监理在项目时间管理、质量管理、风险管理方面的工作完成情况。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①工程监理根据合同规定对工程安全、质量、进度进行管理核查，得0.6分，否则不得分；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②及时提交工程监理报告并记录监理日志，内容完整且明确，得0.6分，否则不得分；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③对施工过程中发现的问题进行采取措施，并按要求督促施工单位及时整改，得0.8分，否则不得分。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监理日志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4"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项目验收规范性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考察项目是否有规范的验收工作流程保障工程建设各项实施内容的质量，是否对各项验收中发现的问题进行及时整改。</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①具有项目工程及设备采购等验收管理办法，验收流程清晰，得0.5分，否则不得分；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②依据国家及本单位相关验收文件进行工程质量及设备的验收工作，验收资料合规且完整，得0.5分，否则不得分；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③对各项验收中发现的问题进行及时整改完善，并形成相关整改记录文件，得1分，否则不得分。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验收报告、整改文件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移交手续完备性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考察项目建设完成后，项目移交手续办理情况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项目建设完成后有完整的项目资金移交书或其他移交文件，得1分，否则不得分。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项目移交管理文件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档案管理完整性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项目档案管理情况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①建立项目档案，对项目进行归档整理，得1分，否则此项指标不得分；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②项目档案整理齐全、管理规范，得1分，否则不得分。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现场核查情况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资金管理</w:t>
            </w:r>
          </w:p>
        </w:tc>
        <w:tc>
          <w:tcPr>
            <w:tcW w:w="204"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资金支出进度</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用以反映和考核资金支出是否按照项目实施工作进度和合同要求及时有序的支付。</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项目实施资金支付按照整体施工进度和合同约定及时有序的支付，得4分；每出现一项未按施工进度及合同约定及时支付资金的，扣0.5分，扣完为止。</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资金明细账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资金使用合规性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项目资金使用是否符合相关的财务管理制度规定，用以反映和考核项目资金的规范运行情况。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①是否符合国家财经法规和财务管理制度以及有关专项资金管理办法的规定，得0.5分，否则此项指标不得分；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②资金的拨付是否有完整的审批程序和手续，得0.5分，否则不得分；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③是否符合项目预算批复或合同规定的用途，得0.5分，否则不得分；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④是否存在截留、挤占、挪用、虚列支出等情况，得0.5分，否则不得分。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资金拨付申请文件、资金使用文件、项目会计凭证等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财务管理</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反映和考核会计核算资料是否真实、完整、规范；项目实施单位对资金运行的控制情况。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①项目核算是否规范、符合行业要求，得1分，否则不得分；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②财务会计信息是否真实、完整、凭证齐全，得1分，否则不得分。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项目会计凭证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2" w:hRule="atLeast"/>
        </w:trPr>
        <w:tc>
          <w:tcPr>
            <w:tcW w:w="27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产出</w:t>
            </w:r>
          </w:p>
        </w:tc>
        <w:tc>
          <w:tcPr>
            <w:tcW w:w="173"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26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2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工程建设内容完工率</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项目工程建设内容的完成情况。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工程建设内容完工率=实际建设内容/计划建设内容*100%；</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指标分值=工程建设内容完工率*指标满分值8分，指标得分不超过满分。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项目建设计划书、项目可研、设计批复、实施方案、项目验收报告、实地核查情况等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质量</w:t>
            </w:r>
          </w:p>
        </w:tc>
        <w:tc>
          <w:tcPr>
            <w:tcW w:w="2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工程建设合格情况</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05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用以反映和考核项目工程建设合格情况。</w:t>
            </w:r>
          </w:p>
        </w:tc>
        <w:tc>
          <w:tcPr>
            <w:tcW w:w="184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按实施方案、相关要求、规定完成项目工程建设工作的，得8分，每发现一项不符合要求的，扣2分，扣完为止。</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项目验收报告、第三方质量检测认定书等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时效</w:t>
            </w:r>
          </w:p>
        </w:tc>
        <w:tc>
          <w:tcPr>
            <w:tcW w:w="204"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工程完工及时性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工程建设的完成及时情况。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项目建设工程是否按照计划及合同约定及时完成得2分，每发现一项未按计划完成建设的情况，延期短未造成重要影响扣2分；延期时间较长且影响项目整体建设的，不得分。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项目完工验收申请、验收、竣工决算报告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竣工验收、决算及时性</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验收、竣工决算及时情况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①项目按照相关要求、规定进行及时验收的，得2分，延期短未造成重要影响扣1分；延期时间较长且影响项目整体投入运营的，不得分；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②竣工决算及时进行且出具竣工决算报告，得2分，否则不得分。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项目验收、竣工决算报告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成本</w:t>
            </w:r>
          </w:p>
        </w:tc>
        <w:tc>
          <w:tcPr>
            <w:tcW w:w="2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33"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成本节约率</w:t>
            </w:r>
          </w:p>
        </w:tc>
        <w:tc>
          <w:tcPr>
            <w:tcW w:w="21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完成项目计划工作目标的实际节约成本与计划成本的比率，用以反映和考核项目的成本节约程度。</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成本节约率=[（计划成本-实际成本）/计划成本]×100%。成本节约率≥0，得满分，成本节约率＜0，不得分。</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实际成本：项目实施单位如期、保质、保量完成既定工作目标实际所耗费的支出。</w:t>
            </w:r>
            <w:r>
              <w:rPr>
                <w:rFonts w:hint="eastAsia" w:ascii="宋体" w:hAnsi="宋体" w:eastAsia="宋体" w:cs="宋体"/>
                <w:i w:val="0"/>
                <w:iCs w:val="0"/>
                <w:color w:val="000000"/>
                <w:kern w:val="0"/>
                <w:sz w:val="24"/>
                <w:szCs w:val="24"/>
                <w:u w:val="none"/>
                <w:lang w:val="en-US" w:eastAsia="zh-CN" w:bidi="ar"/>
              </w:rPr>
              <w:br w:type="textWrapping"/>
            </w:r>
            <w:r>
              <w:rPr>
                <w:rFonts w:hint="eastAsia" w:ascii="宋体" w:hAnsi="宋体" w:eastAsia="宋体" w:cs="宋体"/>
                <w:i w:val="0"/>
                <w:iCs w:val="0"/>
                <w:color w:val="000000"/>
                <w:kern w:val="0"/>
                <w:sz w:val="24"/>
                <w:szCs w:val="24"/>
                <w:u w:val="none"/>
                <w:lang w:val="en-US" w:eastAsia="zh-CN" w:bidi="ar"/>
              </w:rPr>
              <w:t>计划成本：项目实施单位为完成工作目标计划安排的支出，一般以项目预算为参考。</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竣工决算报表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9" w:hRule="atLeast"/>
        </w:trPr>
        <w:tc>
          <w:tcPr>
            <w:tcW w:w="275" w:type="pct"/>
            <w:vMerge w:val="restar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restar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26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经济效益</w:t>
            </w:r>
          </w:p>
        </w:tc>
        <w:tc>
          <w:tcPr>
            <w:tcW w:w="2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节约保教费支出</w:t>
            </w:r>
          </w:p>
        </w:tc>
        <w:tc>
          <w:tcPr>
            <w:tcW w:w="21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项目实施后对区域内居民节约保教费情况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改善幼儿入园难节约保教费支出作用非常明显的，按照实际情况给予满分100%-80%（含）的得分；作用较明显的，按照实际情况给予满分80%-60%（含）的得分；作用较差的，按照实际情况给予满分60%-0%（含）的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实地调研、调查问卷、实地访谈等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社会效益</w:t>
            </w:r>
          </w:p>
        </w:tc>
        <w:tc>
          <w:tcPr>
            <w:tcW w:w="204"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改善幼儿入园难</w:t>
            </w:r>
          </w:p>
        </w:tc>
        <w:tc>
          <w:tcPr>
            <w:tcW w:w="21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项目实施后对改善幼儿入园难的作用。</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项目实施后，改善幼儿入园难作用非常明显的，按照实际情况给予满分100%-80%（含）的得分；作用较明显的，按照实际情况给予满分80%-60%（含）的得分；作用较差的，按照实际情况给予满分60%-0%（含）的得分。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实地调研、调查问卷、实地访谈等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3"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改善城中区幼儿园教育设施环境</w:t>
            </w:r>
          </w:p>
        </w:tc>
        <w:tc>
          <w:tcPr>
            <w:tcW w:w="21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项目实施后改善城中区幼儿园教育环境的作用。</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改善城中区幼儿园教育环境作用非常明显的，按照实际情况给予满分100%-80%（含）的得分；作用较明显的，按照实际情况给予满分80%-60%（含）的得分；作用较差的，按照实际情况给予满分60%-0%（含）的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实地调研、调查问卷、实地访谈等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提升学前教育水平</w:t>
            </w:r>
          </w:p>
        </w:tc>
        <w:tc>
          <w:tcPr>
            <w:tcW w:w="210"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项目实施后对提升学前教育水平的作用。</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项目实施后，提升学前教育水平作用非常明显的，按照实际情况给予满分100%-80%（含）的得分；作用较明显的，按照实际情况给予满分80%-60%（含）的得分；作用较差的，按照实际情况给予满分60%-0%（含）的得分。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实地调研、调查问卷、实地访谈等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可持续影响</w:t>
            </w:r>
          </w:p>
        </w:tc>
        <w:tc>
          <w:tcPr>
            <w:tcW w:w="204"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扩大城中区学前教育资源</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项目实施后对扩大城中区学前教育资源作用。</w:t>
            </w:r>
          </w:p>
        </w:tc>
        <w:tc>
          <w:tcPr>
            <w:tcW w:w="1848"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扩大城中区学前教育资源作用非常明显的，按照实际情况给予满分100%-80%（含）的得分；作用较明显的，按照实际情况给予满分80%-60%（含）的得分；作用较差的，按照实际情况给予满分60%-0%（含）的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实地调研、调查问卷、实地访谈等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完善学前教育体系</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项目实施后对完善学前教育体系的作用。</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项目实施后，完善学前教育体系作用非常明显的，按照实际情况给予满分100%-80%（含）的得分；作用较明显的，按照实际情况给予满分80%-60%（含）的得分；作用较差的，按照实际情况给予满分60%-0%（含）的得分。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实地调研、调查问卷、实地访谈等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推动学前教育事业发展</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项目实施后对推动学前教育事业发展的作用。</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实施后，推动学前教育事业发展作用非常明显的，按照实际情况给予满分100%-80%（含）的得分；作用较明显的，按照实际情况给予满分80%-60%（含）的得分；作用较差的，按照实际情况给予满分60%-0%（含）的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数据资料、实地调研、调查问卷、实地访谈等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满意度</w:t>
            </w:r>
          </w:p>
        </w:tc>
        <w:tc>
          <w:tcPr>
            <w:tcW w:w="204" w:type="pct"/>
            <w:vMerge w:val="restar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教师满意度</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根据问卷调查，了解教师对项目竣工后投入使用的意见、看法以及满意情况。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根据问卷调查情况，满意度≥90分，得4分；85分≤满意度＜90分，得3分；80分≤满意度＜85分，得2分；75分≤满意度＜80分，得1分；70分≤满意度＜60分，得0.5分；满意度＜60分不得分。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调查问卷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27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173" w:type="pct"/>
            <w:vMerge w:val="continue"/>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65"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204" w:type="pct"/>
            <w:vMerge w:val="continue"/>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jc w:val="center"/>
              <w:rPr>
                <w:rFonts w:hint="eastAsia" w:ascii="宋体" w:hAnsi="宋体" w:eastAsia="宋体" w:cs="宋体"/>
                <w:i w:val="0"/>
                <w:iCs w:val="0"/>
                <w:color w:val="000000"/>
                <w:sz w:val="24"/>
                <w:szCs w:val="24"/>
                <w:u w:val="none"/>
              </w:rPr>
            </w:pP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社会公众满意度</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根据问卷调查，了解社会群众对项目建设地点、项目产出、项目建设效益、周边环境影响等的意见、看法以及满意情况。</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根据问卷调查情况，满意度≥90分，得5分；85分≤满意度＜90分，得4分；80分≤满意度＜85分，得3分；75分≤满意度＜80分，得2分；70分≤满意度＜60分，得1分；满意度＜60分不得分。</w:t>
            </w:r>
          </w:p>
        </w:tc>
        <w:tc>
          <w:tcPr>
            <w:tcW w:w="53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调查问卷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7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17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100</w:t>
            </w:r>
          </w:p>
        </w:tc>
        <w:tc>
          <w:tcPr>
            <w:tcW w:w="265"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w:t>
            </w:r>
          </w:p>
        </w:tc>
        <w:tc>
          <w:tcPr>
            <w:tcW w:w="204"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100</w:t>
            </w:r>
          </w:p>
        </w:tc>
        <w:tc>
          <w:tcPr>
            <w:tcW w:w="433"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w:t>
            </w:r>
          </w:p>
        </w:tc>
        <w:tc>
          <w:tcPr>
            <w:tcW w:w="21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100</w:t>
            </w:r>
          </w:p>
        </w:tc>
        <w:tc>
          <w:tcPr>
            <w:tcW w:w="1050"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w:t>
            </w:r>
          </w:p>
        </w:tc>
        <w:tc>
          <w:tcPr>
            <w:tcW w:w="184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w:t>
            </w:r>
          </w:p>
        </w:tc>
        <w:tc>
          <w:tcPr>
            <w:tcW w:w="538" w:type="pct"/>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576" w:lineRule="exact"/>
              <w:ind w:left="0" w:leftChars="0" w:firstLine="0" w:firstLineChars="0"/>
              <w:rPr>
                <w:rFonts w:hint="eastAsia" w:ascii="宋体" w:hAnsi="宋体" w:eastAsia="宋体" w:cs="宋体"/>
                <w:i w:val="0"/>
                <w:iCs w:val="0"/>
                <w:color w:val="000000"/>
                <w:sz w:val="24"/>
                <w:szCs w:val="24"/>
                <w:u w:val="none"/>
              </w:rPr>
            </w:pPr>
          </w:p>
        </w:tc>
      </w:tr>
    </w:tbl>
    <w:p>
      <w:pPr>
        <w:pageBreakBefore w:val="0"/>
        <w:overflowPunct/>
        <w:topLinePunct w:val="0"/>
        <w:bidi w:val="0"/>
        <w:spacing w:line="576" w:lineRule="exact"/>
        <w:ind w:left="0" w:leftChars="0" w:firstLine="0" w:firstLineChars="0"/>
        <w:rPr>
          <w:rFonts w:hint="eastAsia"/>
        </w:rPr>
        <w:sectPr>
          <w:footerReference r:id="rId68" w:type="default"/>
          <w:pgSz w:w="16838" w:h="11905" w:orient="landscape"/>
          <w:pgMar w:top="2098" w:right="1474" w:bottom="1984" w:left="1587" w:header="851" w:footer="720" w:gutter="0"/>
          <w:pgBorders>
            <w:top w:val="none" w:sz="0" w:space="0"/>
            <w:left w:val="none" w:sz="0" w:space="0"/>
            <w:bottom w:val="none" w:sz="0" w:space="0"/>
            <w:right w:val="none" w:sz="0" w:space="0"/>
          </w:pgBorders>
          <w:pgNumType w:fmt="numberInDash"/>
          <w:cols w:space="0" w:num="1"/>
          <w:rtlGutter w:val="0"/>
          <w:docGrid w:type="lines" w:linePitch="436" w:charSpace="0"/>
        </w:sectPr>
      </w:pP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outlineLvl w:val="1"/>
        <w:rPr>
          <w:rFonts w:hint="eastAsia" w:ascii="楷体" w:hAnsi="楷体" w:eastAsia="楷体" w:cs="楷体"/>
          <w:b/>
          <w:bCs/>
          <w:lang w:val="en-US" w:eastAsia="zh-CN"/>
        </w:rPr>
      </w:pPr>
      <w:bookmarkStart w:id="1331" w:name="_Toc20890"/>
      <w:bookmarkStart w:id="1332" w:name="_Toc4076"/>
      <w:bookmarkStart w:id="1333" w:name="_Toc13062"/>
      <w:bookmarkStart w:id="1334" w:name="_Toc24960"/>
      <w:r>
        <w:rPr>
          <w:rFonts w:hint="eastAsia" w:ascii="楷体" w:hAnsi="楷体" w:eastAsia="楷体" w:cs="楷体"/>
          <w:b/>
          <w:bCs/>
        </w:rPr>
        <w:t>附件</w:t>
      </w:r>
      <w:r>
        <w:rPr>
          <w:rFonts w:hint="eastAsia" w:ascii="楷体" w:hAnsi="楷体" w:eastAsia="楷体" w:cs="楷体"/>
          <w:b/>
          <w:bCs/>
          <w:lang w:val="en-US" w:eastAsia="zh-CN"/>
        </w:rPr>
        <w:t>2</w:t>
      </w:r>
      <w:r>
        <w:rPr>
          <w:rFonts w:hint="eastAsia" w:ascii="楷体" w:hAnsi="楷体" w:eastAsia="楷体" w:cs="楷体"/>
          <w:b/>
          <w:bCs/>
        </w:rPr>
        <w:t>：</w:t>
      </w:r>
      <w:r>
        <w:rPr>
          <w:rFonts w:hint="eastAsia" w:ascii="楷体" w:hAnsi="楷体" w:eastAsia="楷体" w:cs="楷体"/>
          <w:b/>
          <w:bCs/>
          <w:lang w:val="en-US" w:eastAsia="zh-CN"/>
        </w:rPr>
        <w:t>调查问卷统计情况</w:t>
      </w:r>
      <w:bookmarkEnd w:id="1331"/>
      <w:bookmarkEnd w:id="1332"/>
      <w:bookmarkEnd w:id="1333"/>
      <w:bookmarkEnd w:id="1334"/>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562" w:firstLineChars="200"/>
        <w:jc w:val="center"/>
        <w:textAlignment w:val="auto"/>
        <w:rPr>
          <w:rFonts w:hint="default" w:cs="仿宋_GB2312"/>
          <w:b w:val="0"/>
          <w:bCs w:val="0"/>
          <w:color w:val="auto"/>
          <w:sz w:val="32"/>
          <w:szCs w:val="32"/>
          <w:highlight w:val="none"/>
          <w:lang w:val="en-US" w:eastAsia="zh-CN"/>
        </w:rPr>
      </w:pPr>
      <w:r>
        <w:rPr>
          <w:rFonts w:hint="eastAsia" w:ascii="宋体" w:hAnsi="宋体" w:eastAsia="宋体" w:cs="宋体"/>
          <w:b/>
          <w:color w:val="000000"/>
          <w:kern w:val="0"/>
          <w:sz w:val="28"/>
          <w:szCs w:val="28"/>
          <w:lang w:val="en-US" w:eastAsia="zh-CN"/>
        </w:rPr>
        <w:t>西宁市城中区前营街幼儿园建设</w:t>
      </w:r>
      <w:r>
        <w:rPr>
          <w:rFonts w:hint="eastAsia" w:ascii="宋体" w:hAnsi="宋体" w:eastAsia="宋体" w:cs="宋体"/>
          <w:b/>
          <w:color w:val="000000"/>
          <w:kern w:val="0"/>
          <w:sz w:val="28"/>
          <w:szCs w:val="28"/>
        </w:rPr>
        <w:t>项目</w:t>
      </w:r>
      <w:r>
        <w:rPr>
          <w:rFonts w:hint="eastAsia" w:ascii="宋体" w:hAnsi="宋体" w:eastAsia="宋体" w:cs="宋体"/>
          <w:b/>
          <w:color w:val="000000"/>
          <w:kern w:val="0"/>
          <w:sz w:val="28"/>
          <w:szCs w:val="28"/>
          <w:lang w:val="en-US" w:eastAsia="zh-CN"/>
        </w:rPr>
        <w:t>调查问卷统计报告</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b w:val="0"/>
          <w:bCs w:val="0"/>
          <w:color w:val="auto"/>
          <w:sz w:val="28"/>
          <w:szCs w:val="28"/>
          <w:highlight w:val="none"/>
          <w:lang w:val="en-US" w:eastAsia="zh-CN"/>
        </w:rPr>
        <w:t>绩效评价工作组因疫情防控要求，考虑以幼儿园儿童安全为主，与城中区教育局协商以电子问卷的形式开展满意度调查，主要了解幼儿园教师和社会公众对西宁市城中区前营街幼儿园建设及投入运营的满意度及认可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576" w:lineRule="exact"/>
        <w:ind w:left="0" w:leftChars="0" w:firstLine="560" w:firstLineChars="200"/>
        <w:textAlignment w:val="auto"/>
        <w:rPr>
          <w:rFonts w:hint="default" w:eastAsia="仿宋_GB2312" w:cs="仿宋_GB2312"/>
          <w:b/>
          <w:bCs/>
          <w:color w:val="auto"/>
          <w:kern w:val="2"/>
          <w:sz w:val="32"/>
          <w:szCs w:val="32"/>
          <w:highlight w:val="none"/>
          <w:lang w:val="en-US" w:eastAsia="zh-CN" w:bidi="ar-SA"/>
        </w:rPr>
      </w:pPr>
      <w:r>
        <w:rPr>
          <w:rFonts w:hint="eastAsia" w:ascii="宋体" w:hAnsi="宋体" w:eastAsia="宋体" w:cs="宋体"/>
          <w:color w:val="auto"/>
          <w:sz w:val="28"/>
          <w:szCs w:val="28"/>
          <w:lang w:val="zh-CN"/>
        </w:rPr>
        <w:t>经对回收的电子问卷统计分析，共回收问卷</w:t>
      </w:r>
      <w:r>
        <w:rPr>
          <w:rFonts w:hint="eastAsia" w:ascii="宋体" w:hAnsi="宋体" w:eastAsia="宋体" w:cs="宋体"/>
          <w:color w:val="auto"/>
          <w:sz w:val="28"/>
          <w:szCs w:val="28"/>
          <w:lang w:val="en-US" w:eastAsia="zh-CN"/>
        </w:rPr>
        <w:t>377份，其中：62份问卷表示不了解西宁市城中区前营街幼儿园建设项目，315份问卷表示了解西宁市城中区前营街幼儿园建设项目。同时，绩效评价工作组对回收了解项目的315份</w:t>
      </w:r>
      <w:r>
        <w:rPr>
          <w:rFonts w:hint="eastAsia" w:ascii="宋体" w:hAnsi="宋体" w:eastAsia="宋体" w:cs="宋体"/>
          <w:color w:val="auto"/>
          <w:sz w:val="28"/>
          <w:szCs w:val="28"/>
          <w:lang w:val="zh-CN"/>
        </w:rPr>
        <w:t>有效问卷统计分析，其中：家长问卷</w:t>
      </w:r>
      <w:r>
        <w:rPr>
          <w:rFonts w:hint="eastAsia" w:ascii="宋体" w:hAnsi="宋体" w:eastAsia="宋体" w:cs="宋体"/>
          <w:color w:val="auto"/>
          <w:sz w:val="28"/>
          <w:szCs w:val="28"/>
          <w:lang w:val="en-US" w:eastAsia="zh-CN"/>
        </w:rPr>
        <w:t>274份，在校教师34份，其他人员7份</w:t>
      </w:r>
      <w:r>
        <w:rPr>
          <w:rFonts w:hint="eastAsia" w:ascii="宋体" w:hAnsi="宋体" w:eastAsia="宋体" w:cs="宋体"/>
          <w:color w:val="auto"/>
          <w:sz w:val="28"/>
          <w:szCs w:val="28"/>
          <w:lang w:val="zh-CN"/>
        </w:rPr>
        <w:t>。</w:t>
      </w:r>
      <w:r>
        <w:rPr>
          <w:rFonts w:hint="eastAsia" w:ascii="宋体" w:hAnsi="宋体" w:eastAsia="宋体" w:cs="宋体"/>
          <w:color w:val="auto"/>
          <w:sz w:val="28"/>
          <w:szCs w:val="28"/>
          <w:lang w:val="en-US" w:eastAsia="zh-CN"/>
        </w:rPr>
        <w:t>问卷调查结果统计分析具体如下：</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lang w:val="en-US" w:eastAsia="zh-CN"/>
        </w:rPr>
        <w:t>西宁市城中区前营街幼儿园（城中区第一幼儿园）建设</w:t>
      </w:r>
      <w:r>
        <w:rPr>
          <w:rFonts w:hint="eastAsia" w:ascii="宋体" w:hAnsi="宋体" w:eastAsia="宋体" w:cs="宋体"/>
          <w:b/>
          <w:color w:val="000000"/>
          <w:kern w:val="0"/>
          <w:sz w:val="28"/>
          <w:szCs w:val="28"/>
        </w:rPr>
        <w:t>项目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color w:val="000000"/>
          <w:kern w:val="0"/>
          <w:sz w:val="28"/>
          <w:szCs w:val="28"/>
          <w:lang w:val="en-US" w:eastAsia="zh-CN"/>
        </w:rPr>
      </w:pPr>
      <w:r>
        <w:rPr>
          <w:rFonts w:hint="eastAsia" w:ascii="宋体" w:hAnsi="宋体" w:eastAsia="宋体" w:cs="宋体"/>
          <w:b/>
          <w:color w:val="000000"/>
          <w:kern w:val="0"/>
          <w:sz w:val="28"/>
          <w:szCs w:val="28"/>
          <w:lang w:val="en-US" w:eastAsia="zh-CN"/>
        </w:rPr>
        <w:t>调查问卷统计情况</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color w:val="000000"/>
          <w:kern w:val="0"/>
          <w:sz w:val="28"/>
          <w:szCs w:val="28"/>
          <w:lang w:val="en-US" w:eastAsia="zh-CN"/>
        </w:rPr>
      </w:pPr>
      <w:r>
        <w:rPr>
          <w:rFonts w:hint="eastAsia" w:ascii="宋体" w:hAnsi="宋体" w:eastAsia="宋体" w:cs="宋体"/>
          <w:b/>
          <w:color w:val="000000"/>
          <w:kern w:val="0"/>
          <w:sz w:val="28"/>
          <w:szCs w:val="28"/>
          <w:lang w:val="en-US" w:eastAsia="zh-CN"/>
        </w:rPr>
        <w:t>（在校教师）</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40"/>
          <w:szCs w:val="32"/>
        </w:rPr>
      </w:pPr>
      <w:r>
        <w:rPr>
          <w:rFonts w:ascii="Times New Roman" w:hAnsi="Times New Roman" w:eastAsia="Times New Roman" w:cs="Times New Roman"/>
          <w:color w:val="444444"/>
          <w:kern w:val="0"/>
          <w:sz w:val="24"/>
          <w:szCs w:val="24"/>
          <w:rtl w:val="0"/>
        </w:rPr>
        <w:t>一、基本信息</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1.您的身份是?   </w:t>
      </w:r>
      <w:r>
        <w:rPr>
          <w:rFonts w:ascii="Times New Roman" w:hAnsi="Times New Roman" w:eastAsia="Times New Roman" w:cs="Times New Roman"/>
          <w:b w:val="0"/>
          <w:color w:val="0066FF"/>
          <w:kern w:val="0"/>
          <w:sz w:val="24"/>
        </w:rPr>
        <w:t>[单选题]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73"/>
        <w:gridCol w:w="1099"/>
        <w:gridCol w:w="45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A.在校教师</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38</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0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87"/>
                          <pic:cNvPicPr>
                            <a:picLocks noChangeAspect="1"/>
                          </pic:cNvPicPr>
                        </pic:nvPicPr>
                        <pic:blipFill>
                          <a:blip r:embed="rId217"/>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B.家长</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99"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8"/>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C.其他人员</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0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9"/>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38</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2.您的性别?   </w:t>
      </w:r>
      <w:r>
        <w:rPr>
          <w:rFonts w:ascii="Times New Roman" w:hAnsi="Times New Roman" w:eastAsia="Times New Roman" w:cs="Times New Roman"/>
          <w:b w:val="0"/>
          <w:color w:val="0066FF"/>
          <w:kern w:val="0"/>
          <w:sz w:val="24"/>
        </w:rPr>
        <w:t>[单选题]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73"/>
        <w:gridCol w:w="1099"/>
        <w:gridCol w:w="45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A.男</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03"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0"/>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B.女</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38</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0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1"/>
                          <pic:cNvPicPr>
                            <a:picLocks noChangeAspect="1"/>
                          </pic:cNvPicPr>
                        </pic:nvPicPr>
                        <pic:blipFill>
                          <a:blip r:embed="rId217"/>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38</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3.您的年龄?   </w:t>
      </w:r>
      <w:r>
        <w:rPr>
          <w:rFonts w:ascii="Times New Roman" w:hAnsi="Times New Roman" w:eastAsia="Times New Roman" w:cs="Times New Roman"/>
          <w:b w:val="0"/>
          <w:color w:val="0066FF"/>
          <w:kern w:val="0"/>
          <w:sz w:val="24"/>
        </w:rPr>
        <w:t>[单选题]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70"/>
        <w:gridCol w:w="1066"/>
        <w:gridCol w:w="472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A.18岁以下</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0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2"/>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B.18-29岁</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14</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495300" cy="114300"/>
                  <wp:effectExtent l="0" t="0" r="0" b="0"/>
                  <wp:docPr id="9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pic:cNvPicPr>
                        </pic:nvPicPr>
                        <pic:blipFill>
                          <a:blip r:embed="rId218"/>
                          <a:stretch>
                            <a:fillRect/>
                          </a:stretch>
                        </pic:blipFill>
                        <pic:spPr>
                          <a:xfrm>
                            <a:off x="0" y="0"/>
                            <a:ext cx="4953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857250" cy="114300"/>
                  <wp:effectExtent l="0" t="0" r="0" b="0"/>
                  <wp:docPr id="10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4"/>
                          <pic:cNvPicPr>
                            <a:picLocks noChangeAspect="1"/>
                          </pic:cNvPicPr>
                        </pic:nvPicPr>
                        <pic:blipFill>
                          <a:blip r:embed="rId219"/>
                          <a:stretch>
                            <a:fillRect/>
                          </a:stretch>
                        </pic:blipFill>
                        <pic:spPr>
                          <a:xfrm>
                            <a:off x="0" y="0"/>
                            <a:ext cx="857250" cy="114300"/>
                          </a:xfrm>
                          <a:prstGeom prst="rect">
                            <a:avLst/>
                          </a:prstGeom>
                          <a:noFill/>
                          <a:ln>
                            <a:noFill/>
                          </a:ln>
                        </pic:spPr>
                      </pic:pic>
                    </a:graphicData>
                  </a:graphic>
                </wp:inline>
              </w:drawing>
            </w:r>
            <w:r>
              <w:rPr>
                <w:rFonts w:ascii="Times New Roman" w:hAnsi="Times New Roman" w:eastAsia="Times New Roman" w:cs="Times New Roman"/>
                <w:kern w:val="0"/>
                <w:sz w:val="24"/>
              </w:rPr>
              <w:t>36.84%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C.30-44岁</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704850" cy="1143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15"/>
                          <a:stretch>
                            <a:fillRect/>
                          </a:stretch>
                        </pic:blipFill>
                        <pic:spPr>
                          <a:xfrm>
                            <a:off x="0" y="0"/>
                            <a:ext cx="7048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647700" cy="114300"/>
                  <wp:effectExtent l="0" t="0" r="0" b="0"/>
                  <wp:docPr id="10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6"/>
                          <pic:cNvPicPr>
                            <a:picLocks noChangeAspect="1"/>
                          </pic:cNvPicPr>
                        </pic:nvPicPr>
                        <pic:blipFill>
                          <a:blip r:embed="rId116"/>
                          <a:stretch>
                            <a:fillRect/>
                          </a:stretch>
                        </pic:blipFill>
                        <pic:spPr>
                          <a:xfrm>
                            <a:off x="0" y="0"/>
                            <a:ext cx="647700" cy="114300"/>
                          </a:xfrm>
                          <a:prstGeom prst="rect">
                            <a:avLst/>
                          </a:prstGeom>
                          <a:noFill/>
                          <a:ln>
                            <a:noFill/>
                          </a:ln>
                        </pic:spPr>
                      </pic:pic>
                    </a:graphicData>
                  </a:graphic>
                </wp:inline>
              </w:drawing>
            </w:r>
            <w:r>
              <w:rPr>
                <w:rFonts w:ascii="Times New Roman" w:hAnsi="Times New Roman" w:eastAsia="Times New Roman" w:cs="Times New Roman"/>
                <w:kern w:val="0"/>
                <w:sz w:val="24"/>
              </w:rPr>
              <w:t>52.63%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D.45-64岁</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4</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3350" cy="114300"/>
                  <wp:effectExtent l="0" t="0" r="0" b="0"/>
                  <wp:docPr id="10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7"/>
                          <pic:cNvPicPr>
                            <a:picLocks noChangeAspect="1"/>
                          </pic:cNvPicPr>
                        </pic:nvPicPr>
                        <pic:blipFill>
                          <a:blip r:embed="rId153"/>
                          <a:stretch>
                            <a:fillRect/>
                          </a:stretch>
                        </pic:blipFill>
                        <pic:spPr>
                          <a:xfrm>
                            <a:off x="0" y="0"/>
                            <a:ext cx="1333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219200" cy="114300"/>
                  <wp:effectExtent l="0" t="0" r="0" b="0"/>
                  <wp:docPr id="96"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8"/>
                          <pic:cNvPicPr>
                            <a:picLocks noChangeAspect="1"/>
                          </pic:cNvPicPr>
                        </pic:nvPicPr>
                        <pic:blipFill>
                          <a:blip r:embed="rId154"/>
                          <a:stretch>
                            <a:fillRect/>
                          </a:stretch>
                        </pic:blipFill>
                        <pic:spPr>
                          <a:xfrm>
                            <a:off x="0" y="0"/>
                            <a:ext cx="1219200" cy="114300"/>
                          </a:xfrm>
                          <a:prstGeom prst="rect">
                            <a:avLst/>
                          </a:prstGeom>
                          <a:noFill/>
                          <a:ln>
                            <a:noFill/>
                          </a:ln>
                        </pic:spPr>
                      </pic:pic>
                    </a:graphicData>
                  </a:graphic>
                </wp:inline>
              </w:drawing>
            </w:r>
            <w:r>
              <w:rPr>
                <w:rFonts w:ascii="Times New Roman" w:hAnsi="Times New Roman" w:eastAsia="Times New Roman" w:cs="Times New Roman"/>
                <w:kern w:val="0"/>
                <w:sz w:val="24"/>
              </w:rPr>
              <w:t>10.53%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E.65岁以上</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0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9"/>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38</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4.您对西宁市前营街幼儿园（城中区第一幼儿园）建设项目了解吗?   </w:t>
      </w:r>
      <w:r>
        <w:rPr>
          <w:rFonts w:ascii="Times New Roman" w:hAnsi="Times New Roman" w:eastAsia="Times New Roman" w:cs="Times New Roman"/>
          <w:b w:val="0"/>
          <w:color w:val="0066FF"/>
          <w:kern w:val="0"/>
          <w:sz w:val="24"/>
        </w:rPr>
        <w:t>[单选题]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34</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209675" cy="114300"/>
                  <wp:effectExtent l="0" t="0" r="9525" b="0"/>
                  <wp:docPr id="10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0"/>
                          <pic:cNvPicPr>
                            <a:picLocks noChangeAspect="1"/>
                          </pic:cNvPicPr>
                        </pic:nvPicPr>
                        <pic:blipFill>
                          <a:blip r:embed="rId220"/>
                          <a:stretch>
                            <a:fillRect/>
                          </a:stretch>
                        </pic:blipFill>
                        <pic:spPr>
                          <a:xfrm>
                            <a:off x="0" y="0"/>
                            <a:ext cx="120967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42875" cy="114300"/>
                  <wp:effectExtent l="0" t="0" r="9525" b="0"/>
                  <wp:docPr id="9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1"/>
                          <pic:cNvPicPr>
                            <a:picLocks noChangeAspect="1"/>
                          </pic:cNvPicPr>
                        </pic:nvPicPr>
                        <pic:blipFill>
                          <a:blip r:embed="rId221"/>
                          <a:stretch>
                            <a:fillRect/>
                          </a:stretch>
                        </pic:blipFill>
                        <pic:spPr>
                          <a:xfrm>
                            <a:off x="0" y="0"/>
                            <a:ext cx="142875" cy="114300"/>
                          </a:xfrm>
                          <a:prstGeom prst="rect">
                            <a:avLst/>
                          </a:prstGeom>
                          <a:noFill/>
                          <a:ln>
                            <a:noFill/>
                          </a:ln>
                        </pic:spPr>
                      </pic:pic>
                    </a:graphicData>
                  </a:graphic>
                </wp:inline>
              </w:drawing>
            </w:r>
            <w:r>
              <w:rPr>
                <w:rFonts w:ascii="Times New Roman" w:hAnsi="Times New Roman" w:eastAsia="Times New Roman" w:cs="Times New Roman"/>
                <w:kern w:val="0"/>
                <w:sz w:val="24"/>
              </w:rPr>
              <w:t>89.47%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B.否</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4</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3350" cy="114300"/>
                  <wp:effectExtent l="0" t="0" r="0" b="0"/>
                  <wp:docPr id="98"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2"/>
                          <pic:cNvPicPr>
                            <a:picLocks noChangeAspect="1"/>
                          </pic:cNvPicPr>
                        </pic:nvPicPr>
                        <pic:blipFill>
                          <a:blip r:embed="rId153"/>
                          <a:stretch>
                            <a:fillRect/>
                          </a:stretch>
                        </pic:blipFill>
                        <pic:spPr>
                          <a:xfrm>
                            <a:off x="0" y="0"/>
                            <a:ext cx="1333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219200" cy="114300"/>
                  <wp:effectExtent l="0" t="0" r="0" b="0"/>
                  <wp:docPr id="12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3"/>
                          <pic:cNvPicPr>
                            <a:picLocks noChangeAspect="1"/>
                          </pic:cNvPicPr>
                        </pic:nvPicPr>
                        <pic:blipFill>
                          <a:blip r:embed="rId154"/>
                          <a:stretch>
                            <a:fillRect/>
                          </a:stretch>
                        </pic:blipFill>
                        <pic:spPr>
                          <a:xfrm>
                            <a:off x="0" y="0"/>
                            <a:ext cx="1219200" cy="114300"/>
                          </a:xfrm>
                          <a:prstGeom prst="rect">
                            <a:avLst/>
                          </a:prstGeom>
                          <a:noFill/>
                          <a:ln>
                            <a:noFill/>
                          </a:ln>
                        </pic:spPr>
                      </pic:pic>
                    </a:graphicData>
                  </a:graphic>
                </wp:inline>
              </w:drawing>
            </w:r>
            <w:r>
              <w:rPr>
                <w:rFonts w:ascii="Times New Roman" w:hAnsi="Times New Roman" w:eastAsia="Times New Roman" w:cs="Times New Roman"/>
                <w:kern w:val="0"/>
                <w:sz w:val="24"/>
              </w:rPr>
              <w:t>10.53%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38</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32"/>
          <w:szCs w:val="32"/>
        </w:rPr>
      </w:pPr>
      <w:r>
        <w:rPr>
          <w:rFonts w:ascii="Times New Roman" w:hAnsi="Times New Roman" w:eastAsia="Times New Roman" w:cs="Times New Roman"/>
          <w:color w:val="444444"/>
          <w:kern w:val="0"/>
          <w:sz w:val="24"/>
          <w:szCs w:val="24"/>
          <w:rtl w:val="0"/>
        </w:rPr>
        <w:t>二、满意度问题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5.您对新建的西宁市前营街幼儿园（城中区第一幼儿园）周边环境是否满意？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本题平均分：9</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4038"/>
        <w:gridCol w:w="995"/>
        <w:gridCol w:w="402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17</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676275" cy="114300"/>
                  <wp:effectExtent l="0" t="0" r="9525" b="0"/>
                  <wp:docPr id="125"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4"/>
                          <pic:cNvPicPr>
                            <a:picLocks noChangeAspect="1"/>
                          </pic:cNvPicPr>
                        </pic:nvPicPr>
                        <pic:blipFill>
                          <a:blip r:embed="rId222"/>
                          <a:stretch>
                            <a:fillRect/>
                          </a:stretch>
                        </pic:blipFill>
                        <pic:spPr>
                          <a:xfrm>
                            <a:off x="0" y="0"/>
                            <a:ext cx="67627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676275" cy="114300"/>
                  <wp:effectExtent l="0" t="0" r="9525" b="0"/>
                  <wp:docPr id="11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5"/>
                          <pic:cNvPicPr>
                            <a:picLocks noChangeAspect="1"/>
                          </pic:cNvPicPr>
                        </pic:nvPicPr>
                        <pic:blipFill>
                          <a:blip r:embed="rId223"/>
                          <a:stretch>
                            <a:fillRect/>
                          </a:stretch>
                        </pic:blipFill>
                        <pic:spPr>
                          <a:xfrm>
                            <a:off x="0" y="0"/>
                            <a:ext cx="676275" cy="114300"/>
                          </a:xfrm>
                          <a:prstGeom prst="rect">
                            <a:avLst/>
                          </a:prstGeom>
                          <a:noFill/>
                          <a:ln>
                            <a:noFill/>
                          </a:ln>
                        </pic:spPr>
                      </pic:pic>
                    </a:graphicData>
                  </a:graphic>
                </wp:inline>
              </w:drawing>
            </w:r>
            <w:r>
              <w:rPr>
                <w:rFonts w:ascii="Times New Roman" w:hAnsi="Times New Roman" w:eastAsia="Times New Roman" w:cs="Times New Roman"/>
                <w:kern w:val="0"/>
                <w:sz w:val="24"/>
              </w:rPr>
              <w:t>50%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17</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676275" cy="114300"/>
                  <wp:effectExtent l="0" t="0" r="9525" b="0"/>
                  <wp:docPr id="121"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6"/>
                          <pic:cNvPicPr>
                            <a:picLocks noChangeAspect="1"/>
                          </pic:cNvPicPr>
                        </pic:nvPicPr>
                        <pic:blipFill>
                          <a:blip r:embed="rId222"/>
                          <a:stretch>
                            <a:fillRect/>
                          </a:stretch>
                        </pic:blipFill>
                        <pic:spPr>
                          <a:xfrm>
                            <a:off x="0" y="0"/>
                            <a:ext cx="67627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676275" cy="114300"/>
                  <wp:effectExtent l="0" t="0" r="9525" b="0"/>
                  <wp:docPr id="12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07"/>
                          <pic:cNvPicPr>
                            <a:picLocks noChangeAspect="1"/>
                          </pic:cNvPicPr>
                        </pic:nvPicPr>
                        <pic:blipFill>
                          <a:blip r:embed="rId223"/>
                          <a:stretch>
                            <a:fillRect/>
                          </a:stretch>
                        </pic:blipFill>
                        <pic:spPr>
                          <a:xfrm>
                            <a:off x="0" y="0"/>
                            <a:ext cx="676275" cy="114300"/>
                          </a:xfrm>
                          <a:prstGeom prst="rect">
                            <a:avLst/>
                          </a:prstGeom>
                          <a:noFill/>
                          <a:ln>
                            <a:noFill/>
                          </a:ln>
                        </pic:spPr>
                      </pic:pic>
                    </a:graphicData>
                  </a:graphic>
                </wp:inline>
              </w:drawing>
            </w:r>
            <w:r>
              <w:rPr>
                <w:rFonts w:ascii="Times New Roman" w:hAnsi="Times New Roman" w:eastAsia="Times New Roman" w:cs="Times New Roman"/>
                <w:kern w:val="0"/>
                <w:sz w:val="24"/>
              </w:rPr>
              <w:t>50%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1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8"/>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D.不满意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2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09"/>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E.非常不满意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26"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10"/>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6.您对新建的西宁市前营街幼儿园（城中区第一幼儿园）设施环境是否满意？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本题平均分：9.53</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716"/>
        <w:gridCol w:w="976"/>
        <w:gridCol w:w="436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26</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028700" cy="114300"/>
                  <wp:effectExtent l="0" t="0" r="0" b="0"/>
                  <wp:docPr id="117"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1"/>
                          <pic:cNvPicPr>
                            <a:picLocks noChangeAspect="1"/>
                          </pic:cNvPicPr>
                        </pic:nvPicPr>
                        <pic:blipFill>
                          <a:blip r:embed="rId224"/>
                          <a:stretch>
                            <a:fillRect/>
                          </a:stretch>
                        </pic:blipFill>
                        <pic:spPr>
                          <a:xfrm>
                            <a:off x="0" y="0"/>
                            <a:ext cx="10287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323850" cy="114300"/>
                  <wp:effectExtent l="0" t="0" r="0" b="0"/>
                  <wp:docPr id="11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2"/>
                          <pic:cNvPicPr>
                            <a:picLocks noChangeAspect="1"/>
                          </pic:cNvPicPr>
                        </pic:nvPicPr>
                        <pic:blipFill>
                          <a:blip r:embed="rId225"/>
                          <a:stretch>
                            <a:fillRect/>
                          </a:stretch>
                        </pic:blipFill>
                        <pic:spPr>
                          <a:xfrm>
                            <a:off x="0" y="0"/>
                            <a:ext cx="323850" cy="114300"/>
                          </a:xfrm>
                          <a:prstGeom prst="rect">
                            <a:avLst/>
                          </a:prstGeom>
                          <a:noFill/>
                          <a:ln>
                            <a:noFill/>
                          </a:ln>
                        </pic:spPr>
                      </pic:pic>
                    </a:graphicData>
                  </a:graphic>
                </wp:inline>
              </w:drawing>
            </w:r>
            <w:r>
              <w:rPr>
                <w:rFonts w:ascii="Times New Roman" w:hAnsi="Times New Roman" w:eastAsia="Times New Roman" w:cs="Times New Roman"/>
                <w:kern w:val="0"/>
                <w:sz w:val="24"/>
              </w:rPr>
              <w:t>76.47%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8</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14325" cy="114300"/>
                  <wp:effectExtent l="0" t="0" r="9525" b="0"/>
                  <wp:docPr id="11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3"/>
                          <pic:cNvPicPr>
                            <a:picLocks noChangeAspect="1"/>
                          </pic:cNvPicPr>
                        </pic:nvPicPr>
                        <pic:blipFill>
                          <a:blip r:embed="rId121"/>
                          <a:stretch>
                            <a:fillRect/>
                          </a:stretch>
                        </pic:blipFill>
                        <pic:spPr>
                          <a:xfrm>
                            <a:off x="0" y="0"/>
                            <a:ext cx="3143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038225" cy="114300"/>
                  <wp:effectExtent l="0" t="0" r="9525" b="0"/>
                  <wp:docPr id="119"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4"/>
                          <pic:cNvPicPr>
                            <a:picLocks noChangeAspect="1"/>
                          </pic:cNvPicPr>
                        </pic:nvPicPr>
                        <pic:blipFill>
                          <a:blip r:embed="rId122"/>
                          <a:stretch>
                            <a:fillRect/>
                          </a:stretch>
                        </pic:blipFill>
                        <pic:spPr>
                          <a:xfrm>
                            <a:off x="0" y="0"/>
                            <a:ext cx="1038225" cy="114300"/>
                          </a:xfrm>
                          <a:prstGeom prst="rect">
                            <a:avLst/>
                          </a:prstGeom>
                          <a:noFill/>
                          <a:ln>
                            <a:noFill/>
                          </a:ln>
                        </pic:spPr>
                      </pic:pic>
                    </a:graphicData>
                  </a:graphic>
                </wp:inline>
              </w:drawing>
            </w:r>
            <w:r>
              <w:rPr>
                <w:rFonts w:ascii="Times New Roman" w:hAnsi="Times New Roman" w:eastAsia="Times New Roman" w:cs="Times New Roman"/>
                <w:kern w:val="0"/>
                <w:sz w:val="24"/>
              </w:rPr>
              <w:t>23.53%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20"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5"/>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D.不满意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11"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6"/>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E.非常不满意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12"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7"/>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7.您对新建的西宁市前营街幼儿园（城中区第一幼儿园）交通是否满意？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本题平均分：9.09</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55"/>
        <w:gridCol w:w="950"/>
        <w:gridCol w:w="425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790575" cy="114300"/>
                  <wp:effectExtent l="0" t="0" r="9525" b="0"/>
                  <wp:docPr id="113"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8"/>
                          <pic:cNvPicPr>
                            <a:picLocks noChangeAspect="1"/>
                          </pic:cNvPicPr>
                        </pic:nvPicPr>
                        <pic:blipFill>
                          <a:blip r:embed="rId226"/>
                          <a:stretch>
                            <a:fillRect/>
                          </a:stretch>
                        </pic:blipFill>
                        <pic:spPr>
                          <a:xfrm>
                            <a:off x="0" y="0"/>
                            <a:ext cx="79057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561975" cy="114300"/>
                  <wp:effectExtent l="0" t="0" r="9525" b="0"/>
                  <wp:docPr id="114"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9"/>
                          <pic:cNvPicPr>
                            <a:picLocks noChangeAspect="1"/>
                          </pic:cNvPicPr>
                        </pic:nvPicPr>
                        <pic:blipFill>
                          <a:blip r:embed="rId227"/>
                          <a:stretch>
                            <a:fillRect/>
                          </a:stretch>
                        </pic:blipFill>
                        <pic:spPr>
                          <a:xfrm>
                            <a:off x="0" y="0"/>
                            <a:ext cx="561975" cy="114300"/>
                          </a:xfrm>
                          <a:prstGeom prst="rect">
                            <a:avLst/>
                          </a:prstGeom>
                          <a:noFill/>
                          <a:ln>
                            <a:noFill/>
                          </a:ln>
                        </pic:spPr>
                      </pic:pic>
                    </a:graphicData>
                  </a:graphic>
                </wp:inline>
              </w:drawing>
            </w:r>
            <w:r>
              <w:rPr>
                <w:rFonts w:ascii="Times New Roman" w:hAnsi="Times New Roman" w:eastAsia="Times New Roman" w:cs="Times New Roman"/>
                <w:kern w:val="0"/>
                <w:sz w:val="24"/>
              </w:rPr>
              <w:t>58.82%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13</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14350" cy="114300"/>
                  <wp:effectExtent l="0" t="0" r="0" b="0"/>
                  <wp:docPr id="93"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0"/>
                          <pic:cNvPicPr>
                            <a:picLocks noChangeAspect="1"/>
                          </pic:cNvPicPr>
                        </pic:nvPicPr>
                        <pic:blipFill>
                          <a:blip r:embed="rId145"/>
                          <a:stretch>
                            <a:fillRect/>
                          </a:stretch>
                        </pic:blipFill>
                        <pic:spPr>
                          <a:xfrm>
                            <a:off x="0" y="0"/>
                            <a:ext cx="5143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838200" cy="114300"/>
                  <wp:effectExtent l="0" t="0" r="0" b="0"/>
                  <wp:docPr id="92"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1"/>
                          <pic:cNvPicPr>
                            <a:picLocks noChangeAspect="1"/>
                          </pic:cNvPicPr>
                        </pic:nvPicPr>
                        <pic:blipFill>
                          <a:blip r:embed="rId146"/>
                          <a:stretch>
                            <a:fillRect/>
                          </a:stretch>
                        </pic:blipFill>
                        <pic:spPr>
                          <a:xfrm>
                            <a:off x="0" y="0"/>
                            <a:ext cx="838200" cy="114300"/>
                          </a:xfrm>
                          <a:prstGeom prst="rect">
                            <a:avLst/>
                          </a:prstGeom>
                          <a:noFill/>
                          <a:ln>
                            <a:noFill/>
                          </a:ln>
                        </pic:spPr>
                      </pic:pic>
                    </a:graphicData>
                  </a:graphic>
                </wp:inline>
              </w:drawing>
            </w:r>
            <w:r>
              <w:rPr>
                <w:rFonts w:ascii="Times New Roman" w:hAnsi="Times New Roman" w:eastAsia="Times New Roman" w:cs="Times New Roman"/>
                <w:kern w:val="0"/>
                <w:sz w:val="24"/>
              </w:rPr>
              <w:t>38.24%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 cy="114300"/>
                  <wp:effectExtent l="0" t="0" r="0" b="0"/>
                  <wp:docPr id="9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22"/>
                          <pic:cNvPicPr>
                            <a:picLocks noChangeAspect="1"/>
                          </pic:cNvPicPr>
                        </pic:nvPicPr>
                        <pic:blipFill>
                          <a:blip r:embed="rId137"/>
                          <a:stretch>
                            <a:fillRect/>
                          </a:stretch>
                        </pic:blipFill>
                        <pic:spPr>
                          <a:xfrm>
                            <a:off x="0" y="0"/>
                            <a:ext cx="381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314450" cy="114300"/>
                  <wp:effectExtent l="0" t="0" r="0" b="0"/>
                  <wp:docPr id="149"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23"/>
                          <pic:cNvPicPr>
                            <a:picLocks noChangeAspect="1"/>
                          </pic:cNvPicPr>
                        </pic:nvPicPr>
                        <pic:blipFill>
                          <a:blip r:embed="rId138"/>
                          <a:stretch>
                            <a:fillRect/>
                          </a:stretch>
                        </pic:blipFill>
                        <pic:spPr>
                          <a:xfrm>
                            <a:off x="0" y="0"/>
                            <a:ext cx="1314450" cy="114300"/>
                          </a:xfrm>
                          <a:prstGeom prst="rect">
                            <a:avLst/>
                          </a:prstGeom>
                          <a:noFill/>
                          <a:ln>
                            <a:noFill/>
                          </a:ln>
                        </pic:spPr>
                      </pic:pic>
                    </a:graphicData>
                  </a:graphic>
                </wp:inline>
              </w:drawing>
            </w:r>
            <w:r>
              <w:rPr>
                <w:rFonts w:ascii="Times New Roman" w:hAnsi="Times New Roman" w:eastAsia="Times New Roman" w:cs="Times New Roman"/>
                <w:kern w:val="0"/>
                <w:sz w:val="24"/>
              </w:rPr>
              <w:t>2.94%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D.不满意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4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24"/>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E.非常不满意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44"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5"/>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8.您认为西宁市前营街幼儿园（城中区第一幼儿园）的投入运营是否节约了您的保教费支出？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本题平均分：5</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584"/>
        <w:gridCol w:w="1058"/>
        <w:gridCol w:w="441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A.节约</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34</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3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6"/>
                          <pic:cNvPicPr>
                            <a:picLocks noChangeAspect="1"/>
                          </pic:cNvPicPr>
                        </pic:nvPicPr>
                        <pic:blipFill>
                          <a:blip r:embed="rId217"/>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B.未节约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34"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7"/>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9.您认为西宁市前营街幼儿园（城中区第一幼儿园）的投入运营对改善入园难的作用如何？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本题平均分：9.21</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55"/>
        <w:gridCol w:w="950"/>
        <w:gridCol w:w="425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22</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866775" cy="114300"/>
                  <wp:effectExtent l="0" t="0" r="9525" b="0"/>
                  <wp:docPr id="130"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8"/>
                          <pic:cNvPicPr>
                            <a:picLocks noChangeAspect="1"/>
                          </pic:cNvPicPr>
                        </pic:nvPicPr>
                        <pic:blipFill>
                          <a:blip r:embed="rId186"/>
                          <a:stretch>
                            <a:fillRect/>
                          </a:stretch>
                        </pic:blipFill>
                        <pic:spPr>
                          <a:xfrm>
                            <a:off x="0" y="0"/>
                            <a:ext cx="86677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485775" cy="114300"/>
                  <wp:effectExtent l="0" t="0" r="9525" b="0"/>
                  <wp:docPr id="131"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9"/>
                          <pic:cNvPicPr>
                            <a:picLocks noChangeAspect="1"/>
                          </pic:cNvPicPr>
                        </pic:nvPicPr>
                        <pic:blipFill>
                          <a:blip r:embed="rId187"/>
                          <a:stretch>
                            <a:fillRect/>
                          </a:stretch>
                        </pic:blipFill>
                        <pic:spPr>
                          <a:xfrm>
                            <a:off x="0" y="0"/>
                            <a:ext cx="485775" cy="114300"/>
                          </a:xfrm>
                          <a:prstGeom prst="rect">
                            <a:avLst/>
                          </a:prstGeom>
                          <a:noFill/>
                          <a:ln>
                            <a:noFill/>
                          </a:ln>
                        </pic:spPr>
                      </pic:pic>
                    </a:graphicData>
                  </a:graphic>
                </wp:inline>
              </w:drawing>
            </w:r>
            <w:r>
              <w:rPr>
                <w:rFonts w:ascii="Times New Roman" w:hAnsi="Times New Roman" w:eastAsia="Times New Roman" w:cs="Times New Roman"/>
                <w:kern w:val="0"/>
                <w:sz w:val="24"/>
              </w:rPr>
              <w:t>64.71%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11</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428625" cy="114300"/>
                  <wp:effectExtent l="0" t="0" r="9525" b="0"/>
                  <wp:docPr id="137"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0"/>
                          <pic:cNvPicPr>
                            <a:picLocks noChangeAspect="1"/>
                          </pic:cNvPicPr>
                        </pic:nvPicPr>
                        <pic:blipFill>
                          <a:blip r:embed="rId174"/>
                          <a:stretch>
                            <a:fillRect/>
                          </a:stretch>
                        </pic:blipFill>
                        <pic:spPr>
                          <a:xfrm>
                            <a:off x="0" y="0"/>
                            <a:ext cx="4286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23925" cy="114300"/>
                  <wp:effectExtent l="0" t="0" r="9525" b="0"/>
                  <wp:docPr id="148"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31"/>
                          <pic:cNvPicPr>
                            <a:picLocks noChangeAspect="1"/>
                          </pic:cNvPicPr>
                        </pic:nvPicPr>
                        <pic:blipFill>
                          <a:blip r:embed="rId175"/>
                          <a:stretch>
                            <a:fillRect/>
                          </a:stretch>
                        </pic:blipFill>
                        <pic:spPr>
                          <a:xfrm>
                            <a:off x="0" y="0"/>
                            <a:ext cx="923925" cy="114300"/>
                          </a:xfrm>
                          <a:prstGeom prst="rect">
                            <a:avLst/>
                          </a:prstGeom>
                          <a:noFill/>
                          <a:ln>
                            <a:noFill/>
                          </a:ln>
                        </pic:spPr>
                      </pic:pic>
                    </a:graphicData>
                  </a:graphic>
                </wp:inline>
              </w:drawing>
            </w:r>
            <w:r>
              <w:rPr>
                <w:rFonts w:ascii="Times New Roman" w:hAnsi="Times New Roman" w:eastAsia="Times New Roman" w:cs="Times New Roman"/>
                <w:kern w:val="0"/>
                <w:sz w:val="24"/>
              </w:rPr>
              <w:t>32.35%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 cy="114300"/>
                  <wp:effectExtent l="0" t="0" r="0" b="0"/>
                  <wp:docPr id="138"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2"/>
                          <pic:cNvPicPr>
                            <a:picLocks noChangeAspect="1"/>
                          </pic:cNvPicPr>
                        </pic:nvPicPr>
                        <pic:blipFill>
                          <a:blip r:embed="rId137"/>
                          <a:stretch>
                            <a:fillRect/>
                          </a:stretch>
                        </pic:blipFill>
                        <pic:spPr>
                          <a:xfrm>
                            <a:off x="0" y="0"/>
                            <a:ext cx="381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314450" cy="114300"/>
                  <wp:effectExtent l="0" t="0" r="0" b="0"/>
                  <wp:docPr id="139"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3"/>
                          <pic:cNvPicPr>
                            <a:picLocks noChangeAspect="1"/>
                          </pic:cNvPicPr>
                        </pic:nvPicPr>
                        <pic:blipFill>
                          <a:blip r:embed="rId138"/>
                          <a:stretch>
                            <a:fillRect/>
                          </a:stretch>
                        </pic:blipFill>
                        <pic:spPr>
                          <a:xfrm>
                            <a:off x="0" y="0"/>
                            <a:ext cx="1314450" cy="114300"/>
                          </a:xfrm>
                          <a:prstGeom prst="rect">
                            <a:avLst/>
                          </a:prstGeom>
                          <a:noFill/>
                          <a:ln>
                            <a:noFill/>
                          </a:ln>
                        </pic:spPr>
                      </pic:pic>
                    </a:graphicData>
                  </a:graphic>
                </wp:inline>
              </w:drawing>
            </w:r>
            <w:r>
              <w:rPr>
                <w:rFonts w:ascii="Times New Roman" w:hAnsi="Times New Roman" w:eastAsia="Times New Roman" w:cs="Times New Roman"/>
                <w:kern w:val="0"/>
                <w:sz w:val="24"/>
              </w:rPr>
              <w:t>2.94%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40"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4"/>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50"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35"/>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10.您认为西宁市前营街幼儿园（城中区第一幼儿园）的投入运营对扩大城中区学前教育资源作用如何？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本题平均分：9.24</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55"/>
        <w:gridCol w:w="950"/>
        <w:gridCol w:w="425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21</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828675" cy="114300"/>
                  <wp:effectExtent l="0" t="0" r="9525" b="0"/>
                  <wp:docPr id="12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36"/>
                          <pic:cNvPicPr>
                            <a:picLocks noChangeAspect="1"/>
                          </pic:cNvPicPr>
                        </pic:nvPicPr>
                        <pic:blipFill>
                          <a:blip r:embed="rId228"/>
                          <a:stretch>
                            <a:fillRect/>
                          </a:stretch>
                        </pic:blipFill>
                        <pic:spPr>
                          <a:xfrm>
                            <a:off x="0" y="0"/>
                            <a:ext cx="82867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523875" cy="114300"/>
                  <wp:effectExtent l="0" t="0" r="9525" b="0"/>
                  <wp:docPr id="141"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7"/>
                          <pic:cNvPicPr>
                            <a:picLocks noChangeAspect="1"/>
                          </pic:cNvPicPr>
                        </pic:nvPicPr>
                        <pic:blipFill>
                          <a:blip r:embed="rId229"/>
                          <a:stretch>
                            <a:fillRect/>
                          </a:stretch>
                        </pic:blipFill>
                        <pic:spPr>
                          <a:xfrm>
                            <a:off x="0" y="0"/>
                            <a:ext cx="523875" cy="114300"/>
                          </a:xfrm>
                          <a:prstGeom prst="rect">
                            <a:avLst/>
                          </a:prstGeom>
                          <a:noFill/>
                          <a:ln>
                            <a:noFill/>
                          </a:ln>
                        </pic:spPr>
                      </pic:pic>
                    </a:graphicData>
                  </a:graphic>
                </wp:inline>
              </w:drawing>
            </w:r>
            <w:r>
              <w:rPr>
                <w:rFonts w:ascii="Times New Roman" w:hAnsi="Times New Roman" w:eastAsia="Times New Roman" w:cs="Times New Roman"/>
                <w:kern w:val="0"/>
                <w:sz w:val="24"/>
              </w:rPr>
              <w:t>61.76%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13</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14350" cy="114300"/>
                  <wp:effectExtent l="0" t="0" r="0" b="0"/>
                  <wp:docPr id="155"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38"/>
                          <pic:cNvPicPr>
                            <a:picLocks noChangeAspect="1"/>
                          </pic:cNvPicPr>
                        </pic:nvPicPr>
                        <pic:blipFill>
                          <a:blip r:embed="rId145"/>
                          <a:stretch>
                            <a:fillRect/>
                          </a:stretch>
                        </pic:blipFill>
                        <pic:spPr>
                          <a:xfrm>
                            <a:off x="0" y="0"/>
                            <a:ext cx="5143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838200" cy="114300"/>
                  <wp:effectExtent l="0" t="0" r="0" b="0"/>
                  <wp:docPr id="143"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9"/>
                          <pic:cNvPicPr>
                            <a:picLocks noChangeAspect="1"/>
                          </pic:cNvPicPr>
                        </pic:nvPicPr>
                        <pic:blipFill>
                          <a:blip r:embed="rId146"/>
                          <a:stretch>
                            <a:fillRect/>
                          </a:stretch>
                        </pic:blipFill>
                        <pic:spPr>
                          <a:xfrm>
                            <a:off x="0" y="0"/>
                            <a:ext cx="838200" cy="114300"/>
                          </a:xfrm>
                          <a:prstGeom prst="rect">
                            <a:avLst/>
                          </a:prstGeom>
                          <a:noFill/>
                          <a:ln>
                            <a:noFill/>
                          </a:ln>
                        </pic:spPr>
                      </pic:pic>
                    </a:graphicData>
                  </a:graphic>
                </wp:inline>
              </w:drawing>
            </w:r>
            <w:r>
              <w:rPr>
                <w:rFonts w:ascii="Times New Roman" w:hAnsi="Times New Roman" w:eastAsia="Times New Roman" w:cs="Times New Roman"/>
                <w:kern w:val="0"/>
                <w:sz w:val="24"/>
              </w:rPr>
              <w:t>38.24%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52"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0"/>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53"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1"/>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5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42"/>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11.您认为西宁市前营街幼儿园（城中区第一幼儿园）的投入运营对提升学前教育水平作用如何？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本题平均分：9.35</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55"/>
        <w:gridCol w:w="950"/>
        <w:gridCol w:w="425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23</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914400" cy="114300"/>
                  <wp:effectExtent l="0" t="0" r="0" b="0"/>
                  <wp:docPr id="142"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3"/>
                          <pic:cNvPicPr>
                            <a:picLocks noChangeAspect="1"/>
                          </pic:cNvPicPr>
                        </pic:nvPicPr>
                        <pic:blipFill>
                          <a:blip r:embed="rId230"/>
                          <a:stretch>
                            <a:fillRect/>
                          </a:stretch>
                        </pic:blipFill>
                        <pic:spPr>
                          <a:xfrm>
                            <a:off x="0" y="0"/>
                            <a:ext cx="9144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438150" cy="114300"/>
                  <wp:effectExtent l="0" t="0" r="0" b="0"/>
                  <wp:docPr id="129"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44"/>
                          <pic:cNvPicPr>
                            <a:picLocks noChangeAspect="1"/>
                          </pic:cNvPicPr>
                        </pic:nvPicPr>
                        <pic:blipFill>
                          <a:blip r:embed="rId231"/>
                          <a:stretch>
                            <a:fillRect/>
                          </a:stretch>
                        </pic:blipFill>
                        <pic:spPr>
                          <a:xfrm>
                            <a:off x="0" y="0"/>
                            <a:ext cx="438150" cy="114300"/>
                          </a:xfrm>
                          <a:prstGeom prst="rect">
                            <a:avLst/>
                          </a:prstGeom>
                          <a:noFill/>
                          <a:ln>
                            <a:noFill/>
                          </a:ln>
                        </pic:spPr>
                      </pic:pic>
                    </a:graphicData>
                  </a:graphic>
                </wp:inline>
              </w:drawing>
            </w:r>
            <w:r>
              <w:rPr>
                <w:rFonts w:ascii="Times New Roman" w:hAnsi="Times New Roman" w:eastAsia="Times New Roman" w:cs="Times New Roman"/>
                <w:kern w:val="0"/>
                <w:sz w:val="24"/>
              </w:rPr>
              <w:t>67.65%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11</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428625" cy="114300"/>
                  <wp:effectExtent l="0" t="0" r="9525"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74"/>
                          <a:stretch>
                            <a:fillRect/>
                          </a:stretch>
                        </pic:blipFill>
                        <pic:spPr>
                          <a:xfrm>
                            <a:off x="0" y="0"/>
                            <a:ext cx="4286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23925" cy="114300"/>
                  <wp:effectExtent l="0" t="0" r="9525" b="0"/>
                  <wp:docPr id="133"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46"/>
                          <pic:cNvPicPr>
                            <a:picLocks noChangeAspect="1"/>
                          </pic:cNvPicPr>
                        </pic:nvPicPr>
                        <pic:blipFill>
                          <a:blip r:embed="rId175"/>
                          <a:stretch>
                            <a:fillRect/>
                          </a:stretch>
                        </pic:blipFill>
                        <pic:spPr>
                          <a:xfrm>
                            <a:off x="0" y="0"/>
                            <a:ext cx="923925" cy="114300"/>
                          </a:xfrm>
                          <a:prstGeom prst="rect">
                            <a:avLst/>
                          </a:prstGeom>
                          <a:noFill/>
                          <a:ln>
                            <a:noFill/>
                          </a:ln>
                        </pic:spPr>
                      </pic:pic>
                    </a:graphicData>
                  </a:graphic>
                </wp:inline>
              </w:drawing>
            </w:r>
            <w:r>
              <w:rPr>
                <w:rFonts w:ascii="Times New Roman" w:hAnsi="Times New Roman" w:eastAsia="Times New Roman" w:cs="Times New Roman"/>
                <w:kern w:val="0"/>
                <w:sz w:val="24"/>
              </w:rPr>
              <w:t>32.35%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32"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47"/>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4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8"/>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35"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49"/>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12.您认为西宁市前营街幼儿园（城中区第一幼儿园）的投入运营对完善学前教育体系作用如何？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本题平均分：9.15</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21</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828675" cy="114300"/>
                  <wp:effectExtent l="0" t="0" r="9525" b="0"/>
                  <wp:docPr id="154"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0"/>
                          <pic:cNvPicPr>
                            <a:picLocks noChangeAspect="1"/>
                          </pic:cNvPicPr>
                        </pic:nvPicPr>
                        <pic:blipFill>
                          <a:blip r:embed="rId228"/>
                          <a:stretch>
                            <a:fillRect/>
                          </a:stretch>
                        </pic:blipFill>
                        <pic:spPr>
                          <a:xfrm>
                            <a:off x="0" y="0"/>
                            <a:ext cx="82867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523875" cy="114300"/>
                  <wp:effectExtent l="0" t="0" r="9525"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229"/>
                          <a:stretch>
                            <a:fillRect/>
                          </a:stretch>
                        </pic:blipFill>
                        <pic:spPr>
                          <a:xfrm>
                            <a:off x="0" y="0"/>
                            <a:ext cx="523875" cy="114300"/>
                          </a:xfrm>
                          <a:prstGeom prst="rect">
                            <a:avLst/>
                          </a:prstGeom>
                          <a:noFill/>
                          <a:ln>
                            <a:noFill/>
                          </a:ln>
                        </pic:spPr>
                      </pic:pic>
                    </a:graphicData>
                  </a:graphic>
                </wp:inline>
              </w:drawing>
            </w:r>
            <w:r>
              <w:rPr>
                <w:rFonts w:ascii="Times New Roman" w:hAnsi="Times New Roman" w:eastAsia="Times New Roman" w:cs="Times New Roman"/>
                <w:kern w:val="0"/>
                <w:sz w:val="24"/>
              </w:rPr>
              <w:t>61.76%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12</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476250" cy="114300"/>
                  <wp:effectExtent l="0" t="0" r="0" b="0"/>
                  <wp:docPr id="157"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2"/>
                          <pic:cNvPicPr>
                            <a:picLocks noChangeAspect="1"/>
                          </pic:cNvPicPr>
                        </pic:nvPicPr>
                        <pic:blipFill>
                          <a:blip r:embed="rId232"/>
                          <a:stretch>
                            <a:fillRect/>
                          </a:stretch>
                        </pic:blipFill>
                        <pic:spPr>
                          <a:xfrm>
                            <a:off x="0" y="0"/>
                            <a:ext cx="4762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876300" cy="114300"/>
                  <wp:effectExtent l="0" t="0" r="0" b="0"/>
                  <wp:docPr id="158"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3"/>
                          <pic:cNvPicPr>
                            <a:picLocks noChangeAspect="1"/>
                          </pic:cNvPicPr>
                        </pic:nvPicPr>
                        <pic:blipFill>
                          <a:blip r:embed="rId233"/>
                          <a:stretch>
                            <a:fillRect/>
                          </a:stretch>
                        </pic:blipFill>
                        <pic:spPr>
                          <a:xfrm>
                            <a:off x="0" y="0"/>
                            <a:ext cx="876300" cy="114300"/>
                          </a:xfrm>
                          <a:prstGeom prst="rect">
                            <a:avLst/>
                          </a:prstGeom>
                          <a:noFill/>
                          <a:ln>
                            <a:noFill/>
                          </a:ln>
                        </pic:spPr>
                      </pic:pic>
                    </a:graphicData>
                  </a:graphic>
                </wp:inline>
              </w:drawing>
            </w:r>
            <w:r>
              <w:rPr>
                <w:rFonts w:ascii="Times New Roman" w:hAnsi="Times New Roman" w:eastAsia="Times New Roman" w:cs="Times New Roman"/>
                <w:kern w:val="0"/>
                <w:sz w:val="24"/>
              </w:rPr>
              <w:t>35.29%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 cy="114300"/>
                  <wp:effectExtent l="0" t="0" r="0" b="0"/>
                  <wp:docPr id="12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54"/>
                          <pic:cNvPicPr>
                            <a:picLocks noChangeAspect="1"/>
                          </pic:cNvPicPr>
                        </pic:nvPicPr>
                        <pic:blipFill>
                          <a:blip r:embed="rId137"/>
                          <a:stretch>
                            <a:fillRect/>
                          </a:stretch>
                        </pic:blipFill>
                        <pic:spPr>
                          <a:xfrm>
                            <a:off x="0" y="0"/>
                            <a:ext cx="381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314450" cy="114300"/>
                  <wp:effectExtent l="0" t="0" r="0" b="0"/>
                  <wp:docPr id="172"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55"/>
                          <pic:cNvPicPr>
                            <a:picLocks noChangeAspect="1"/>
                          </pic:cNvPicPr>
                        </pic:nvPicPr>
                        <pic:blipFill>
                          <a:blip r:embed="rId138"/>
                          <a:stretch>
                            <a:fillRect/>
                          </a:stretch>
                        </pic:blipFill>
                        <pic:spPr>
                          <a:xfrm>
                            <a:off x="0" y="0"/>
                            <a:ext cx="1314450" cy="114300"/>
                          </a:xfrm>
                          <a:prstGeom prst="rect">
                            <a:avLst/>
                          </a:prstGeom>
                          <a:noFill/>
                          <a:ln>
                            <a:noFill/>
                          </a:ln>
                        </pic:spPr>
                      </pic:pic>
                    </a:graphicData>
                  </a:graphic>
                </wp:inline>
              </w:drawing>
            </w:r>
            <w:r>
              <w:rPr>
                <w:rFonts w:ascii="Times New Roman" w:hAnsi="Times New Roman" w:eastAsia="Times New Roman" w:cs="Times New Roman"/>
                <w:kern w:val="0"/>
                <w:sz w:val="24"/>
              </w:rPr>
              <w:t>2.94%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67"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56"/>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62"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57"/>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13.您认为西宁市前营街幼儿园（城中区第一幼儿园）的投入运营对推动学前教育事业发展作用如何？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本题平均分：9.26</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23</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914400" cy="114300"/>
                  <wp:effectExtent l="0" t="0" r="0" b="0"/>
                  <wp:docPr id="169"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58"/>
                          <pic:cNvPicPr>
                            <a:picLocks noChangeAspect="1"/>
                          </pic:cNvPicPr>
                        </pic:nvPicPr>
                        <pic:blipFill>
                          <a:blip r:embed="rId230"/>
                          <a:stretch>
                            <a:fillRect/>
                          </a:stretch>
                        </pic:blipFill>
                        <pic:spPr>
                          <a:xfrm>
                            <a:off x="0" y="0"/>
                            <a:ext cx="9144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438150" cy="114300"/>
                  <wp:effectExtent l="0" t="0" r="0" b="0"/>
                  <wp:docPr id="171"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59"/>
                          <pic:cNvPicPr>
                            <a:picLocks noChangeAspect="1"/>
                          </pic:cNvPicPr>
                        </pic:nvPicPr>
                        <pic:blipFill>
                          <a:blip r:embed="rId231"/>
                          <a:stretch>
                            <a:fillRect/>
                          </a:stretch>
                        </pic:blipFill>
                        <pic:spPr>
                          <a:xfrm>
                            <a:off x="0" y="0"/>
                            <a:ext cx="438150" cy="114300"/>
                          </a:xfrm>
                          <a:prstGeom prst="rect">
                            <a:avLst/>
                          </a:prstGeom>
                          <a:noFill/>
                          <a:ln>
                            <a:noFill/>
                          </a:ln>
                        </pic:spPr>
                      </pic:pic>
                    </a:graphicData>
                  </a:graphic>
                </wp:inline>
              </w:drawing>
            </w:r>
            <w:r>
              <w:rPr>
                <w:rFonts w:ascii="Times New Roman" w:hAnsi="Times New Roman" w:eastAsia="Times New Roman" w:cs="Times New Roman"/>
                <w:kern w:val="0"/>
                <w:sz w:val="24"/>
              </w:rPr>
              <w:t>67.65%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90525" cy="114300"/>
                  <wp:effectExtent l="0" t="0" r="9525" b="0"/>
                  <wp:docPr id="163"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0"/>
                          <pic:cNvPicPr>
                            <a:picLocks noChangeAspect="1"/>
                          </pic:cNvPicPr>
                        </pic:nvPicPr>
                        <pic:blipFill>
                          <a:blip r:embed="rId234"/>
                          <a:stretch>
                            <a:fillRect/>
                          </a:stretch>
                        </pic:blipFill>
                        <pic:spPr>
                          <a:xfrm>
                            <a:off x="0" y="0"/>
                            <a:ext cx="3905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62025" cy="114300"/>
                  <wp:effectExtent l="0" t="0" r="9525" b="0"/>
                  <wp:docPr id="168"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1"/>
                          <pic:cNvPicPr>
                            <a:picLocks noChangeAspect="1"/>
                          </pic:cNvPicPr>
                        </pic:nvPicPr>
                        <pic:blipFill>
                          <a:blip r:embed="rId235"/>
                          <a:stretch>
                            <a:fillRect/>
                          </a:stretch>
                        </pic:blipFill>
                        <pic:spPr>
                          <a:xfrm>
                            <a:off x="0" y="0"/>
                            <a:ext cx="962025" cy="114300"/>
                          </a:xfrm>
                          <a:prstGeom prst="rect">
                            <a:avLst/>
                          </a:prstGeom>
                          <a:noFill/>
                          <a:ln>
                            <a:noFill/>
                          </a:ln>
                        </pic:spPr>
                      </pic:pic>
                    </a:graphicData>
                  </a:graphic>
                </wp:inline>
              </w:drawing>
            </w:r>
            <w:r>
              <w:rPr>
                <w:rFonts w:ascii="Times New Roman" w:hAnsi="Times New Roman" w:eastAsia="Times New Roman" w:cs="Times New Roman"/>
                <w:kern w:val="0"/>
                <w:sz w:val="24"/>
              </w:rPr>
              <w:t>29.41%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 cy="114300"/>
                  <wp:effectExtent l="0" t="0" r="0" b="0"/>
                  <wp:docPr id="170"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62"/>
                          <pic:cNvPicPr>
                            <a:picLocks noChangeAspect="1"/>
                          </pic:cNvPicPr>
                        </pic:nvPicPr>
                        <pic:blipFill>
                          <a:blip r:embed="rId137"/>
                          <a:stretch>
                            <a:fillRect/>
                          </a:stretch>
                        </pic:blipFill>
                        <pic:spPr>
                          <a:xfrm>
                            <a:off x="0" y="0"/>
                            <a:ext cx="381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314450" cy="114300"/>
                  <wp:effectExtent l="0" t="0" r="0" b="0"/>
                  <wp:docPr id="161"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3"/>
                          <pic:cNvPicPr>
                            <a:picLocks noChangeAspect="1"/>
                          </pic:cNvPicPr>
                        </pic:nvPicPr>
                        <pic:blipFill>
                          <a:blip r:embed="rId138"/>
                          <a:stretch>
                            <a:fillRect/>
                          </a:stretch>
                        </pic:blipFill>
                        <pic:spPr>
                          <a:xfrm>
                            <a:off x="0" y="0"/>
                            <a:ext cx="1314450" cy="114300"/>
                          </a:xfrm>
                          <a:prstGeom prst="rect">
                            <a:avLst/>
                          </a:prstGeom>
                          <a:noFill/>
                          <a:ln>
                            <a:noFill/>
                          </a:ln>
                        </pic:spPr>
                      </pic:pic>
                    </a:graphicData>
                  </a:graphic>
                </wp:inline>
              </w:drawing>
            </w:r>
            <w:r>
              <w:rPr>
                <w:rFonts w:ascii="Times New Roman" w:hAnsi="Times New Roman" w:eastAsia="Times New Roman" w:cs="Times New Roman"/>
                <w:kern w:val="0"/>
                <w:sz w:val="24"/>
              </w:rPr>
              <w:t>2.94%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14.您对西宁市前营街幼儿园（城中区第一幼儿园）建设及投入运营整体是否满意？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本题平均分：14.12</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24</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952500" cy="114300"/>
                  <wp:effectExtent l="0" t="0" r="0" b="0"/>
                  <wp:docPr id="159"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66"/>
                          <pic:cNvPicPr>
                            <a:picLocks noChangeAspect="1"/>
                          </pic:cNvPicPr>
                        </pic:nvPicPr>
                        <pic:blipFill>
                          <a:blip r:embed="rId236"/>
                          <a:stretch>
                            <a:fillRect/>
                          </a:stretch>
                        </pic:blipFill>
                        <pic:spPr>
                          <a:xfrm>
                            <a:off x="0" y="0"/>
                            <a:ext cx="952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400050" cy="114300"/>
                  <wp:effectExtent l="0" t="0" r="0" b="0"/>
                  <wp:docPr id="173"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67"/>
                          <pic:cNvPicPr>
                            <a:picLocks noChangeAspect="1"/>
                          </pic:cNvPicPr>
                        </pic:nvPicPr>
                        <pic:blipFill>
                          <a:blip r:embed="rId237"/>
                          <a:stretch>
                            <a:fillRect/>
                          </a:stretch>
                        </pic:blipFill>
                        <pic:spPr>
                          <a:xfrm>
                            <a:off x="0" y="0"/>
                            <a:ext cx="400050" cy="114300"/>
                          </a:xfrm>
                          <a:prstGeom prst="rect">
                            <a:avLst/>
                          </a:prstGeom>
                          <a:noFill/>
                          <a:ln>
                            <a:noFill/>
                          </a:ln>
                        </pic:spPr>
                      </pic:pic>
                    </a:graphicData>
                  </a:graphic>
                </wp:inline>
              </w:drawing>
            </w:r>
            <w:r>
              <w:rPr>
                <w:rFonts w:ascii="Times New Roman" w:hAnsi="Times New Roman" w:eastAsia="Times New Roman" w:cs="Times New Roman"/>
                <w:kern w:val="0"/>
                <w:sz w:val="24"/>
              </w:rPr>
              <w:t>70.59%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90525" cy="114300"/>
                  <wp:effectExtent l="0" t="0" r="9525" b="0"/>
                  <wp:docPr id="176"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68"/>
                          <pic:cNvPicPr>
                            <a:picLocks noChangeAspect="1"/>
                          </pic:cNvPicPr>
                        </pic:nvPicPr>
                        <pic:blipFill>
                          <a:blip r:embed="rId234"/>
                          <a:stretch>
                            <a:fillRect/>
                          </a:stretch>
                        </pic:blipFill>
                        <pic:spPr>
                          <a:xfrm>
                            <a:off x="0" y="0"/>
                            <a:ext cx="3905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62025" cy="114300"/>
                  <wp:effectExtent l="0" t="0" r="9525" b="0"/>
                  <wp:docPr id="17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69"/>
                          <pic:cNvPicPr>
                            <a:picLocks noChangeAspect="1"/>
                          </pic:cNvPicPr>
                        </pic:nvPicPr>
                        <pic:blipFill>
                          <a:blip r:embed="rId235"/>
                          <a:stretch>
                            <a:fillRect/>
                          </a:stretch>
                        </pic:blipFill>
                        <pic:spPr>
                          <a:xfrm>
                            <a:off x="0" y="0"/>
                            <a:ext cx="962025" cy="114300"/>
                          </a:xfrm>
                          <a:prstGeom prst="rect">
                            <a:avLst/>
                          </a:prstGeom>
                          <a:noFill/>
                          <a:ln>
                            <a:noFill/>
                          </a:ln>
                        </pic:spPr>
                      </pic:pic>
                    </a:graphicData>
                  </a:graphic>
                </wp:inline>
              </w:drawing>
            </w:r>
            <w:r>
              <w:rPr>
                <w:rFonts w:ascii="Times New Roman" w:hAnsi="Times New Roman" w:eastAsia="Times New Roman" w:cs="Times New Roman"/>
                <w:kern w:val="0"/>
                <w:sz w:val="24"/>
              </w:rPr>
              <w:t>29.41%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74"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0"/>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60"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71"/>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166"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72"/>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overflowPunct/>
        <w:topLinePunct w:val="0"/>
        <w:bidi w:val="0"/>
        <w:spacing w:line="576" w:lineRule="exact"/>
        <w:ind w:left="0" w:leftChars="0" w:firstLine="0" w:firstLineChars="0"/>
        <w:rPr>
          <w:rFonts w:hint="default" w:ascii="Helvetica" w:hAnsi="Helvetica" w:eastAsia="Helvetica" w:cs="Helvetica"/>
          <w:b/>
          <w:bCs/>
          <w:i w:val="0"/>
          <w:iCs w:val="0"/>
          <w:caps w:val="0"/>
          <w:color w:val="1EA0FA"/>
          <w:spacing w:val="0"/>
          <w:sz w:val="20"/>
          <w:szCs w:val="20"/>
          <w:shd w:val="clear" w:fill="FFFFFF"/>
        </w:rPr>
      </w:pPr>
      <w:r>
        <w:rPr>
          <w:rFonts w:ascii="Helvetica" w:hAnsi="Helvetica" w:eastAsia="Helvetica" w:cs="Helvetica"/>
          <w:b/>
          <w:bCs/>
          <w:i w:val="0"/>
          <w:iCs w:val="0"/>
          <w:caps w:val="0"/>
          <w:color w:val="333333"/>
          <w:spacing w:val="0"/>
          <w:sz w:val="20"/>
          <w:szCs w:val="20"/>
          <w:shd w:val="clear" w:fill="FFFFFF"/>
        </w:rPr>
        <w:t>题目平均分之和：</w:t>
      </w:r>
      <w:r>
        <w:rPr>
          <w:rFonts w:hint="default" w:ascii="Helvetica" w:hAnsi="Helvetica" w:eastAsia="Helvetica" w:cs="Helvetica"/>
          <w:b/>
          <w:bCs/>
          <w:i w:val="0"/>
          <w:iCs w:val="0"/>
          <w:caps w:val="0"/>
          <w:color w:val="1EA0FA"/>
          <w:spacing w:val="0"/>
          <w:sz w:val="20"/>
          <w:szCs w:val="20"/>
          <w:shd w:val="clear" w:fill="FFFFFF"/>
        </w:rPr>
        <w:t>92.94</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15.您对西宁市前营街幼儿园（城中区第一幼儿园）建设项目还有什么意见或建议?   </w:t>
      </w:r>
      <w:r>
        <w:rPr>
          <w:rFonts w:ascii="Times New Roman" w:hAnsi="Times New Roman" w:eastAsia="Times New Roman" w:cs="Times New Roman"/>
          <w:b w:val="0"/>
          <w:color w:val="0066FF"/>
          <w:kern w:val="0"/>
          <w:sz w:val="24"/>
        </w:rPr>
        <w:t>[填空题]</w:t>
      </w:r>
    </w:p>
    <w:p>
      <w:pPr>
        <w:pageBreakBefore w:val="0"/>
        <w:widowControl/>
        <w:overflowPunct/>
        <w:topLinePunct w:val="0"/>
        <w:bidi w:val="0"/>
        <w:spacing w:line="576" w:lineRule="exact"/>
        <w:ind w:left="0" w:leftChars="0" w:firstLine="480" w:firstLineChars="200"/>
        <w:jc w:val="left"/>
        <w:rPr>
          <w:rFonts w:hint="default" w:ascii="Times New Roman" w:hAnsi="Times New Roman" w:eastAsia="Times New Roman" w:cs="Times New Roman"/>
          <w:b/>
          <w:bCs/>
          <w:color w:val="000000"/>
          <w:kern w:val="0"/>
          <w:sz w:val="24"/>
          <w:lang w:val="en-US" w:eastAsia="zh-CN"/>
        </w:rPr>
      </w:pPr>
      <w:r>
        <w:rPr>
          <w:rFonts w:hint="eastAsia" w:ascii="Times New Roman" w:hAnsi="Times New Roman" w:eastAsia="Times New Roman" w:cs="Times New Roman"/>
          <w:b/>
          <w:bCs/>
          <w:color w:val="000000"/>
          <w:kern w:val="0"/>
          <w:sz w:val="24"/>
          <w:lang w:val="en-US" w:eastAsia="zh-CN"/>
        </w:rPr>
        <w:t>无意见</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宋体" w:hAnsi="宋体" w:eastAsia="宋体" w:cs="宋体"/>
          <w:b/>
          <w:color w:val="000000"/>
          <w:kern w:val="0"/>
          <w:sz w:val="28"/>
          <w:szCs w:val="28"/>
          <w:lang w:val="en-US" w:eastAsia="zh-CN"/>
        </w:rPr>
      </w:pPr>
    </w:p>
    <w:p>
      <w:pPr>
        <w:pageBreakBefore w:val="0"/>
        <w:overflowPunct/>
        <w:topLinePunct w:val="0"/>
        <w:bidi w:val="0"/>
        <w:spacing w:line="576" w:lineRule="exact"/>
        <w:ind w:left="0" w:leftChars="0"/>
        <w:rPr>
          <w:rFonts w:hint="eastAsia" w:ascii="宋体" w:hAnsi="宋体" w:eastAsia="宋体" w:cs="宋体"/>
          <w:b/>
          <w:color w:val="000000"/>
          <w:kern w:val="0"/>
          <w:sz w:val="28"/>
          <w:szCs w:val="28"/>
          <w:lang w:val="en-US" w:eastAsia="zh-CN"/>
        </w:rPr>
      </w:pPr>
      <w:r>
        <w:rPr>
          <w:rFonts w:hint="eastAsia" w:ascii="宋体" w:hAnsi="宋体" w:eastAsia="宋体" w:cs="宋体"/>
          <w:b/>
          <w:color w:val="000000"/>
          <w:kern w:val="0"/>
          <w:sz w:val="28"/>
          <w:szCs w:val="28"/>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both"/>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lang w:val="en-US" w:eastAsia="zh-CN"/>
        </w:rPr>
        <w:t>西宁市城中区前营街幼儿园（城中区第一幼儿园）建设</w:t>
      </w:r>
      <w:r>
        <w:rPr>
          <w:rFonts w:hint="eastAsia" w:ascii="宋体" w:hAnsi="宋体" w:eastAsia="宋体" w:cs="宋体"/>
          <w:b/>
          <w:color w:val="000000"/>
          <w:kern w:val="0"/>
          <w:sz w:val="28"/>
          <w:szCs w:val="28"/>
        </w:rPr>
        <w:t>项目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color w:val="000000"/>
          <w:kern w:val="0"/>
          <w:sz w:val="28"/>
          <w:szCs w:val="28"/>
          <w:lang w:val="en-US" w:eastAsia="zh-CN"/>
        </w:rPr>
      </w:pPr>
      <w:r>
        <w:rPr>
          <w:rFonts w:hint="eastAsia" w:ascii="宋体" w:hAnsi="宋体" w:eastAsia="宋体" w:cs="宋体"/>
          <w:b/>
          <w:color w:val="000000"/>
          <w:kern w:val="0"/>
          <w:sz w:val="28"/>
          <w:szCs w:val="28"/>
          <w:lang w:val="en-US" w:eastAsia="zh-CN"/>
        </w:rPr>
        <w:t>调查问卷统计情况</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color w:val="000000"/>
          <w:kern w:val="0"/>
          <w:sz w:val="28"/>
          <w:szCs w:val="28"/>
          <w:lang w:val="en-US" w:eastAsia="zh-CN"/>
        </w:rPr>
      </w:pPr>
      <w:r>
        <w:rPr>
          <w:rFonts w:hint="eastAsia" w:ascii="宋体" w:hAnsi="宋体" w:eastAsia="宋体" w:cs="宋体"/>
          <w:b/>
          <w:color w:val="000000"/>
          <w:kern w:val="0"/>
          <w:sz w:val="28"/>
          <w:szCs w:val="28"/>
          <w:lang w:val="en-US" w:eastAsia="zh-CN"/>
        </w:rPr>
        <w:t>（儿童家长）</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40"/>
          <w:szCs w:val="32"/>
        </w:rPr>
      </w:pPr>
      <w:r>
        <w:rPr>
          <w:rFonts w:ascii="Times New Roman" w:hAnsi="Times New Roman" w:eastAsia="Times New Roman" w:cs="Times New Roman"/>
          <w:color w:val="444444"/>
          <w:kern w:val="0"/>
          <w:sz w:val="24"/>
          <w:szCs w:val="24"/>
          <w:rtl w:val="0"/>
        </w:rPr>
        <w:t>一、基本信息</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1.您的身份是?   </w:t>
      </w:r>
      <w:r>
        <w:rPr>
          <w:rFonts w:ascii="Times New Roman" w:hAnsi="Times New Roman" w:eastAsia="Times New Roman" w:cs="Times New Roman"/>
          <w:b w:val="0"/>
          <w:color w:val="0066FF"/>
          <w:kern w:val="0"/>
          <w:sz w:val="24"/>
        </w:rPr>
        <w:t>[单选题]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73"/>
        <w:gridCol w:w="1099"/>
        <w:gridCol w:w="45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A.在校教师</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480"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图片 468"/>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B.家长</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332</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481"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69"/>
                          <pic:cNvPicPr>
                            <a:picLocks noChangeAspect="1"/>
                          </pic:cNvPicPr>
                        </pic:nvPicPr>
                        <pic:blipFill>
                          <a:blip r:embed="rId217"/>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C.其他人员</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13"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470"/>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332</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2.您的性别?   </w:t>
      </w:r>
      <w:r>
        <w:rPr>
          <w:rFonts w:ascii="Times New Roman" w:hAnsi="Times New Roman" w:eastAsia="Times New Roman" w:cs="Times New Roman"/>
          <w:b w:val="0"/>
          <w:color w:val="0066FF"/>
          <w:kern w:val="0"/>
          <w:sz w:val="24"/>
        </w:rPr>
        <w:t>[单选题]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A.男</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72</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285750" cy="114300"/>
                  <wp:effectExtent l="0" t="0" r="0" b="0"/>
                  <wp:docPr id="492"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图片 471"/>
                          <pic:cNvPicPr>
                            <a:picLocks noChangeAspect="1"/>
                          </pic:cNvPicPr>
                        </pic:nvPicPr>
                        <pic:blipFill>
                          <a:blip r:embed="rId149"/>
                          <a:stretch>
                            <a:fillRect/>
                          </a:stretch>
                        </pic:blipFill>
                        <pic:spPr>
                          <a:xfrm>
                            <a:off x="0" y="0"/>
                            <a:ext cx="2857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066800" cy="114300"/>
                  <wp:effectExtent l="0" t="0" r="0" b="0"/>
                  <wp:docPr id="491"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图片 472"/>
                          <pic:cNvPicPr>
                            <a:picLocks noChangeAspect="1"/>
                          </pic:cNvPicPr>
                        </pic:nvPicPr>
                        <pic:blipFill>
                          <a:blip r:embed="rId150"/>
                          <a:stretch>
                            <a:fillRect/>
                          </a:stretch>
                        </pic:blipFill>
                        <pic:spPr>
                          <a:xfrm>
                            <a:off x="0" y="0"/>
                            <a:ext cx="1066800" cy="114300"/>
                          </a:xfrm>
                          <a:prstGeom prst="rect">
                            <a:avLst/>
                          </a:prstGeom>
                          <a:noFill/>
                          <a:ln>
                            <a:noFill/>
                          </a:ln>
                        </pic:spPr>
                      </pic:pic>
                    </a:graphicData>
                  </a:graphic>
                </wp:inline>
              </w:drawing>
            </w:r>
            <w:r>
              <w:rPr>
                <w:rFonts w:ascii="Times New Roman" w:hAnsi="Times New Roman" w:eastAsia="Times New Roman" w:cs="Times New Roman"/>
                <w:kern w:val="0"/>
                <w:sz w:val="24"/>
              </w:rPr>
              <w:t>21.69%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B.女</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260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057275" cy="114300"/>
                  <wp:effectExtent l="0" t="0" r="9525" b="0"/>
                  <wp:docPr id="487"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473"/>
                          <pic:cNvPicPr>
                            <a:picLocks noChangeAspect="1"/>
                          </pic:cNvPicPr>
                        </pic:nvPicPr>
                        <pic:blipFill>
                          <a:blip r:embed="rId238"/>
                          <a:stretch>
                            <a:fillRect/>
                          </a:stretch>
                        </pic:blipFill>
                        <pic:spPr>
                          <a:xfrm>
                            <a:off x="0" y="0"/>
                            <a:ext cx="105727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295275" cy="114300"/>
                  <wp:effectExtent l="0" t="0" r="9525" b="0"/>
                  <wp:docPr id="509"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474"/>
                          <pic:cNvPicPr>
                            <a:picLocks noChangeAspect="1"/>
                          </pic:cNvPicPr>
                        </pic:nvPicPr>
                        <pic:blipFill>
                          <a:blip r:embed="rId239"/>
                          <a:stretch>
                            <a:fillRect/>
                          </a:stretch>
                        </pic:blipFill>
                        <pic:spPr>
                          <a:xfrm>
                            <a:off x="0" y="0"/>
                            <a:ext cx="295275" cy="114300"/>
                          </a:xfrm>
                          <a:prstGeom prst="rect">
                            <a:avLst/>
                          </a:prstGeom>
                          <a:noFill/>
                          <a:ln>
                            <a:noFill/>
                          </a:ln>
                        </pic:spPr>
                      </pic:pic>
                    </a:graphicData>
                  </a:graphic>
                </wp:inline>
              </w:drawing>
            </w:r>
            <w:r>
              <w:rPr>
                <w:rFonts w:ascii="Times New Roman" w:hAnsi="Times New Roman" w:eastAsia="Times New Roman" w:cs="Times New Roman"/>
                <w:kern w:val="0"/>
                <w:sz w:val="24"/>
              </w:rPr>
              <w:t>78.31%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332</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3.您的年龄?   </w:t>
      </w:r>
      <w:r>
        <w:rPr>
          <w:rFonts w:ascii="Times New Roman" w:hAnsi="Times New Roman" w:eastAsia="Times New Roman" w:cs="Times New Roman"/>
          <w:b w:val="0"/>
          <w:color w:val="0066FF"/>
          <w:kern w:val="0"/>
          <w:sz w:val="24"/>
        </w:rPr>
        <w:t>[单选题]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70"/>
        <w:gridCol w:w="1066"/>
        <w:gridCol w:w="472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A.18岁以下</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488"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475"/>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B.18-29岁</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25</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95250" cy="114300"/>
                  <wp:effectExtent l="0" t="0" r="0" b="0"/>
                  <wp:docPr id="511"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476"/>
                          <pic:cNvPicPr>
                            <a:picLocks noChangeAspect="1"/>
                          </pic:cNvPicPr>
                        </pic:nvPicPr>
                        <pic:blipFill>
                          <a:blip r:embed="rId81"/>
                          <a:stretch>
                            <a:fillRect/>
                          </a:stretch>
                        </pic:blipFill>
                        <pic:spPr>
                          <a:xfrm>
                            <a:off x="0" y="0"/>
                            <a:ext cx="952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257300" cy="114300"/>
                  <wp:effectExtent l="0" t="0" r="0" b="0"/>
                  <wp:docPr id="495"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77"/>
                          <pic:cNvPicPr>
                            <a:picLocks noChangeAspect="1"/>
                          </pic:cNvPicPr>
                        </pic:nvPicPr>
                        <pic:blipFill>
                          <a:blip r:embed="rId82"/>
                          <a:stretch>
                            <a:fillRect/>
                          </a:stretch>
                        </pic:blipFill>
                        <pic:spPr>
                          <a:xfrm>
                            <a:off x="0" y="0"/>
                            <a:ext cx="1257300" cy="114300"/>
                          </a:xfrm>
                          <a:prstGeom prst="rect">
                            <a:avLst/>
                          </a:prstGeom>
                          <a:noFill/>
                          <a:ln>
                            <a:noFill/>
                          </a:ln>
                        </pic:spPr>
                      </pic:pic>
                    </a:graphicData>
                  </a:graphic>
                </wp:inline>
              </w:drawing>
            </w:r>
            <w:r>
              <w:rPr>
                <w:rFonts w:ascii="Times New Roman" w:hAnsi="Times New Roman" w:eastAsia="Times New Roman" w:cs="Times New Roman"/>
                <w:kern w:val="0"/>
                <w:sz w:val="24"/>
              </w:rPr>
              <w:t>7.53%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C.30-44岁</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292</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181100" cy="114300"/>
                  <wp:effectExtent l="0" t="0" r="0" b="0"/>
                  <wp:docPr id="510"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478"/>
                          <pic:cNvPicPr>
                            <a:picLocks noChangeAspect="1"/>
                          </pic:cNvPicPr>
                        </pic:nvPicPr>
                        <pic:blipFill>
                          <a:blip r:embed="rId240"/>
                          <a:stretch>
                            <a:fillRect/>
                          </a:stretch>
                        </pic:blipFill>
                        <pic:spPr>
                          <a:xfrm>
                            <a:off x="0" y="0"/>
                            <a:ext cx="11811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71450" cy="114300"/>
                  <wp:effectExtent l="0" t="0" r="0" b="0"/>
                  <wp:docPr id="485"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图片 479"/>
                          <pic:cNvPicPr>
                            <a:picLocks noChangeAspect="1"/>
                          </pic:cNvPicPr>
                        </pic:nvPicPr>
                        <pic:blipFill>
                          <a:blip r:embed="rId241"/>
                          <a:stretch>
                            <a:fillRect/>
                          </a:stretch>
                        </pic:blipFill>
                        <pic:spPr>
                          <a:xfrm>
                            <a:off x="0" y="0"/>
                            <a:ext cx="171450" cy="114300"/>
                          </a:xfrm>
                          <a:prstGeom prst="rect">
                            <a:avLst/>
                          </a:prstGeom>
                          <a:noFill/>
                          <a:ln>
                            <a:noFill/>
                          </a:ln>
                        </pic:spPr>
                      </pic:pic>
                    </a:graphicData>
                  </a:graphic>
                </wp:inline>
              </w:drawing>
            </w:r>
            <w:r>
              <w:rPr>
                <w:rFonts w:ascii="Times New Roman" w:hAnsi="Times New Roman" w:eastAsia="Times New Roman" w:cs="Times New Roman"/>
                <w:kern w:val="0"/>
                <w:sz w:val="24"/>
              </w:rPr>
              <w:t>87.95%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D.45-64岁</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15</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7150" cy="114300"/>
                  <wp:effectExtent l="0" t="0" r="0" b="0"/>
                  <wp:docPr id="49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80"/>
                          <pic:cNvPicPr>
                            <a:picLocks noChangeAspect="1"/>
                          </pic:cNvPicPr>
                        </pic:nvPicPr>
                        <pic:blipFill>
                          <a:blip r:embed="rId99"/>
                          <a:stretch>
                            <a:fillRect/>
                          </a:stretch>
                        </pic:blipFill>
                        <pic:spPr>
                          <a:xfrm>
                            <a:off x="0" y="0"/>
                            <a:ext cx="571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295400" cy="114300"/>
                  <wp:effectExtent l="0" t="0" r="0" b="0"/>
                  <wp:docPr id="507"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481"/>
                          <pic:cNvPicPr>
                            <a:picLocks noChangeAspect="1"/>
                          </pic:cNvPicPr>
                        </pic:nvPicPr>
                        <pic:blipFill>
                          <a:blip r:embed="rId100"/>
                          <a:stretch>
                            <a:fillRect/>
                          </a:stretch>
                        </pic:blipFill>
                        <pic:spPr>
                          <a:xfrm>
                            <a:off x="0" y="0"/>
                            <a:ext cx="1295400" cy="114300"/>
                          </a:xfrm>
                          <a:prstGeom prst="rect">
                            <a:avLst/>
                          </a:prstGeom>
                          <a:noFill/>
                          <a:ln>
                            <a:noFill/>
                          </a:ln>
                        </pic:spPr>
                      </pic:pic>
                    </a:graphicData>
                  </a:graphic>
                </wp:inline>
              </w:drawing>
            </w:r>
            <w:r>
              <w:rPr>
                <w:rFonts w:ascii="Times New Roman" w:hAnsi="Times New Roman" w:eastAsia="Times New Roman" w:cs="Times New Roman"/>
                <w:kern w:val="0"/>
                <w:sz w:val="24"/>
              </w:rPr>
              <w:t>4.52%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E.65岁以上</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1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482"/>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332</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4.您对西宁市前营街幼儿园（城中区第一幼儿园）建设项目了解吗?   </w:t>
      </w:r>
      <w:r>
        <w:rPr>
          <w:rFonts w:ascii="Times New Roman" w:hAnsi="Times New Roman" w:eastAsia="Times New Roman" w:cs="Times New Roman"/>
          <w:b w:val="0"/>
          <w:color w:val="0066FF"/>
          <w:kern w:val="0"/>
          <w:sz w:val="24"/>
        </w:rPr>
        <w:t>[单选题]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274</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114425" cy="114300"/>
                  <wp:effectExtent l="0" t="0" r="9525" b="0"/>
                  <wp:docPr id="482"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3"/>
                          <pic:cNvPicPr>
                            <a:picLocks noChangeAspect="1"/>
                          </pic:cNvPicPr>
                        </pic:nvPicPr>
                        <pic:blipFill>
                          <a:blip r:embed="rId242"/>
                          <a:stretch>
                            <a:fillRect/>
                          </a:stretch>
                        </pic:blipFill>
                        <pic:spPr>
                          <a:xfrm>
                            <a:off x="0" y="0"/>
                            <a:ext cx="11144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238125" cy="114300"/>
                  <wp:effectExtent l="0" t="0" r="9525" b="0"/>
                  <wp:docPr id="499"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84"/>
                          <pic:cNvPicPr>
                            <a:picLocks noChangeAspect="1"/>
                          </pic:cNvPicPr>
                        </pic:nvPicPr>
                        <pic:blipFill>
                          <a:blip r:embed="rId243"/>
                          <a:stretch>
                            <a:fillRect/>
                          </a:stretch>
                        </pic:blipFill>
                        <pic:spPr>
                          <a:xfrm>
                            <a:off x="0" y="0"/>
                            <a:ext cx="238125" cy="114300"/>
                          </a:xfrm>
                          <a:prstGeom prst="rect">
                            <a:avLst/>
                          </a:prstGeom>
                          <a:noFill/>
                          <a:ln>
                            <a:noFill/>
                          </a:ln>
                        </pic:spPr>
                      </pic:pic>
                    </a:graphicData>
                  </a:graphic>
                </wp:inline>
              </w:drawing>
            </w:r>
            <w:r>
              <w:rPr>
                <w:rFonts w:ascii="Times New Roman" w:hAnsi="Times New Roman" w:eastAsia="Times New Roman" w:cs="Times New Roman"/>
                <w:kern w:val="0"/>
                <w:sz w:val="24"/>
              </w:rPr>
              <w:t>82.53%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B.否</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58</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228600" cy="114300"/>
                  <wp:effectExtent l="0" t="0" r="0" b="0"/>
                  <wp:docPr id="508"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485"/>
                          <pic:cNvPicPr>
                            <a:picLocks noChangeAspect="1"/>
                          </pic:cNvPicPr>
                        </pic:nvPicPr>
                        <pic:blipFill>
                          <a:blip r:embed="rId73"/>
                          <a:stretch>
                            <a:fillRect/>
                          </a:stretch>
                        </pic:blipFill>
                        <pic:spPr>
                          <a:xfrm>
                            <a:off x="0" y="0"/>
                            <a:ext cx="2286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123950" cy="114300"/>
                  <wp:effectExtent l="0" t="0" r="0" b="0"/>
                  <wp:docPr id="494"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86"/>
                          <pic:cNvPicPr>
                            <a:picLocks noChangeAspect="1"/>
                          </pic:cNvPicPr>
                        </pic:nvPicPr>
                        <pic:blipFill>
                          <a:blip r:embed="rId74"/>
                          <a:stretch>
                            <a:fillRect/>
                          </a:stretch>
                        </pic:blipFill>
                        <pic:spPr>
                          <a:xfrm>
                            <a:off x="0" y="0"/>
                            <a:ext cx="1123950" cy="114300"/>
                          </a:xfrm>
                          <a:prstGeom prst="rect">
                            <a:avLst/>
                          </a:prstGeom>
                          <a:noFill/>
                          <a:ln>
                            <a:noFill/>
                          </a:ln>
                        </pic:spPr>
                      </pic:pic>
                    </a:graphicData>
                  </a:graphic>
                </wp:inline>
              </w:drawing>
            </w:r>
            <w:r>
              <w:rPr>
                <w:rFonts w:ascii="Times New Roman" w:hAnsi="Times New Roman" w:eastAsia="Times New Roman" w:cs="Times New Roman"/>
                <w:kern w:val="0"/>
                <w:sz w:val="24"/>
              </w:rPr>
              <w:t>17.47%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332</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32"/>
          <w:szCs w:val="32"/>
        </w:rPr>
      </w:pPr>
      <w:r>
        <w:rPr>
          <w:rFonts w:ascii="Times New Roman" w:hAnsi="Times New Roman" w:eastAsia="Times New Roman" w:cs="Times New Roman"/>
          <w:color w:val="444444"/>
          <w:kern w:val="0"/>
          <w:sz w:val="24"/>
          <w:szCs w:val="24"/>
          <w:rtl w:val="0"/>
        </w:rPr>
        <w:t>二、满意度问题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5.您对新建的西宁市前营街幼儿园（城中区第一幼儿园）周边环境是否满意？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本题平均分：8.8</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55"/>
        <w:gridCol w:w="950"/>
        <w:gridCol w:w="425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148</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723900" cy="114300"/>
                  <wp:effectExtent l="0" t="0" r="0" b="0"/>
                  <wp:docPr id="483"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7"/>
                          <pic:cNvPicPr>
                            <a:picLocks noChangeAspect="1"/>
                          </pic:cNvPicPr>
                        </pic:nvPicPr>
                        <pic:blipFill>
                          <a:blip r:embed="rId244"/>
                          <a:stretch>
                            <a:fillRect/>
                          </a:stretch>
                        </pic:blipFill>
                        <pic:spPr>
                          <a:xfrm>
                            <a:off x="0" y="0"/>
                            <a:ext cx="7239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628650" cy="114300"/>
                  <wp:effectExtent l="0" t="0" r="0" b="0"/>
                  <wp:docPr id="493"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图片 488"/>
                          <pic:cNvPicPr>
                            <a:picLocks noChangeAspect="1"/>
                          </pic:cNvPicPr>
                        </pic:nvPicPr>
                        <pic:blipFill>
                          <a:blip r:embed="rId245"/>
                          <a:stretch>
                            <a:fillRect/>
                          </a:stretch>
                        </pic:blipFill>
                        <pic:spPr>
                          <a:xfrm>
                            <a:off x="0" y="0"/>
                            <a:ext cx="628650" cy="114300"/>
                          </a:xfrm>
                          <a:prstGeom prst="rect">
                            <a:avLst/>
                          </a:prstGeom>
                          <a:noFill/>
                          <a:ln>
                            <a:noFill/>
                          </a:ln>
                        </pic:spPr>
                      </pic:pic>
                    </a:graphicData>
                  </a:graphic>
                </wp:inline>
              </w:drawing>
            </w:r>
            <w:r>
              <w:rPr>
                <w:rFonts w:ascii="Times New Roman" w:hAnsi="Times New Roman" w:eastAsia="Times New Roman" w:cs="Times New Roman"/>
                <w:kern w:val="0"/>
                <w:sz w:val="24"/>
              </w:rPr>
              <w:t>54.01%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104</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04825" cy="114300"/>
                  <wp:effectExtent l="0" t="0" r="9525" b="0"/>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图片 489"/>
                          <pic:cNvPicPr>
                            <a:picLocks noChangeAspect="1"/>
                          </pic:cNvPicPr>
                        </pic:nvPicPr>
                        <pic:blipFill>
                          <a:blip r:embed="rId246"/>
                          <a:stretch>
                            <a:fillRect/>
                          </a:stretch>
                        </pic:blipFill>
                        <pic:spPr>
                          <a:xfrm>
                            <a:off x="0" y="0"/>
                            <a:ext cx="5048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847725" cy="114300"/>
                  <wp:effectExtent l="0" t="0" r="9525" b="0"/>
                  <wp:docPr id="484"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90"/>
                          <pic:cNvPicPr>
                            <a:picLocks noChangeAspect="1"/>
                          </pic:cNvPicPr>
                        </pic:nvPicPr>
                        <pic:blipFill>
                          <a:blip r:embed="rId247"/>
                          <a:stretch>
                            <a:fillRect/>
                          </a:stretch>
                        </pic:blipFill>
                        <pic:spPr>
                          <a:xfrm>
                            <a:off x="0" y="0"/>
                            <a:ext cx="847725" cy="114300"/>
                          </a:xfrm>
                          <a:prstGeom prst="rect">
                            <a:avLst/>
                          </a:prstGeom>
                          <a:noFill/>
                          <a:ln>
                            <a:noFill/>
                          </a:ln>
                        </pic:spPr>
                      </pic:pic>
                    </a:graphicData>
                  </a:graphic>
                </wp:inline>
              </w:drawing>
            </w:r>
            <w:r>
              <w:rPr>
                <w:rFonts w:ascii="Times New Roman" w:hAnsi="Times New Roman" w:eastAsia="Times New Roman" w:cs="Times New Roman"/>
                <w:kern w:val="0"/>
                <w:sz w:val="24"/>
              </w:rPr>
              <w:t>37.96%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17</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76200" cy="114300"/>
                  <wp:effectExtent l="0" t="0" r="0" b="0"/>
                  <wp:docPr id="486"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图片 491"/>
                          <pic:cNvPicPr>
                            <a:picLocks noChangeAspect="1"/>
                          </pic:cNvPicPr>
                        </pic:nvPicPr>
                        <pic:blipFill>
                          <a:blip r:embed="rId248"/>
                          <a:stretch>
                            <a:fillRect/>
                          </a:stretch>
                        </pic:blipFill>
                        <pic:spPr>
                          <a:xfrm>
                            <a:off x="0" y="0"/>
                            <a:ext cx="762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276350" cy="114300"/>
                  <wp:effectExtent l="0" t="0" r="0" b="0"/>
                  <wp:docPr id="503"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492"/>
                          <pic:cNvPicPr>
                            <a:picLocks noChangeAspect="1"/>
                          </pic:cNvPicPr>
                        </pic:nvPicPr>
                        <pic:blipFill>
                          <a:blip r:embed="rId249"/>
                          <a:stretch>
                            <a:fillRect/>
                          </a:stretch>
                        </pic:blipFill>
                        <pic:spPr>
                          <a:xfrm>
                            <a:off x="0" y="0"/>
                            <a:ext cx="1276350" cy="114300"/>
                          </a:xfrm>
                          <a:prstGeom prst="rect">
                            <a:avLst/>
                          </a:prstGeom>
                          <a:noFill/>
                          <a:ln>
                            <a:noFill/>
                          </a:ln>
                        </pic:spPr>
                      </pic:pic>
                    </a:graphicData>
                  </a:graphic>
                </wp:inline>
              </w:drawing>
            </w:r>
            <w:r>
              <w:rPr>
                <w:rFonts w:ascii="Times New Roman" w:hAnsi="Times New Roman" w:eastAsia="Times New Roman" w:cs="Times New Roman"/>
                <w:kern w:val="0"/>
                <w:sz w:val="24"/>
              </w:rPr>
              <w:t>6.2%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D.不满意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5</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9050" cy="114300"/>
                  <wp:effectExtent l="0" t="0" r="0" b="0"/>
                  <wp:docPr id="496"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3"/>
                          <pic:cNvPicPr>
                            <a:picLocks noChangeAspect="1"/>
                          </pic:cNvPicPr>
                        </pic:nvPicPr>
                        <pic:blipFill>
                          <a:blip r:embed="rId125"/>
                          <a:stretch>
                            <a:fillRect/>
                          </a:stretch>
                        </pic:blipFill>
                        <pic:spPr>
                          <a:xfrm>
                            <a:off x="0" y="0"/>
                            <a:ext cx="190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333500" cy="114300"/>
                  <wp:effectExtent l="0" t="0" r="0" b="0"/>
                  <wp:docPr id="497"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4"/>
                          <pic:cNvPicPr>
                            <a:picLocks noChangeAspect="1"/>
                          </pic:cNvPicPr>
                        </pic:nvPicPr>
                        <pic:blipFill>
                          <a:blip r:embed="rId126"/>
                          <a:stretch>
                            <a:fillRect/>
                          </a:stretch>
                        </pic:blipFill>
                        <pic:spPr>
                          <a:xfrm>
                            <a:off x="0" y="0"/>
                            <a:ext cx="1333500" cy="114300"/>
                          </a:xfrm>
                          <a:prstGeom prst="rect">
                            <a:avLst/>
                          </a:prstGeom>
                          <a:noFill/>
                          <a:ln>
                            <a:noFill/>
                          </a:ln>
                        </pic:spPr>
                      </pic:pic>
                    </a:graphicData>
                  </a:graphic>
                </wp:inline>
              </w:drawing>
            </w:r>
            <w:r>
              <w:rPr>
                <w:rFonts w:ascii="Times New Roman" w:hAnsi="Times New Roman" w:eastAsia="Times New Roman" w:cs="Times New Roman"/>
                <w:kern w:val="0"/>
                <w:sz w:val="24"/>
              </w:rPr>
              <w:t>1.82%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E.非常不满意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04"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图片 495"/>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274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6.您对新建的西宁市前营街幼儿园（城中区第一幼儿园）设施环境是否满意？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本题平均分：9.28</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733"/>
        <w:gridCol w:w="980"/>
        <w:gridCol w:w="4348"/>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182</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895350" cy="114300"/>
                  <wp:effectExtent l="0" t="0" r="0" b="0"/>
                  <wp:docPr id="498"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6"/>
                          <pic:cNvPicPr>
                            <a:picLocks noChangeAspect="1"/>
                          </pic:cNvPicPr>
                        </pic:nvPicPr>
                        <pic:blipFill>
                          <a:blip r:embed="rId180"/>
                          <a:stretch>
                            <a:fillRect/>
                          </a:stretch>
                        </pic:blipFill>
                        <pic:spPr>
                          <a:xfrm>
                            <a:off x="0" y="0"/>
                            <a:ext cx="8953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457200" cy="114300"/>
                  <wp:effectExtent l="0" t="0" r="0" b="0"/>
                  <wp:docPr id="500"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图片 497"/>
                          <pic:cNvPicPr>
                            <a:picLocks noChangeAspect="1"/>
                          </pic:cNvPicPr>
                        </pic:nvPicPr>
                        <pic:blipFill>
                          <a:blip r:embed="rId181"/>
                          <a:stretch>
                            <a:fillRect/>
                          </a:stretch>
                        </pic:blipFill>
                        <pic:spPr>
                          <a:xfrm>
                            <a:off x="0" y="0"/>
                            <a:ext cx="457200" cy="114300"/>
                          </a:xfrm>
                          <a:prstGeom prst="rect">
                            <a:avLst/>
                          </a:prstGeom>
                          <a:noFill/>
                          <a:ln>
                            <a:noFill/>
                          </a:ln>
                        </pic:spPr>
                      </pic:pic>
                    </a:graphicData>
                  </a:graphic>
                </wp:inline>
              </w:drawing>
            </w:r>
            <w:r>
              <w:rPr>
                <w:rFonts w:ascii="Times New Roman" w:hAnsi="Times New Roman" w:eastAsia="Times New Roman" w:cs="Times New Roman"/>
                <w:kern w:val="0"/>
                <w:sz w:val="24"/>
              </w:rPr>
              <w:t>66.42%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89</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438150" cy="114300"/>
                  <wp:effectExtent l="0" t="0" r="0" b="0"/>
                  <wp:docPr id="501"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图片 498"/>
                          <pic:cNvPicPr>
                            <a:picLocks noChangeAspect="1"/>
                          </pic:cNvPicPr>
                        </pic:nvPicPr>
                        <pic:blipFill>
                          <a:blip r:embed="rId250"/>
                          <a:stretch>
                            <a:fillRect/>
                          </a:stretch>
                        </pic:blipFill>
                        <pic:spPr>
                          <a:xfrm>
                            <a:off x="0" y="0"/>
                            <a:ext cx="4381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14400" cy="114300"/>
                  <wp:effectExtent l="0" t="0" r="0" b="0"/>
                  <wp:docPr id="505"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499"/>
                          <pic:cNvPicPr>
                            <a:picLocks noChangeAspect="1"/>
                          </pic:cNvPicPr>
                        </pic:nvPicPr>
                        <pic:blipFill>
                          <a:blip r:embed="rId251"/>
                          <a:stretch>
                            <a:fillRect/>
                          </a:stretch>
                        </pic:blipFill>
                        <pic:spPr>
                          <a:xfrm>
                            <a:off x="0" y="0"/>
                            <a:ext cx="914400" cy="114300"/>
                          </a:xfrm>
                          <a:prstGeom prst="rect">
                            <a:avLst/>
                          </a:prstGeom>
                          <a:noFill/>
                          <a:ln>
                            <a:noFill/>
                          </a:ln>
                        </pic:spPr>
                      </pic:pic>
                    </a:graphicData>
                  </a:graphic>
                </wp:inline>
              </w:drawing>
            </w:r>
            <w:r>
              <w:rPr>
                <w:rFonts w:ascii="Times New Roman" w:hAnsi="Times New Roman" w:eastAsia="Times New Roman" w:cs="Times New Roman"/>
                <w:kern w:val="0"/>
                <w:sz w:val="24"/>
              </w:rPr>
              <w:t>32.48%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9525" cy="114300"/>
                  <wp:effectExtent l="0" t="0" r="9525" b="0"/>
                  <wp:docPr id="502"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500"/>
                          <pic:cNvPicPr>
                            <a:picLocks noChangeAspect="1"/>
                          </pic:cNvPicPr>
                        </pic:nvPicPr>
                        <pic:blipFill>
                          <a:blip r:embed="rId117"/>
                          <a:stretch>
                            <a:fillRect/>
                          </a:stretch>
                        </pic:blipFill>
                        <pic:spPr>
                          <a:xfrm>
                            <a:off x="0" y="0"/>
                            <a:ext cx="95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343025" cy="114300"/>
                  <wp:effectExtent l="0" t="0" r="9525" b="0"/>
                  <wp:docPr id="506"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1"/>
                          <pic:cNvPicPr>
                            <a:picLocks noChangeAspect="1"/>
                          </pic:cNvPicPr>
                        </pic:nvPicPr>
                        <pic:blipFill>
                          <a:blip r:embed="rId118"/>
                          <a:stretch>
                            <a:fillRect/>
                          </a:stretch>
                        </pic:blipFill>
                        <pic:spPr>
                          <a:xfrm>
                            <a:off x="0" y="0"/>
                            <a:ext cx="1343025" cy="114300"/>
                          </a:xfrm>
                          <a:prstGeom prst="rect">
                            <a:avLst/>
                          </a:prstGeom>
                          <a:noFill/>
                          <a:ln>
                            <a:noFill/>
                          </a:ln>
                        </pic:spPr>
                      </pic:pic>
                    </a:graphicData>
                  </a:graphic>
                </wp:inline>
              </w:drawing>
            </w:r>
            <w:r>
              <w:rPr>
                <w:rFonts w:ascii="Times New Roman" w:hAnsi="Times New Roman" w:eastAsia="Times New Roman" w:cs="Times New Roman"/>
                <w:kern w:val="0"/>
                <w:sz w:val="24"/>
              </w:rPr>
              <w:t>0.73%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D.不满意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474"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502"/>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E.非常不满意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472"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503"/>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0.36%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274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7.您对新建的西宁市前营街幼儿园（城中区第一幼儿园）交通是否满意？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本题平均分：8.52</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55"/>
        <w:gridCol w:w="950"/>
        <w:gridCol w:w="425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134</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657225" cy="114300"/>
                  <wp:effectExtent l="0" t="0" r="9525" b="0"/>
                  <wp:docPr id="473"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504"/>
                          <pic:cNvPicPr>
                            <a:picLocks noChangeAspect="1"/>
                          </pic:cNvPicPr>
                        </pic:nvPicPr>
                        <pic:blipFill>
                          <a:blip r:embed="rId252"/>
                          <a:stretch>
                            <a:fillRect/>
                          </a:stretch>
                        </pic:blipFill>
                        <pic:spPr>
                          <a:xfrm>
                            <a:off x="0" y="0"/>
                            <a:ext cx="6572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695325" cy="114300"/>
                  <wp:effectExtent l="0" t="0" r="9525" b="0"/>
                  <wp:docPr id="477"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505"/>
                          <pic:cNvPicPr>
                            <a:picLocks noChangeAspect="1"/>
                          </pic:cNvPicPr>
                        </pic:nvPicPr>
                        <pic:blipFill>
                          <a:blip r:embed="rId253"/>
                          <a:stretch>
                            <a:fillRect/>
                          </a:stretch>
                        </pic:blipFill>
                        <pic:spPr>
                          <a:xfrm>
                            <a:off x="0" y="0"/>
                            <a:ext cx="695325" cy="114300"/>
                          </a:xfrm>
                          <a:prstGeom prst="rect">
                            <a:avLst/>
                          </a:prstGeom>
                          <a:noFill/>
                          <a:ln>
                            <a:noFill/>
                          </a:ln>
                        </pic:spPr>
                      </pic:pic>
                    </a:graphicData>
                  </a:graphic>
                </wp:inline>
              </w:drawing>
            </w:r>
            <w:r>
              <w:rPr>
                <w:rFonts w:ascii="Times New Roman" w:hAnsi="Times New Roman" w:eastAsia="Times New Roman" w:cs="Times New Roman"/>
                <w:kern w:val="0"/>
                <w:sz w:val="24"/>
              </w:rPr>
              <w:t>48.91%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103</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04825" cy="114300"/>
                  <wp:effectExtent l="0" t="0" r="9525" b="0"/>
                  <wp:docPr id="475"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506"/>
                          <pic:cNvPicPr>
                            <a:picLocks noChangeAspect="1"/>
                          </pic:cNvPicPr>
                        </pic:nvPicPr>
                        <pic:blipFill>
                          <a:blip r:embed="rId246"/>
                          <a:stretch>
                            <a:fillRect/>
                          </a:stretch>
                        </pic:blipFill>
                        <pic:spPr>
                          <a:xfrm>
                            <a:off x="0" y="0"/>
                            <a:ext cx="5048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847725" cy="114300"/>
                  <wp:effectExtent l="0" t="0" r="9525" b="0"/>
                  <wp:docPr id="479"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507"/>
                          <pic:cNvPicPr>
                            <a:picLocks noChangeAspect="1"/>
                          </pic:cNvPicPr>
                        </pic:nvPicPr>
                        <pic:blipFill>
                          <a:blip r:embed="rId247"/>
                          <a:stretch>
                            <a:fillRect/>
                          </a:stretch>
                        </pic:blipFill>
                        <pic:spPr>
                          <a:xfrm>
                            <a:off x="0" y="0"/>
                            <a:ext cx="847725" cy="114300"/>
                          </a:xfrm>
                          <a:prstGeom prst="rect">
                            <a:avLst/>
                          </a:prstGeom>
                          <a:noFill/>
                          <a:ln>
                            <a:noFill/>
                          </a:ln>
                        </pic:spPr>
                      </pic:pic>
                    </a:graphicData>
                  </a:graphic>
                </wp:inline>
              </w:drawing>
            </w:r>
            <w:r>
              <w:rPr>
                <w:rFonts w:ascii="Times New Roman" w:hAnsi="Times New Roman" w:eastAsia="Times New Roman" w:cs="Times New Roman"/>
                <w:kern w:val="0"/>
                <w:sz w:val="24"/>
              </w:rPr>
              <w:t>37.59%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42875" cy="114300"/>
                  <wp:effectExtent l="0" t="0" r="9525" b="0"/>
                  <wp:docPr id="476"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508"/>
                          <pic:cNvPicPr>
                            <a:picLocks noChangeAspect="1"/>
                          </pic:cNvPicPr>
                        </pic:nvPicPr>
                        <pic:blipFill>
                          <a:blip r:embed="rId254"/>
                          <a:stretch>
                            <a:fillRect/>
                          </a:stretch>
                        </pic:blipFill>
                        <pic:spPr>
                          <a:xfrm>
                            <a:off x="0" y="0"/>
                            <a:ext cx="14287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209675" cy="114300"/>
                  <wp:effectExtent l="0" t="0" r="9525" b="0"/>
                  <wp:docPr id="478"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509"/>
                          <pic:cNvPicPr>
                            <a:picLocks noChangeAspect="1"/>
                          </pic:cNvPicPr>
                        </pic:nvPicPr>
                        <pic:blipFill>
                          <a:blip r:embed="rId255"/>
                          <a:stretch>
                            <a:fillRect/>
                          </a:stretch>
                        </pic:blipFill>
                        <pic:spPr>
                          <a:xfrm>
                            <a:off x="0" y="0"/>
                            <a:ext cx="1209675" cy="114300"/>
                          </a:xfrm>
                          <a:prstGeom prst="rect">
                            <a:avLst/>
                          </a:prstGeom>
                          <a:noFill/>
                          <a:ln>
                            <a:noFill/>
                          </a:ln>
                        </pic:spPr>
                      </pic:pic>
                    </a:graphicData>
                  </a:graphic>
                </wp:inline>
              </w:drawing>
            </w:r>
            <w:r>
              <w:rPr>
                <w:rFonts w:ascii="Times New Roman" w:hAnsi="Times New Roman" w:eastAsia="Times New Roman" w:cs="Times New Roman"/>
                <w:kern w:val="0"/>
                <w:sz w:val="24"/>
              </w:rPr>
              <w:t>10.95%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D.不满意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28575" cy="114300"/>
                  <wp:effectExtent l="0" t="0" r="9525" b="0"/>
                  <wp:docPr id="549"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10"/>
                          <pic:cNvPicPr>
                            <a:picLocks noChangeAspect="1"/>
                          </pic:cNvPicPr>
                        </pic:nvPicPr>
                        <pic:blipFill>
                          <a:blip r:embed="rId256"/>
                          <a:stretch>
                            <a:fillRect/>
                          </a:stretch>
                        </pic:blipFill>
                        <pic:spPr>
                          <a:xfrm>
                            <a:off x="0" y="0"/>
                            <a:ext cx="2857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323975" cy="114300"/>
                  <wp:effectExtent l="0" t="0" r="9525" b="0"/>
                  <wp:docPr id="537"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11"/>
                          <pic:cNvPicPr>
                            <a:picLocks noChangeAspect="1"/>
                          </pic:cNvPicPr>
                        </pic:nvPicPr>
                        <pic:blipFill>
                          <a:blip r:embed="rId257"/>
                          <a:stretch>
                            <a:fillRect/>
                          </a:stretch>
                        </pic:blipFill>
                        <pic:spPr>
                          <a:xfrm>
                            <a:off x="0" y="0"/>
                            <a:ext cx="1323975" cy="114300"/>
                          </a:xfrm>
                          <a:prstGeom prst="rect">
                            <a:avLst/>
                          </a:prstGeom>
                          <a:noFill/>
                          <a:ln>
                            <a:noFill/>
                          </a:ln>
                        </pic:spPr>
                      </pic:pic>
                    </a:graphicData>
                  </a:graphic>
                </wp:inline>
              </w:drawing>
            </w:r>
            <w:r>
              <w:rPr>
                <w:rFonts w:ascii="Times New Roman" w:hAnsi="Times New Roman" w:eastAsia="Times New Roman" w:cs="Times New Roman"/>
                <w:kern w:val="0"/>
                <w:sz w:val="24"/>
              </w:rPr>
              <w:t>2.55%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E.非常不满意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28"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12"/>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274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8.您认为西宁市前营街幼儿园（城中区第一幼儿园）的投入运营是否节约了您的保教费支出？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本题平均分：4.09</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62"/>
        <w:gridCol w:w="1022"/>
        <w:gridCol w:w="457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A.节约</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224</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104900" cy="114300"/>
                  <wp:effectExtent l="0" t="0" r="0" b="0"/>
                  <wp:docPr id="524"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513"/>
                          <pic:cNvPicPr>
                            <a:picLocks noChangeAspect="1"/>
                          </pic:cNvPicPr>
                        </pic:nvPicPr>
                        <pic:blipFill>
                          <a:blip r:embed="rId258"/>
                          <a:stretch>
                            <a:fillRect/>
                          </a:stretch>
                        </pic:blipFill>
                        <pic:spPr>
                          <a:xfrm>
                            <a:off x="0" y="0"/>
                            <a:ext cx="11049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247650" cy="114300"/>
                  <wp:effectExtent l="0" t="0" r="0" b="0"/>
                  <wp:docPr id="54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514"/>
                          <pic:cNvPicPr>
                            <a:picLocks noChangeAspect="1"/>
                          </pic:cNvPicPr>
                        </pic:nvPicPr>
                        <pic:blipFill>
                          <a:blip r:embed="rId259"/>
                          <a:stretch>
                            <a:fillRect/>
                          </a:stretch>
                        </pic:blipFill>
                        <pic:spPr>
                          <a:xfrm>
                            <a:off x="0" y="0"/>
                            <a:ext cx="247650" cy="114300"/>
                          </a:xfrm>
                          <a:prstGeom prst="rect">
                            <a:avLst/>
                          </a:prstGeom>
                          <a:noFill/>
                          <a:ln>
                            <a:noFill/>
                          </a:ln>
                        </pic:spPr>
                      </pic:pic>
                    </a:graphicData>
                  </a:graphic>
                </wp:inline>
              </w:drawing>
            </w:r>
            <w:r>
              <w:rPr>
                <w:rFonts w:ascii="Times New Roman" w:hAnsi="Times New Roman" w:eastAsia="Times New Roman" w:cs="Times New Roman"/>
                <w:kern w:val="0"/>
                <w:sz w:val="24"/>
              </w:rPr>
              <w:t>81.75%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B.未节约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50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238125" cy="114300"/>
                  <wp:effectExtent l="0" t="0" r="9525" b="0"/>
                  <wp:docPr id="539"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15"/>
                          <pic:cNvPicPr>
                            <a:picLocks noChangeAspect="1"/>
                          </pic:cNvPicPr>
                        </pic:nvPicPr>
                        <pic:blipFill>
                          <a:blip r:embed="rId129"/>
                          <a:stretch>
                            <a:fillRect/>
                          </a:stretch>
                        </pic:blipFill>
                        <pic:spPr>
                          <a:xfrm>
                            <a:off x="0" y="0"/>
                            <a:ext cx="2381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114425" cy="114300"/>
                  <wp:effectExtent l="0" t="0" r="9525" b="0"/>
                  <wp:docPr id="525"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16"/>
                          <pic:cNvPicPr>
                            <a:picLocks noChangeAspect="1"/>
                          </pic:cNvPicPr>
                        </pic:nvPicPr>
                        <pic:blipFill>
                          <a:blip r:embed="rId130"/>
                          <a:stretch>
                            <a:fillRect/>
                          </a:stretch>
                        </pic:blipFill>
                        <pic:spPr>
                          <a:xfrm>
                            <a:off x="0" y="0"/>
                            <a:ext cx="1114425" cy="114300"/>
                          </a:xfrm>
                          <a:prstGeom prst="rect">
                            <a:avLst/>
                          </a:prstGeom>
                          <a:noFill/>
                          <a:ln>
                            <a:noFill/>
                          </a:ln>
                        </pic:spPr>
                      </pic:pic>
                    </a:graphicData>
                  </a:graphic>
                </wp:inline>
              </w:drawing>
            </w:r>
            <w:r>
              <w:rPr>
                <w:rFonts w:ascii="Times New Roman" w:hAnsi="Times New Roman" w:eastAsia="Times New Roman" w:cs="Times New Roman"/>
                <w:kern w:val="0"/>
                <w:sz w:val="24"/>
              </w:rPr>
              <w:t>18.25%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274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9.您认为西宁市前营街幼儿园（城中区第一幼儿园）的投入运营对改善入园难的作用如何？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本题平均分：8.62</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55"/>
        <w:gridCol w:w="950"/>
        <w:gridCol w:w="425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134</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657225" cy="114300"/>
                  <wp:effectExtent l="0" t="0" r="9525" b="0"/>
                  <wp:docPr id="526"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17"/>
                          <pic:cNvPicPr>
                            <a:picLocks noChangeAspect="1"/>
                          </pic:cNvPicPr>
                        </pic:nvPicPr>
                        <pic:blipFill>
                          <a:blip r:embed="rId252"/>
                          <a:stretch>
                            <a:fillRect/>
                          </a:stretch>
                        </pic:blipFill>
                        <pic:spPr>
                          <a:xfrm>
                            <a:off x="0" y="0"/>
                            <a:ext cx="6572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695325" cy="114300"/>
                  <wp:effectExtent l="0" t="0" r="9525" b="0"/>
                  <wp:docPr id="534"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18"/>
                          <pic:cNvPicPr>
                            <a:picLocks noChangeAspect="1"/>
                          </pic:cNvPicPr>
                        </pic:nvPicPr>
                        <pic:blipFill>
                          <a:blip r:embed="rId253"/>
                          <a:stretch>
                            <a:fillRect/>
                          </a:stretch>
                        </pic:blipFill>
                        <pic:spPr>
                          <a:xfrm>
                            <a:off x="0" y="0"/>
                            <a:ext cx="695325" cy="114300"/>
                          </a:xfrm>
                          <a:prstGeom prst="rect">
                            <a:avLst/>
                          </a:prstGeom>
                          <a:noFill/>
                          <a:ln>
                            <a:noFill/>
                          </a:ln>
                        </pic:spPr>
                      </pic:pic>
                    </a:graphicData>
                  </a:graphic>
                </wp:inline>
              </w:drawing>
            </w:r>
            <w:r>
              <w:rPr>
                <w:rFonts w:ascii="Times New Roman" w:hAnsi="Times New Roman" w:eastAsia="Times New Roman" w:cs="Times New Roman"/>
                <w:kern w:val="0"/>
                <w:sz w:val="24"/>
              </w:rPr>
              <w:t>48.91%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109</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33400" cy="114300"/>
                  <wp:effectExtent l="0" t="0" r="0" b="0"/>
                  <wp:docPr id="547"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519"/>
                          <pic:cNvPicPr>
                            <a:picLocks noChangeAspect="1"/>
                          </pic:cNvPicPr>
                        </pic:nvPicPr>
                        <pic:blipFill>
                          <a:blip r:embed="rId143"/>
                          <a:stretch>
                            <a:fillRect/>
                          </a:stretch>
                        </pic:blipFill>
                        <pic:spPr>
                          <a:xfrm>
                            <a:off x="0" y="0"/>
                            <a:ext cx="5334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819150" cy="114300"/>
                  <wp:effectExtent l="0" t="0" r="0" b="0"/>
                  <wp:docPr id="545"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520"/>
                          <pic:cNvPicPr>
                            <a:picLocks noChangeAspect="1"/>
                          </pic:cNvPicPr>
                        </pic:nvPicPr>
                        <pic:blipFill>
                          <a:blip r:embed="rId144"/>
                          <a:stretch>
                            <a:fillRect/>
                          </a:stretch>
                        </pic:blipFill>
                        <pic:spPr>
                          <a:xfrm>
                            <a:off x="0" y="0"/>
                            <a:ext cx="819150" cy="114300"/>
                          </a:xfrm>
                          <a:prstGeom prst="rect">
                            <a:avLst/>
                          </a:prstGeom>
                          <a:noFill/>
                          <a:ln>
                            <a:noFill/>
                          </a:ln>
                        </pic:spPr>
                      </pic:pic>
                    </a:graphicData>
                  </a:graphic>
                </wp:inline>
              </w:drawing>
            </w:r>
            <w:r>
              <w:rPr>
                <w:rFonts w:ascii="Times New Roman" w:hAnsi="Times New Roman" w:eastAsia="Times New Roman" w:cs="Times New Roman"/>
                <w:kern w:val="0"/>
                <w:sz w:val="24"/>
              </w:rPr>
              <w:t>39.78%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42875" cy="114300"/>
                  <wp:effectExtent l="0" t="0" r="9525" b="0"/>
                  <wp:docPr id="543"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521"/>
                          <pic:cNvPicPr>
                            <a:picLocks noChangeAspect="1"/>
                          </pic:cNvPicPr>
                        </pic:nvPicPr>
                        <pic:blipFill>
                          <a:blip r:embed="rId254"/>
                          <a:stretch>
                            <a:fillRect/>
                          </a:stretch>
                        </pic:blipFill>
                        <pic:spPr>
                          <a:xfrm>
                            <a:off x="0" y="0"/>
                            <a:ext cx="14287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209675" cy="114300"/>
                  <wp:effectExtent l="0" t="0" r="9525" b="0"/>
                  <wp:docPr id="529"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2"/>
                          <pic:cNvPicPr>
                            <a:picLocks noChangeAspect="1"/>
                          </pic:cNvPicPr>
                        </pic:nvPicPr>
                        <pic:blipFill>
                          <a:blip r:embed="rId255"/>
                          <a:stretch>
                            <a:fillRect/>
                          </a:stretch>
                        </pic:blipFill>
                        <pic:spPr>
                          <a:xfrm>
                            <a:off x="0" y="0"/>
                            <a:ext cx="1209675" cy="114300"/>
                          </a:xfrm>
                          <a:prstGeom prst="rect">
                            <a:avLst/>
                          </a:prstGeom>
                          <a:noFill/>
                          <a:ln>
                            <a:noFill/>
                          </a:ln>
                        </pic:spPr>
                      </pic:pic>
                    </a:graphicData>
                  </a:graphic>
                </wp:inline>
              </w:drawing>
            </w:r>
            <w:r>
              <w:rPr>
                <w:rFonts w:ascii="Times New Roman" w:hAnsi="Times New Roman" w:eastAsia="Times New Roman" w:cs="Times New Roman"/>
                <w:kern w:val="0"/>
                <w:sz w:val="24"/>
              </w:rPr>
              <w:t>10.95%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22"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3"/>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52"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24"/>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0.36%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274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10.您认为西宁市前营街幼儿园（城中区第一幼儿园）的投入运营对扩大城中区学前教育资源作用如何？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本题平均分：8.79</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55"/>
        <w:gridCol w:w="950"/>
        <w:gridCol w:w="425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142</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695325" cy="114300"/>
                  <wp:effectExtent l="0" t="0" r="9525" b="0"/>
                  <wp:docPr id="548"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25"/>
                          <pic:cNvPicPr>
                            <a:picLocks noChangeAspect="1"/>
                          </pic:cNvPicPr>
                        </pic:nvPicPr>
                        <pic:blipFill>
                          <a:blip r:embed="rId184"/>
                          <a:stretch>
                            <a:fillRect/>
                          </a:stretch>
                        </pic:blipFill>
                        <pic:spPr>
                          <a:xfrm>
                            <a:off x="0" y="0"/>
                            <a:ext cx="6953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657225" cy="114300"/>
                  <wp:effectExtent l="0" t="0" r="9525" b="0"/>
                  <wp:docPr id="550"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26"/>
                          <pic:cNvPicPr>
                            <a:picLocks noChangeAspect="1"/>
                          </pic:cNvPicPr>
                        </pic:nvPicPr>
                        <pic:blipFill>
                          <a:blip r:embed="rId185"/>
                          <a:stretch>
                            <a:fillRect/>
                          </a:stretch>
                        </pic:blipFill>
                        <pic:spPr>
                          <a:xfrm>
                            <a:off x="0" y="0"/>
                            <a:ext cx="657225" cy="114300"/>
                          </a:xfrm>
                          <a:prstGeom prst="rect">
                            <a:avLst/>
                          </a:prstGeom>
                          <a:noFill/>
                          <a:ln>
                            <a:noFill/>
                          </a:ln>
                        </pic:spPr>
                      </pic:pic>
                    </a:graphicData>
                  </a:graphic>
                </wp:inline>
              </w:drawing>
            </w:r>
            <w:r>
              <w:rPr>
                <w:rFonts w:ascii="Times New Roman" w:hAnsi="Times New Roman" w:eastAsia="Times New Roman" w:cs="Times New Roman"/>
                <w:kern w:val="0"/>
                <w:sz w:val="24"/>
              </w:rPr>
              <w:t>51.82%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110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42925" cy="114300"/>
                  <wp:effectExtent l="0" t="0" r="9525" b="0"/>
                  <wp:docPr id="521"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527"/>
                          <pic:cNvPicPr>
                            <a:picLocks noChangeAspect="1"/>
                          </pic:cNvPicPr>
                        </pic:nvPicPr>
                        <pic:blipFill>
                          <a:blip r:embed="rId260"/>
                          <a:stretch>
                            <a:fillRect/>
                          </a:stretch>
                        </pic:blipFill>
                        <pic:spPr>
                          <a:xfrm>
                            <a:off x="0" y="0"/>
                            <a:ext cx="5429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809625" cy="114300"/>
                  <wp:effectExtent l="0" t="0" r="9525" b="0"/>
                  <wp:docPr id="527"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8"/>
                          <pic:cNvPicPr>
                            <a:picLocks noChangeAspect="1"/>
                          </pic:cNvPicPr>
                        </pic:nvPicPr>
                        <pic:blipFill>
                          <a:blip r:embed="rId261"/>
                          <a:stretch>
                            <a:fillRect/>
                          </a:stretch>
                        </pic:blipFill>
                        <pic:spPr>
                          <a:xfrm>
                            <a:off x="0" y="0"/>
                            <a:ext cx="809625" cy="114300"/>
                          </a:xfrm>
                          <a:prstGeom prst="rect">
                            <a:avLst/>
                          </a:prstGeom>
                          <a:noFill/>
                          <a:ln>
                            <a:noFill/>
                          </a:ln>
                        </pic:spPr>
                      </pic:pic>
                    </a:graphicData>
                  </a:graphic>
                </wp:inline>
              </w:drawing>
            </w:r>
            <w:r>
              <w:rPr>
                <w:rFonts w:ascii="Times New Roman" w:hAnsi="Times New Roman" w:eastAsia="Times New Roman" w:cs="Times New Roman"/>
                <w:kern w:val="0"/>
                <w:sz w:val="24"/>
              </w:rPr>
              <w:t>40.15%</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21</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95250" cy="114300"/>
                  <wp:effectExtent l="0" t="0" r="0" b="0"/>
                  <wp:docPr id="532"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529"/>
                          <pic:cNvPicPr>
                            <a:picLocks noChangeAspect="1"/>
                          </pic:cNvPicPr>
                        </pic:nvPicPr>
                        <pic:blipFill>
                          <a:blip r:embed="rId81"/>
                          <a:stretch>
                            <a:fillRect/>
                          </a:stretch>
                        </pic:blipFill>
                        <pic:spPr>
                          <a:xfrm>
                            <a:off x="0" y="0"/>
                            <a:ext cx="952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257300" cy="114300"/>
                  <wp:effectExtent l="0" t="0" r="0" b="0"/>
                  <wp:docPr id="546"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30"/>
                          <pic:cNvPicPr>
                            <a:picLocks noChangeAspect="1"/>
                          </pic:cNvPicPr>
                        </pic:nvPicPr>
                        <pic:blipFill>
                          <a:blip r:embed="rId82"/>
                          <a:stretch>
                            <a:fillRect/>
                          </a:stretch>
                        </pic:blipFill>
                        <pic:spPr>
                          <a:xfrm>
                            <a:off x="0" y="0"/>
                            <a:ext cx="1257300" cy="114300"/>
                          </a:xfrm>
                          <a:prstGeom prst="rect">
                            <a:avLst/>
                          </a:prstGeom>
                          <a:noFill/>
                          <a:ln>
                            <a:noFill/>
                          </a:ln>
                        </pic:spPr>
                      </pic:pic>
                    </a:graphicData>
                  </a:graphic>
                </wp:inline>
              </w:drawing>
            </w:r>
            <w:r>
              <w:rPr>
                <w:rFonts w:ascii="Times New Roman" w:hAnsi="Times New Roman" w:eastAsia="Times New Roman" w:cs="Times New Roman"/>
                <w:kern w:val="0"/>
                <w:sz w:val="24"/>
              </w:rPr>
              <w:t>7.66%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38"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1"/>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0.36%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30"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2"/>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274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11.您认为西宁市前营街幼儿园（城中区第一幼儿园）的投入运营对提升学前教育水平作用如何？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本题平均分：8.76</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73"/>
        <w:gridCol w:w="955"/>
        <w:gridCol w:w="423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139</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685800" cy="114300"/>
                  <wp:effectExtent l="0" t="0" r="0" b="0"/>
                  <wp:docPr id="551"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533"/>
                          <pic:cNvPicPr>
                            <a:picLocks noChangeAspect="1"/>
                          </pic:cNvPicPr>
                        </pic:nvPicPr>
                        <pic:blipFill>
                          <a:blip r:embed="rId262"/>
                          <a:stretch>
                            <a:fillRect/>
                          </a:stretch>
                        </pic:blipFill>
                        <pic:spPr>
                          <a:xfrm>
                            <a:off x="0" y="0"/>
                            <a:ext cx="6858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666750" cy="114300"/>
                  <wp:effectExtent l="0" t="0" r="0" b="0"/>
                  <wp:docPr id="523"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534"/>
                          <pic:cNvPicPr>
                            <a:picLocks noChangeAspect="1"/>
                          </pic:cNvPicPr>
                        </pic:nvPicPr>
                        <pic:blipFill>
                          <a:blip r:embed="rId263"/>
                          <a:stretch>
                            <a:fillRect/>
                          </a:stretch>
                        </pic:blipFill>
                        <pic:spPr>
                          <a:xfrm>
                            <a:off x="0" y="0"/>
                            <a:ext cx="666750" cy="114300"/>
                          </a:xfrm>
                          <a:prstGeom prst="rect">
                            <a:avLst/>
                          </a:prstGeom>
                          <a:noFill/>
                          <a:ln>
                            <a:noFill/>
                          </a:ln>
                        </pic:spPr>
                      </pic:pic>
                    </a:graphicData>
                  </a:graphic>
                </wp:inline>
              </w:drawing>
            </w:r>
            <w:r>
              <w:rPr>
                <w:rFonts w:ascii="Times New Roman" w:hAnsi="Times New Roman" w:eastAsia="Times New Roman" w:cs="Times New Roman"/>
                <w:kern w:val="0"/>
                <w:sz w:val="24"/>
              </w:rPr>
              <w:t>50.73%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113</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52450" cy="114300"/>
                  <wp:effectExtent l="0" t="0" r="0" b="0"/>
                  <wp:docPr id="536"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535"/>
                          <pic:cNvPicPr>
                            <a:picLocks noChangeAspect="1"/>
                          </pic:cNvPicPr>
                        </pic:nvPicPr>
                        <pic:blipFill>
                          <a:blip r:embed="rId264"/>
                          <a:stretch>
                            <a:fillRect/>
                          </a:stretch>
                        </pic:blipFill>
                        <pic:spPr>
                          <a:xfrm>
                            <a:off x="0" y="0"/>
                            <a:ext cx="5524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800100" cy="114300"/>
                  <wp:effectExtent l="0" t="0" r="0" b="0"/>
                  <wp:docPr id="540"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536"/>
                          <pic:cNvPicPr>
                            <a:picLocks noChangeAspect="1"/>
                          </pic:cNvPicPr>
                        </pic:nvPicPr>
                        <pic:blipFill>
                          <a:blip r:embed="rId265"/>
                          <a:stretch>
                            <a:fillRect/>
                          </a:stretch>
                        </pic:blipFill>
                        <pic:spPr>
                          <a:xfrm>
                            <a:off x="0" y="0"/>
                            <a:ext cx="800100" cy="114300"/>
                          </a:xfrm>
                          <a:prstGeom prst="rect">
                            <a:avLst/>
                          </a:prstGeom>
                          <a:noFill/>
                          <a:ln>
                            <a:noFill/>
                          </a:ln>
                        </pic:spPr>
                      </pic:pic>
                    </a:graphicData>
                  </a:graphic>
                </wp:inline>
              </w:drawing>
            </w:r>
            <w:r>
              <w:rPr>
                <w:rFonts w:ascii="Times New Roman" w:hAnsi="Times New Roman" w:eastAsia="Times New Roman" w:cs="Times New Roman"/>
                <w:kern w:val="0"/>
                <w:sz w:val="24"/>
              </w:rPr>
              <w:t>41.24%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95250" cy="114300"/>
                  <wp:effectExtent l="0" t="0" r="0" b="0"/>
                  <wp:docPr id="531"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7"/>
                          <pic:cNvPicPr>
                            <a:picLocks noChangeAspect="1"/>
                          </pic:cNvPicPr>
                        </pic:nvPicPr>
                        <pic:blipFill>
                          <a:blip r:embed="rId81"/>
                          <a:stretch>
                            <a:fillRect/>
                          </a:stretch>
                        </pic:blipFill>
                        <pic:spPr>
                          <a:xfrm>
                            <a:off x="0" y="0"/>
                            <a:ext cx="952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257300" cy="114300"/>
                  <wp:effectExtent l="0" t="0" r="0" b="0"/>
                  <wp:docPr id="533"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538"/>
                          <pic:cNvPicPr>
                            <a:picLocks noChangeAspect="1"/>
                          </pic:cNvPicPr>
                        </pic:nvPicPr>
                        <pic:blipFill>
                          <a:blip r:embed="rId82"/>
                          <a:stretch>
                            <a:fillRect/>
                          </a:stretch>
                        </pic:blipFill>
                        <pic:spPr>
                          <a:xfrm>
                            <a:off x="0" y="0"/>
                            <a:ext cx="1257300" cy="114300"/>
                          </a:xfrm>
                          <a:prstGeom prst="rect">
                            <a:avLst/>
                          </a:prstGeom>
                          <a:noFill/>
                          <a:ln>
                            <a:noFill/>
                          </a:ln>
                        </pic:spPr>
                      </pic:pic>
                    </a:graphicData>
                  </a:graphic>
                </wp:inline>
              </w:drawing>
            </w:r>
            <w:r>
              <w:rPr>
                <w:rFonts w:ascii="Times New Roman" w:hAnsi="Times New Roman" w:eastAsia="Times New Roman" w:cs="Times New Roman"/>
                <w:kern w:val="0"/>
                <w:sz w:val="24"/>
              </w:rPr>
              <w:t>7.3%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9525" cy="114300"/>
                  <wp:effectExtent l="0" t="0" r="9525" b="0"/>
                  <wp:docPr id="535"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9"/>
                          <pic:cNvPicPr>
                            <a:picLocks noChangeAspect="1"/>
                          </pic:cNvPicPr>
                        </pic:nvPicPr>
                        <pic:blipFill>
                          <a:blip r:embed="rId117"/>
                          <a:stretch>
                            <a:fillRect/>
                          </a:stretch>
                        </pic:blipFill>
                        <pic:spPr>
                          <a:xfrm>
                            <a:off x="0" y="0"/>
                            <a:ext cx="95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343025" cy="114300"/>
                  <wp:effectExtent l="0" t="0" r="9525" b="0"/>
                  <wp:docPr id="541"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540"/>
                          <pic:cNvPicPr>
                            <a:picLocks noChangeAspect="1"/>
                          </pic:cNvPicPr>
                        </pic:nvPicPr>
                        <pic:blipFill>
                          <a:blip r:embed="rId118"/>
                          <a:stretch>
                            <a:fillRect/>
                          </a:stretch>
                        </pic:blipFill>
                        <pic:spPr>
                          <a:xfrm>
                            <a:off x="0" y="0"/>
                            <a:ext cx="1343025" cy="114300"/>
                          </a:xfrm>
                          <a:prstGeom prst="rect">
                            <a:avLst/>
                          </a:prstGeom>
                          <a:noFill/>
                          <a:ln>
                            <a:noFill/>
                          </a:ln>
                        </pic:spPr>
                      </pic:pic>
                    </a:graphicData>
                  </a:graphic>
                </wp:inline>
              </w:drawing>
            </w:r>
            <w:r>
              <w:rPr>
                <w:rFonts w:ascii="Times New Roman" w:hAnsi="Times New Roman" w:eastAsia="Times New Roman" w:cs="Times New Roman"/>
                <w:kern w:val="0"/>
                <w:sz w:val="24"/>
              </w:rPr>
              <w:t>0.73%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42"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1"/>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274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12.您认为西宁市前营街幼儿园（城中区第一幼儿园）的投入运营对完善学前教育体系作用如何？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本题平均分：8.68</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135</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657225" cy="114300"/>
                  <wp:effectExtent l="0" t="0" r="9525" b="0"/>
                  <wp:docPr id="558"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542"/>
                          <pic:cNvPicPr>
                            <a:picLocks noChangeAspect="1"/>
                          </pic:cNvPicPr>
                        </pic:nvPicPr>
                        <pic:blipFill>
                          <a:blip r:embed="rId252"/>
                          <a:stretch>
                            <a:fillRect/>
                          </a:stretch>
                        </pic:blipFill>
                        <pic:spPr>
                          <a:xfrm>
                            <a:off x="0" y="0"/>
                            <a:ext cx="6572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695325" cy="114300"/>
                  <wp:effectExtent l="0" t="0" r="9525" b="0"/>
                  <wp:docPr id="564"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43"/>
                          <pic:cNvPicPr>
                            <a:picLocks noChangeAspect="1"/>
                          </pic:cNvPicPr>
                        </pic:nvPicPr>
                        <pic:blipFill>
                          <a:blip r:embed="rId253"/>
                          <a:stretch>
                            <a:fillRect/>
                          </a:stretch>
                        </pic:blipFill>
                        <pic:spPr>
                          <a:xfrm>
                            <a:off x="0" y="0"/>
                            <a:ext cx="695325" cy="114300"/>
                          </a:xfrm>
                          <a:prstGeom prst="rect">
                            <a:avLst/>
                          </a:prstGeom>
                          <a:noFill/>
                          <a:ln>
                            <a:noFill/>
                          </a:ln>
                        </pic:spPr>
                      </pic:pic>
                    </a:graphicData>
                  </a:graphic>
                </wp:inline>
              </w:drawing>
            </w:r>
            <w:r>
              <w:rPr>
                <w:rFonts w:ascii="Times New Roman" w:hAnsi="Times New Roman" w:eastAsia="Times New Roman" w:cs="Times New Roman"/>
                <w:kern w:val="0"/>
                <w:sz w:val="24"/>
              </w:rPr>
              <w:t>49.27%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111</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42925" cy="114300"/>
                  <wp:effectExtent l="0" t="0" r="9525" b="0"/>
                  <wp:docPr id="559"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44"/>
                          <pic:cNvPicPr>
                            <a:picLocks noChangeAspect="1"/>
                          </pic:cNvPicPr>
                        </pic:nvPicPr>
                        <pic:blipFill>
                          <a:blip r:embed="rId260"/>
                          <a:stretch>
                            <a:fillRect/>
                          </a:stretch>
                        </pic:blipFill>
                        <pic:spPr>
                          <a:xfrm>
                            <a:off x="0" y="0"/>
                            <a:ext cx="5429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809625" cy="114300"/>
                  <wp:effectExtent l="0" t="0" r="9525" b="0"/>
                  <wp:docPr id="560"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45"/>
                          <pic:cNvPicPr>
                            <a:picLocks noChangeAspect="1"/>
                          </pic:cNvPicPr>
                        </pic:nvPicPr>
                        <pic:blipFill>
                          <a:blip r:embed="rId261"/>
                          <a:stretch>
                            <a:fillRect/>
                          </a:stretch>
                        </pic:blipFill>
                        <pic:spPr>
                          <a:xfrm>
                            <a:off x="0" y="0"/>
                            <a:ext cx="809625" cy="114300"/>
                          </a:xfrm>
                          <a:prstGeom prst="rect">
                            <a:avLst/>
                          </a:prstGeom>
                          <a:noFill/>
                          <a:ln>
                            <a:noFill/>
                          </a:ln>
                        </pic:spPr>
                      </pic:pic>
                    </a:graphicData>
                  </a:graphic>
                </wp:inline>
              </w:drawing>
            </w:r>
            <w:r>
              <w:rPr>
                <w:rFonts w:ascii="Times New Roman" w:hAnsi="Times New Roman" w:eastAsia="Times New Roman" w:cs="Times New Roman"/>
                <w:kern w:val="0"/>
                <w:sz w:val="24"/>
              </w:rPr>
              <w:t>40.51%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28</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3350" cy="114300"/>
                  <wp:effectExtent l="0" t="0" r="0" b="0"/>
                  <wp:docPr id="553"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46"/>
                          <pic:cNvPicPr>
                            <a:picLocks noChangeAspect="1"/>
                          </pic:cNvPicPr>
                        </pic:nvPicPr>
                        <pic:blipFill>
                          <a:blip r:embed="rId153"/>
                          <a:stretch>
                            <a:fillRect/>
                          </a:stretch>
                        </pic:blipFill>
                        <pic:spPr>
                          <a:xfrm>
                            <a:off x="0" y="0"/>
                            <a:ext cx="1333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219200" cy="114300"/>
                  <wp:effectExtent l="0" t="0" r="0" b="0"/>
                  <wp:docPr id="569"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47"/>
                          <pic:cNvPicPr>
                            <a:picLocks noChangeAspect="1"/>
                          </pic:cNvPicPr>
                        </pic:nvPicPr>
                        <pic:blipFill>
                          <a:blip r:embed="rId154"/>
                          <a:stretch>
                            <a:fillRect/>
                          </a:stretch>
                        </pic:blipFill>
                        <pic:spPr>
                          <a:xfrm>
                            <a:off x="0" y="0"/>
                            <a:ext cx="1219200" cy="114300"/>
                          </a:xfrm>
                          <a:prstGeom prst="rect">
                            <a:avLst/>
                          </a:prstGeom>
                          <a:noFill/>
                          <a:ln>
                            <a:noFill/>
                          </a:ln>
                        </pic:spPr>
                      </pic:pic>
                    </a:graphicData>
                  </a:graphic>
                </wp:inline>
              </w:drawing>
            </w:r>
            <w:r>
              <w:rPr>
                <w:rFonts w:ascii="Times New Roman" w:hAnsi="Times New Roman" w:eastAsia="Times New Roman" w:cs="Times New Roman"/>
                <w:kern w:val="0"/>
                <w:sz w:val="24"/>
              </w:rPr>
              <w:t>10.22%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61"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548"/>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54"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549"/>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274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13.您认为西宁市前营街幼儿园（城中区第一幼儿园）的投入运营对推动学前教育事业发展作用如何？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本题平均分：8.75</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70"/>
        <w:gridCol w:w="1066"/>
        <w:gridCol w:w="472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140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685800" cy="114300"/>
                  <wp:effectExtent l="0" t="0" r="0" b="0"/>
                  <wp:docPr id="566"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550"/>
                          <pic:cNvPicPr>
                            <a:picLocks noChangeAspect="1"/>
                          </pic:cNvPicPr>
                        </pic:nvPicPr>
                        <pic:blipFill>
                          <a:blip r:embed="rId262"/>
                          <a:stretch>
                            <a:fillRect/>
                          </a:stretch>
                        </pic:blipFill>
                        <pic:spPr>
                          <a:xfrm>
                            <a:off x="0" y="0"/>
                            <a:ext cx="6858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666750" cy="114300"/>
                  <wp:effectExtent l="0" t="0" r="0" b="0"/>
                  <wp:docPr id="562"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551"/>
                          <pic:cNvPicPr>
                            <a:picLocks noChangeAspect="1"/>
                          </pic:cNvPicPr>
                        </pic:nvPicPr>
                        <pic:blipFill>
                          <a:blip r:embed="rId263"/>
                          <a:stretch>
                            <a:fillRect/>
                          </a:stretch>
                        </pic:blipFill>
                        <pic:spPr>
                          <a:xfrm>
                            <a:off x="0" y="0"/>
                            <a:ext cx="666750" cy="114300"/>
                          </a:xfrm>
                          <a:prstGeom prst="rect">
                            <a:avLst/>
                          </a:prstGeom>
                          <a:noFill/>
                          <a:ln>
                            <a:noFill/>
                          </a:ln>
                        </pic:spPr>
                      </pic:pic>
                    </a:graphicData>
                  </a:graphic>
                </wp:inline>
              </w:drawing>
            </w:r>
            <w:r>
              <w:rPr>
                <w:rFonts w:ascii="Times New Roman" w:hAnsi="Times New Roman" w:eastAsia="Times New Roman" w:cs="Times New Roman"/>
                <w:kern w:val="0"/>
                <w:sz w:val="24"/>
              </w:rPr>
              <w:t>51.09%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109</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33400" cy="114300"/>
                  <wp:effectExtent l="0" t="0" r="0" b="0"/>
                  <wp:docPr id="563"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52"/>
                          <pic:cNvPicPr>
                            <a:picLocks noChangeAspect="1"/>
                          </pic:cNvPicPr>
                        </pic:nvPicPr>
                        <pic:blipFill>
                          <a:blip r:embed="rId143"/>
                          <a:stretch>
                            <a:fillRect/>
                          </a:stretch>
                        </pic:blipFill>
                        <pic:spPr>
                          <a:xfrm>
                            <a:off x="0" y="0"/>
                            <a:ext cx="5334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819150" cy="114300"/>
                  <wp:effectExtent l="0" t="0" r="0" b="0"/>
                  <wp:docPr id="555"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3"/>
                          <pic:cNvPicPr>
                            <a:picLocks noChangeAspect="1"/>
                          </pic:cNvPicPr>
                        </pic:nvPicPr>
                        <pic:blipFill>
                          <a:blip r:embed="rId144"/>
                          <a:stretch>
                            <a:fillRect/>
                          </a:stretch>
                        </pic:blipFill>
                        <pic:spPr>
                          <a:xfrm>
                            <a:off x="0" y="0"/>
                            <a:ext cx="819150" cy="114300"/>
                          </a:xfrm>
                          <a:prstGeom prst="rect">
                            <a:avLst/>
                          </a:prstGeom>
                          <a:noFill/>
                          <a:ln>
                            <a:noFill/>
                          </a:ln>
                        </pic:spPr>
                      </pic:pic>
                    </a:graphicData>
                  </a:graphic>
                </wp:inline>
              </w:drawing>
            </w:r>
            <w:r>
              <w:rPr>
                <w:rFonts w:ascii="Times New Roman" w:hAnsi="Times New Roman" w:eastAsia="Times New Roman" w:cs="Times New Roman"/>
                <w:kern w:val="0"/>
                <w:sz w:val="24"/>
              </w:rPr>
              <w:t>39.78%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25</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14300" cy="114300"/>
                  <wp:effectExtent l="0" t="0" r="0" b="0"/>
                  <wp:docPr id="556"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554"/>
                          <pic:cNvPicPr>
                            <a:picLocks noChangeAspect="1"/>
                          </pic:cNvPicPr>
                        </pic:nvPicPr>
                        <pic:blipFill>
                          <a:blip r:embed="rId95"/>
                          <a:stretch>
                            <a:fillRect/>
                          </a:stretch>
                        </pic:blipFill>
                        <pic:spPr>
                          <a:xfrm>
                            <a:off x="0" y="0"/>
                            <a:ext cx="1143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238250" cy="114300"/>
                  <wp:effectExtent l="0" t="0" r="0" b="0"/>
                  <wp:docPr id="56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555"/>
                          <pic:cNvPicPr>
                            <a:picLocks noChangeAspect="1"/>
                          </pic:cNvPicPr>
                        </pic:nvPicPr>
                        <pic:blipFill>
                          <a:blip r:embed="rId96"/>
                          <a:stretch>
                            <a:fillRect/>
                          </a:stretch>
                        </pic:blipFill>
                        <pic:spPr>
                          <a:xfrm>
                            <a:off x="0" y="0"/>
                            <a:ext cx="1238250" cy="114300"/>
                          </a:xfrm>
                          <a:prstGeom prst="rect">
                            <a:avLst/>
                          </a:prstGeom>
                          <a:noFill/>
                          <a:ln>
                            <a:noFill/>
                          </a:ln>
                        </pic:spPr>
                      </pic:pic>
                    </a:graphicData>
                  </a:graphic>
                </wp:inline>
              </w:drawing>
            </w:r>
            <w:r>
              <w:rPr>
                <w:rFonts w:ascii="Times New Roman" w:hAnsi="Times New Roman" w:eastAsia="Times New Roman" w:cs="Times New Roman"/>
                <w:kern w:val="0"/>
                <w:sz w:val="24"/>
              </w:rPr>
              <w:t>9.12%</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57"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556"/>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6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557"/>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274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14.您对西宁市前营街幼儿园（城中区第一幼儿园）建设及投入运营整体是否满意？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本题平均分：13.38</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146</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714375" cy="114300"/>
                  <wp:effectExtent l="0" t="0" r="9525" b="0"/>
                  <wp:docPr id="56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58"/>
                          <pic:cNvPicPr>
                            <a:picLocks noChangeAspect="1"/>
                          </pic:cNvPicPr>
                        </pic:nvPicPr>
                        <pic:blipFill>
                          <a:blip r:embed="rId266"/>
                          <a:stretch>
                            <a:fillRect/>
                          </a:stretch>
                        </pic:blipFill>
                        <pic:spPr>
                          <a:xfrm>
                            <a:off x="0" y="0"/>
                            <a:ext cx="71437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638175" cy="114300"/>
                  <wp:effectExtent l="0" t="0" r="9525" b="0"/>
                  <wp:docPr id="516"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59"/>
                          <pic:cNvPicPr>
                            <a:picLocks noChangeAspect="1"/>
                          </pic:cNvPicPr>
                        </pic:nvPicPr>
                        <pic:blipFill>
                          <a:blip r:embed="rId267"/>
                          <a:stretch>
                            <a:fillRect/>
                          </a:stretch>
                        </pic:blipFill>
                        <pic:spPr>
                          <a:xfrm>
                            <a:off x="0" y="0"/>
                            <a:ext cx="638175" cy="114300"/>
                          </a:xfrm>
                          <a:prstGeom prst="rect">
                            <a:avLst/>
                          </a:prstGeom>
                          <a:noFill/>
                          <a:ln>
                            <a:noFill/>
                          </a:ln>
                        </pic:spPr>
                      </pic:pic>
                    </a:graphicData>
                  </a:graphic>
                </wp:inline>
              </w:drawing>
            </w:r>
            <w:r>
              <w:rPr>
                <w:rFonts w:ascii="Times New Roman" w:hAnsi="Times New Roman" w:eastAsia="Times New Roman" w:cs="Times New Roman"/>
                <w:kern w:val="0"/>
                <w:sz w:val="24"/>
              </w:rPr>
              <w:t>53.28%</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114</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61975" cy="114300"/>
                  <wp:effectExtent l="0" t="0" r="9525" b="0"/>
                  <wp:docPr id="519"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560"/>
                          <pic:cNvPicPr>
                            <a:picLocks noChangeAspect="1"/>
                          </pic:cNvPicPr>
                        </pic:nvPicPr>
                        <pic:blipFill>
                          <a:blip r:embed="rId268"/>
                          <a:stretch>
                            <a:fillRect/>
                          </a:stretch>
                        </pic:blipFill>
                        <pic:spPr>
                          <a:xfrm>
                            <a:off x="0" y="0"/>
                            <a:ext cx="56197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790575" cy="114300"/>
                  <wp:effectExtent l="0" t="0" r="9525" b="0"/>
                  <wp:docPr id="514"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61"/>
                          <pic:cNvPicPr>
                            <a:picLocks noChangeAspect="1"/>
                          </pic:cNvPicPr>
                        </pic:nvPicPr>
                        <pic:blipFill>
                          <a:blip r:embed="rId269"/>
                          <a:stretch>
                            <a:fillRect/>
                          </a:stretch>
                        </pic:blipFill>
                        <pic:spPr>
                          <a:xfrm>
                            <a:off x="0" y="0"/>
                            <a:ext cx="790575" cy="114300"/>
                          </a:xfrm>
                          <a:prstGeom prst="rect">
                            <a:avLst/>
                          </a:prstGeom>
                          <a:noFill/>
                          <a:ln>
                            <a:noFill/>
                          </a:ln>
                        </pic:spPr>
                      </pic:pic>
                    </a:graphicData>
                  </a:graphic>
                </wp:inline>
              </w:drawing>
            </w:r>
            <w:r>
              <w:rPr>
                <w:rFonts w:ascii="Times New Roman" w:hAnsi="Times New Roman" w:eastAsia="Times New Roman" w:cs="Times New Roman"/>
                <w:kern w:val="0"/>
                <w:sz w:val="24"/>
              </w:rPr>
              <w:t>41.61%</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13</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7150" cy="114300"/>
                  <wp:effectExtent l="0" t="0" r="0" b="0"/>
                  <wp:docPr id="518"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562"/>
                          <pic:cNvPicPr>
                            <a:picLocks noChangeAspect="1"/>
                          </pic:cNvPicPr>
                        </pic:nvPicPr>
                        <pic:blipFill>
                          <a:blip r:embed="rId99"/>
                          <a:stretch>
                            <a:fillRect/>
                          </a:stretch>
                        </pic:blipFill>
                        <pic:spPr>
                          <a:xfrm>
                            <a:off x="0" y="0"/>
                            <a:ext cx="5715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295400" cy="114300"/>
                  <wp:effectExtent l="0" t="0" r="0" b="0"/>
                  <wp:docPr id="515"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563"/>
                          <pic:cNvPicPr>
                            <a:picLocks noChangeAspect="1"/>
                          </pic:cNvPicPr>
                        </pic:nvPicPr>
                        <pic:blipFill>
                          <a:blip r:embed="rId100"/>
                          <a:stretch>
                            <a:fillRect/>
                          </a:stretch>
                        </pic:blipFill>
                        <pic:spPr>
                          <a:xfrm>
                            <a:off x="0" y="0"/>
                            <a:ext cx="1295400" cy="114300"/>
                          </a:xfrm>
                          <a:prstGeom prst="rect">
                            <a:avLst/>
                          </a:prstGeom>
                          <a:noFill/>
                          <a:ln>
                            <a:noFill/>
                          </a:ln>
                        </pic:spPr>
                      </pic:pic>
                    </a:graphicData>
                  </a:graphic>
                </wp:inline>
              </w:drawing>
            </w:r>
            <w:r>
              <w:rPr>
                <w:rFonts w:ascii="Times New Roman" w:hAnsi="Times New Roman" w:eastAsia="Times New Roman" w:cs="Times New Roman"/>
                <w:kern w:val="0"/>
                <w:sz w:val="24"/>
              </w:rPr>
              <w:t>4.74%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20"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564"/>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0.36%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517"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65"/>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274</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0"/>
          <w:szCs w:val="20"/>
        </w:rPr>
      </w:pPr>
      <w:r>
        <w:rPr>
          <w:rFonts w:ascii="Helvetica" w:hAnsi="Helvetica" w:eastAsia="Helvetica" w:cs="Helvetica"/>
          <w:b/>
          <w:bCs/>
          <w:i w:val="0"/>
          <w:iCs w:val="0"/>
          <w:caps w:val="0"/>
          <w:color w:val="333333"/>
          <w:spacing w:val="0"/>
          <w:sz w:val="20"/>
          <w:szCs w:val="20"/>
          <w:shd w:val="clear" w:fill="FFFFFF"/>
        </w:rPr>
        <w:t>题目平均分之和：</w:t>
      </w:r>
      <w:r>
        <w:rPr>
          <w:rFonts w:hint="default" w:ascii="Helvetica" w:hAnsi="Helvetica" w:eastAsia="Helvetica" w:cs="Helvetica"/>
          <w:b/>
          <w:bCs/>
          <w:i w:val="0"/>
          <w:iCs w:val="0"/>
          <w:caps w:val="0"/>
          <w:color w:val="1EA0FA"/>
          <w:spacing w:val="0"/>
          <w:sz w:val="20"/>
          <w:szCs w:val="20"/>
          <w:shd w:val="clear" w:fill="FFFFFF"/>
        </w:rPr>
        <w:t>87.67</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15.您对西宁市前营街幼儿园（城中区第一幼儿园）建设项目还有什么意见或建议?   </w:t>
      </w:r>
      <w:r>
        <w:rPr>
          <w:rFonts w:ascii="Times New Roman" w:hAnsi="Times New Roman" w:eastAsia="Times New Roman" w:cs="Times New Roman"/>
          <w:b w:val="0"/>
          <w:color w:val="0066FF"/>
          <w:kern w:val="0"/>
          <w:sz w:val="24"/>
        </w:rPr>
        <w:t>[填空题]</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78"/>
        <w:gridCol w:w="2350"/>
        <w:gridCol w:w="1122"/>
        <w:gridCol w:w="4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tblHeader/>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提交答卷时间</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来源</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答案文本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18:28:22</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18:30:10</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老师多跟孩子沟通，培养好的性情。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18:36:32</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挺好的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18:43:53</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政府加大教学设备投入，加餐全部现做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19:00:04</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希望多多开设亲子活动或者亲子课程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19:01:45</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19:21:11</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19:21:42</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希望政府加大投资力度，提高教师待遇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19:22:27</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整体都很满意，没有意见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19:23:37</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19:28:13</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已经很不错了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19:41:46</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19:42:28</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很好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19:43:05</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目前没有，非常满意！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19:45:56</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19:48:02</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幼儿餐食有待提高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19:48:26</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无。很满意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19:48:29</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都很好，很满意，收费合理。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19:48:50</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20:09:02</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20:27:09</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继续保持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20:27:35</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20:29:39</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20:32:01</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孩子的用餐方面还是希望进一步提高营养搭配，不用过多给孩子提供有包装袋的食品，以及校外采购的全加工或半加工食品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20:37:30</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94</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20:46:00</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97</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20:50:30</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希望可以多增加孩子的体能运动项目，多培养孩子对群体的融入感！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99</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21:09:34</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21:13:20</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101</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21:13:40</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102</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21:14:57</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103</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21:16:17</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多给孩子一些户外活动的空间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111</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21:21:56</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116</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21:25:46</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118</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21:26:25</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可以多开展家园共育活动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119</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21:27:03</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120</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21:27:10</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收费过高，建议政府多补贴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123</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21:27:42</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希望越来越好！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125</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21:27:44</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放学延迟。和家长正常上下班时间能衔接上。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21:29:58</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没意见，非常棒。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131</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21:29:59</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停车不方便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135</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21:34:58</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21:36:33</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139</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21:42:32</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挺满意的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140</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21:42:58</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希望下次的学费可以开正规发票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142</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21:43:28</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希望越来越好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21:43:43</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如果能再增加几个兴趣班就好了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21:44:14</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21:44:46</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放学时间早一点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149</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21:46:21</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152</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21:47:01</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21:48:17</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157</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21:48:28</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暂时没有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158</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21:48:30</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降低收费，提高伙食质量，提高教育教学水平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159</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21:48:53</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注重幼儿阅读   中华传统文化渗透   中华礼仪教授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160</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21:49:08</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170</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21:51:03</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保育费有点贵，能否降低一点。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171</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21:51:08</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快乐教育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175</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21:52:33</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天热时，多增加孩子课外活动课程和时间。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177</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21:52:35</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学费能便宜点就好了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178</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21:52:42</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校园前后门外马路上应该设立减速带。保证孩子出行安全。校外车辆较多设立减速带是刚性问题。希望院方关注。谢谢！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21:52:47</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暂无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182</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21:53:05</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21:54:27</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21:55:06</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挺好，无意见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190</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21:55:29</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应该配个校车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192</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21:57:00</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21:57:22</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天热时，增加孩子课外活动课程和时间。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194</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21:57:28</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195</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21:57:31</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操场种几棵树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197</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21:58:02</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老师很负责！提高老师的薪资待遇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198</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21:59:06</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203</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22:01:15</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配校车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22:07:39</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多让孩子在户外活动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22:09:27</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214</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22:12:45</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改善前述不足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219</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22:18:27</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22:20:51</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教学用地，原玉井巷小学教学楼，重新装修继续使用，基础设施不如新建校园，功能室建立不齐全，各项活动都是给家长布置作业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235</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22:29:27</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245</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22:41:12</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环境可以更好一些。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248</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22:42:20</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250</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22:43:22</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251</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22:44:15</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建议提高伙食质量，在提升后勤保障质效上下点功夫。教学方法太单一，思维固化，希望有所创新。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253</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22:46:10</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整体来说都是很好的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264</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23:05:12</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增加学前教育的对接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268</w:t>
            </w:r>
          </w:p>
        </w:tc>
        <w:tc>
          <w:tcPr>
            <w:tcW w:w="1297"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23:19:49</w:t>
            </w:r>
          </w:p>
        </w:tc>
        <w:tc>
          <w:tcPr>
            <w:tcW w:w="619" w:type="pct"/>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left"/>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bottom"/>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希望小班招生开设春季班。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269</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2021/11/23 23:23:43</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小孩吃饭能不能搞点实惠的 不要每天什么美篇的羊肉牛肉的天花乱坠就算是洋芋泡馍馍， 小孩吃的实在最重要！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275</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0:28:50</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276</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0:48:29</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希望下午放学时间能够与小学同步，这样两个孩子的家庭可以同时接走小学和幼儿园的孩子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277</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1:15:03</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278</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1:20:23</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279</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1:22:18</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280</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1:23:49</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284</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4:05:41</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如果能开设第二课堂（兴趣班）就更好了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286</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6:20:24</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290</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7:10:34</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希望学费能有一定程度的降低。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293</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7:16:01</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298</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7:29:16</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304</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7:35:54</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309</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7:40:54</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希望孩子的伙食能够改善一下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7:41:14</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给孩子的吃饭量太少了比如吃饺子学校就只给三个，而孩子在家都能吃七八个！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311</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7:41:48</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很满意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312</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7:42:12</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313</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7:42:58</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很满意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329</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8:11:45</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337</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8:22:32</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340</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8:28:46</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341</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8:30:15</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没有意见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346</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8:38:55</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孩子回家很高兴，很赞！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352</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8:48:54</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希望幼儿园老师能给中大班的孩子教授一些比较简单的入门级的汉字、数字、古诗等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367</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9:50:50</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建设项目具体不清楚，希望小朋友伙食可以吃好一点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368</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9:54:19</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伙食再完善一下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370</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10:01:08</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373</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10:21:44</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微信</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374"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381</w:t>
            </w:r>
          </w:p>
        </w:tc>
        <w:tc>
          <w:tcPr>
            <w:tcW w:w="1297"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2021/11/24 17:14:56</w:t>
            </w:r>
          </w:p>
        </w:tc>
        <w:tc>
          <w:tcPr>
            <w:tcW w:w="619" w:type="pct"/>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手机提交</w:t>
            </w:r>
          </w:p>
        </w:tc>
        <w:tc>
          <w:tcPr>
            <w:tcW w:w="2708" w:type="pct"/>
            <w:shd w:val="clear" w:color="auto" w:fill="auto"/>
            <w:vAlign w:val="center"/>
          </w:tcPr>
          <w:p>
            <w:pPr>
              <w:keepNext w:val="0"/>
              <w:keepLines w:val="0"/>
              <w:pageBreakBefore w:val="0"/>
              <w:widowControl/>
              <w:suppressLineNumbers w:val="0"/>
              <w:kinsoku/>
              <w:wordWrap/>
              <w:overflowPunct/>
              <w:topLinePunct w:val="0"/>
              <w:autoSpaceDE/>
              <w:autoSpaceDN/>
              <w:bidi w:val="0"/>
              <w:adjustRightInd w:val="0"/>
              <w:snapToGrid w:val="0"/>
              <w:spacing w:line="576" w:lineRule="exact"/>
              <w:ind w:left="0" w:leftChars="0" w:firstLine="0" w:firstLineChars="0"/>
              <w:jc w:val="both"/>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无意见</w:t>
            </w:r>
          </w:p>
        </w:tc>
      </w:tr>
    </w:tbl>
    <w:p>
      <w:pPr>
        <w:pageBreakBefore w:val="0"/>
        <w:overflowPunct/>
        <w:topLinePunct w:val="0"/>
        <w:bidi w:val="0"/>
        <w:spacing w:line="576" w:lineRule="exact"/>
        <w:ind w:left="0" w:leftChars="0"/>
        <w:rPr>
          <w:rFonts w:hint="eastAsia" w:cs="Times New Roman"/>
          <w:lang w:val="en-US" w:eastAsia="zh-CN"/>
        </w:rPr>
      </w:pPr>
    </w:p>
    <w:p>
      <w:pPr>
        <w:pageBreakBefore w:val="0"/>
        <w:overflowPunct/>
        <w:topLinePunct w:val="0"/>
        <w:bidi w:val="0"/>
        <w:spacing w:line="576" w:lineRule="exact"/>
        <w:ind w:left="0" w:leftChars="0"/>
        <w:rPr>
          <w:rFonts w:hint="eastAsia" w:ascii="宋体" w:hAnsi="宋体" w:eastAsia="宋体" w:cs="宋体"/>
          <w:b/>
          <w:color w:val="000000"/>
          <w:kern w:val="0"/>
          <w:sz w:val="28"/>
          <w:szCs w:val="28"/>
          <w:lang w:val="en-US" w:eastAsia="zh-CN"/>
        </w:rPr>
      </w:pPr>
      <w:r>
        <w:rPr>
          <w:rFonts w:hint="eastAsia" w:ascii="宋体" w:hAnsi="宋体" w:eastAsia="宋体" w:cs="宋体"/>
          <w:b/>
          <w:color w:val="000000"/>
          <w:kern w:val="0"/>
          <w:sz w:val="28"/>
          <w:szCs w:val="28"/>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color w:val="000000"/>
          <w:kern w:val="0"/>
          <w:sz w:val="28"/>
          <w:szCs w:val="28"/>
        </w:rPr>
      </w:pPr>
      <w:r>
        <w:rPr>
          <w:rFonts w:hint="eastAsia" w:ascii="宋体" w:hAnsi="宋体" w:eastAsia="宋体" w:cs="宋体"/>
          <w:b/>
          <w:color w:val="000000"/>
          <w:kern w:val="0"/>
          <w:sz w:val="28"/>
          <w:szCs w:val="28"/>
          <w:lang w:val="en-US" w:eastAsia="zh-CN"/>
        </w:rPr>
        <w:t>西宁市城中区前营街幼儿园（城中区第一幼儿园）建设</w:t>
      </w:r>
      <w:r>
        <w:rPr>
          <w:rFonts w:hint="eastAsia" w:ascii="宋体" w:hAnsi="宋体" w:eastAsia="宋体" w:cs="宋体"/>
          <w:b/>
          <w:color w:val="000000"/>
          <w:kern w:val="0"/>
          <w:sz w:val="28"/>
          <w:szCs w:val="28"/>
        </w:rPr>
        <w:t>项目</w:t>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jc w:val="center"/>
        <w:textAlignment w:val="auto"/>
        <w:rPr>
          <w:rFonts w:hint="eastAsia" w:ascii="宋体" w:hAnsi="宋体" w:eastAsia="宋体" w:cs="宋体"/>
          <w:b/>
          <w:color w:val="000000"/>
          <w:kern w:val="0"/>
          <w:sz w:val="28"/>
          <w:szCs w:val="28"/>
          <w:lang w:val="en-US" w:eastAsia="zh-CN"/>
        </w:rPr>
      </w:pPr>
      <w:r>
        <w:rPr>
          <w:rFonts w:hint="eastAsia" w:ascii="宋体" w:hAnsi="宋体" w:eastAsia="宋体" w:cs="宋体"/>
          <w:b/>
          <w:color w:val="000000"/>
          <w:kern w:val="0"/>
          <w:sz w:val="28"/>
          <w:szCs w:val="28"/>
          <w:lang w:val="en-US" w:eastAsia="zh-CN"/>
        </w:rPr>
        <w:t>调查问卷统计情况</w:t>
      </w:r>
    </w:p>
    <w:p>
      <w:pPr>
        <w:pageBreakBefore w:val="0"/>
        <w:overflowPunct/>
        <w:topLinePunct w:val="0"/>
        <w:bidi w:val="0"/>
        <w:spacing w:line="576" w:lineRule="exact"/>
        <w:ind w:left="0" w:leftChars="0"/>
        <w:jc w:val="center"/>
        <w:rPr>
          <w:rFonts w:hint="eastAsia" w:cs="Times New Roman"/>
          <w:lang w:eastAsia="zh-CN"/>
        </w:rPr>
      </w:pPr>
      <w:r>
        <w:rPr>
          <w:rFonts w:hint="eastAsia" w:ascii="宋体" w:hAnsi="宋体" w:eastAsia="宋体" w:cs="宋体"/>
          <w:b/>
          <w:color w:val="000000"/>
          <w:kern w:val="0"/>
          <w:sz w:val="28"/>
          <w:szCs w:val="28"/>
          <w:lang w:val="en-US" w:eastAsia="zh-CN"/>
        </w:rPr>
        <w:t>（其他人员）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40"/>
          <w:szCs w:val="32"/>
        </w:rPr>
      </w:pPr>
      <w:r>
        <w:rPr>
          <w:rFonts w:ascii="Times New Roman" w:hAnsi="Times New Roman" w:eastAsia="Times New Roman" w:cs="Times New Roman"/>
          <w:color w:val="444444"/>
          <w:kern w:val="0"/>
          <w:sz w:val="24"/>
          <w:szCs w:val="24"/>
          <w:rtl w:val="0"/>
        </w:rPr>
        <w:t>一、基本信息</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1.您的身份是?   </w:t>
      </w:r>
      <w:r>
        <w:rPr>
          <w:rFonts w:ascii="Times New Roman" w:hAnsi="Times New Roman" w:eastAsia="Times New Roman" w:cs="Times New Roman"/>
          <w:b w:val="0"/>
          <w:color w:val="0066FF"/>
          <w:kern w:val="0"/>
          <w:sz w:val="24"/>
        </w:rPr>
        <w:t>[单选题]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73"/>
        <w:gridCol w:w="1099"/>
        <w:gridCol w:w="45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A.在校教师</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52"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图片 836"/>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B.家长</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55"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 name="图片 837"/>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C.其他人员</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56"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图片 838"/>
                          <pic:cNvPicPr>
                            <a:picLocks noChangeAspect="1"/>
                          </pic:cNvPicPr>
                        </pic:nvPicPr>
                        <pic:blipFill>
                          <a:blip r:embed="rId217"/>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2.您的性别?   </w:t>
      </w:r>
      <w:r>
        <w:rPr>
          <w:rFonts w:ascii="Times New Roman" w:hAnsi="Times New Roman" w:eastAsia="Times New Roman" w:cs="Times New Roman"/>
          <w:b w:val="0"/>
          <w:color w:val="0066FF"/>
          <w:kern w:val="0"/>
          <w:sz w:val="24"/>
        </w:rPr>
        <w:t>[单选题]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A.男</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0" cy="114300"/>
                  <wp:effectExtent l="0" t="0" r="0" b="0"/>
                  <wp:docPr id="842" name="图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图片 839"/>
                          <pic:cNvPicPr>
                            <a:picLocks noChangeAspect="1"/>
                          </pic:cNvPicPr>
                        </pic:nvPicPr>
                        <pic:blipFill>
                          <a:blip r:embed="rId270"/>
                          <a:stretch>
                            <a:fillRect/>
                          </a:stretch>
                        </pic:blipFill>
                        <pic:spPr>
                          <a:xfrm>
                            <a:off x="0" y="0"/>
                            <a:ext cx="3810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71550" cy="114300"/>
                  <wp:effectExtent l="0" t="0" r="0" b="0"/>
                  <wp:docPr id="858" name="图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图片 840"/>
                          <pic:cNvPicPr>
                            <a:picLocks noChangeAspect="1"/>
                          </pic:cNvPicPr>
                        </pic:nvPicPr>
                        <pic:blipFill>
                          <a:blip r:embed="rId271"/>
                          <a:stretch>
                            <a:fillRect/>
                          </a:stretch>
                        </pic:blipFill>
                        <pic:spPr>
                          <a:xfrm>
                            <a:off x="0" y="0"/>
                            <a:ext cx="971550" cy="114300"/>
                          </a:xfrm>
                          <a:prstGeom prst="rect">
                            <a:avLst/>
                          </a:prstGeom>
                          <a:noFill/>
                          <a:ln>
                            <a:noFill/>
                          </a:ln>
                        </pic:spPr>
                      </pic:pic>
                    </a:graphicData>
                  </a:graphic>
                </wp:inline>
              </w:drawing>
            </w:r>
            <w:r>
              <w:rPr>
                <w:rFonts w:ascii="Times New Roman" w:hAnsi="Times New Roman" w:eastAsia="Times New Roman" w:cs="Times New Roman"/>
                <w:kern w:val="0"/>
                <w:sz w:val="24"/>
              </w:rPr>
              <w:t>28.57%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B.女</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5</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962025" cy="114300"/>
                  <wp:effectExtent l="0" t="0" r="9525" b="0"/>
                  <wp:docPr id="857" name="图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图片 841"/>
                          <pic:cNvPicPr>
                            <a:picLocks noChangeAspect="1"/>
                          </pic:cNvPicPr>
                        </pic:nvPicPr>
                        <pic:blipFill>
                          <a:blip r:embed="rId272"/>
                          <a:stretch>
                            <a:fillRect/>
                          </a:stretch>
                        </pic:blipFill>
                        <pic:spPr>
                          <a:xfrm>
                            <a:off x="0" y="0"/>
                            <a:ext cx="9620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390525" cy="114300"/>
                  <wp:effectExtent l="0" t="0" r="9525" b="0"/>
                  <wp:docPr id="859" name="图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图片 842"/>
                          <pic:cNvPicPr>
                            <a:picLocks noChangeAspect="1"/>
                          </pic:cNvPicPr>
                        </pic:nvPicPr>
                        <pic:blipFill>
                          <a:blip r:embed="rId273"/>
                          <a:stretch>
                            <a:fillRect/>
                          </a:stretch>
                        </pic:blipFill>
                        <pic:spPr>
                          <a:xfrm>
                            <a:off x="0" y="0"/>
                            <a:ext cx="390525" cy="114300"/>
                          </a:xfrm>
                          <a:prstGeom prst="rect">
                            <a:avLst/>
                          </a:prstGeom>
                          <a:noFill/>
                          <a:ln>
                            <a:noFill/>
                          </a:ln>
                        </pic:spPr>
                      </pic:pic>
                    </a:graphicData>
                  </a:graphic>
                </wp:inline>
              </w:drawing>
            </w:r>
            <w:r>
              <w:rPr>
                <w:rFonts w:ascii="Times New Roman" w:hAnsi="Times New Roman" w:eastAsia="Times New Roman" w:cs="Times New Roman"/>
                <w:kern w:val="0"/>
                <w:sz w:val="24"/>
              </w:rPr>
              <w:t>71.43%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3.您的年龄?   </w:t>
      </w:r>
      <w:r>
        <w:rPr>
          <w:rFonts w:ascii="Times New Roman" w:hAnsi="Times New Roman" w:eastAsia="Times New Roman" w:cs="Times New Roman"/>
          <w:b w:val="0"/>
          <w:color w:val="0066FF"/>
          <w:kern w:val="0"/>
          <w:sz w:val="24"/>
        </w:rPr>
        <w:t>[单选题]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A.18岁以下</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44" name="图片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图片 843"/>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B.18-29岁</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50" name="图片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图片 844"/>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C.30-44岁</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4</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771525" cy="114300"/>
                  <wp:effectExtent l="0" t="0" r="9525" b="0"/>
                  <wp:docPr id="846" name="图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图片 845"/>
                          <pic:cNvPicPr>
                            <a:picLocks noChangeAspect="1"/>
                          </pic:cNvPicPr>
                        </pic:nvPicPr>
                        <pic:blipFill>
                          <a:blip r:embed="rId274"/>
                          <a:stretch>
                            <a:fillRect/>
                          </a:stretch>
                        </pic:blipFill>
                        <pic:spPr>
                          <a:xfrm>
                            <a:off x="0" y="0"/>
                            <a:ext cx="7715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581025" cy="114300"/>
                  <wp:effectExtent l="0" t="0" r="9525" b="0"/>
                  <wp:docPr id="840" name="图片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图片 846"/>
                          <pic:cNvPicPr>
                            <a:picLocks noChangeAspect="1"/>
                          </pic:cNvPicPr>
                        </pic:nvPicPr>
                        <pic:blipFill>
                          <a:blip r:embed="rId275"/>
                          <a:stretch>
                            <a:fillRect/>
                          </a:stretch>
                        </pic:blipFill>
                        <pic:spPr>
                          <a:xfrm>
                            <a:off x="0" y="0"/>
                            <a:ext cx="581025" cy="114300"/>
                          </a:xfrm>
                          <a:prstGeom prst="rect">
                            <a:avLst/>
                          </a:prstGeom>
                          <a:noFill/>
                          <a:ln>
                            <a:noFill/>
                          </a:ln>
                        </pic:spPr>
                      </pic:pic>
                    </a:graphicData>
                  </a:graphic>
                </wp:inline>
              </w:drawing>
            </w:r>
            <w:r>
              <w:rPr>
                <w:rFonts w:ascii="Times New Roman" w:hAnsi="Times New Roman" w:eastAsia="Times New Roman" w:cs="Times New Roman"/>
                <w:kern w:val="0"/>
                <w:sz w:val="24"/>
              </w:rPr>
              <w:t>57.14%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D.45-64岁</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71500" cy="114300"/>
                  <wp:effectExtent l="0" t="0" r="0" b="0"/>
                  <wp:docPr id="841" name="图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图片 847"/>
                          <pic:cNvPicPr>
                            <a:picLocks noChangeAspect="1"/>
                          </pic:cNvPicPr>
                        </pic:nvPicPr>
                        <pic:blipFill>
                          <a:blip r:embed="rId276"/>
                          <a:stretch>
                            <a:fillRect/>
                          </a:stretch>
                        </pic:blipFill>
                        <pic:spPr>
                          <a:xfrm>
                            <a:off x="0" y="0"/>
                            <a:ext cx="571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781050" cy="114300"/>
                  <wp:effectExtent l="0" t="0" r="0" b="0"/>
                  <wp:docPr id="843" name="图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图片 848"/>
                          <pic:cNvPicPr>
                            <a:picLocks noChangeAspect="1"/>
                          </pic:cNvPicPr>
                        </pic:nvPicPr>
                        <pic:blipFill>
                          <a:blip r:embed="rId277"/>
                          <a:stretch>
                            <a:fillRect/>
                          </a:stretch>
                        </pic:blipFill>
                        <pic:spPr>
                          <a:xfrm>
                            <a:off x="0" y="0"/>
                            <a:ext cx="781050" cy="114300"/>
                          </a:xfrm>
                          <a:prstGeom prst="rect">
                            <a:avLst/>
                          </a:prstGeom>
                          <a:noFill/>
                          <a:ln>
                            <a:noFill/>
                          </a:ln>
                        </pic:spPr>
                      </pic:pic>
                    </a:graphicData>
                  </a:graphic>
                </wp:inline>
              </w:drawing>
            </w:r>
            <w:r>
              <w:rPr>
                <w:rFonts w:ascii="Times New Roman" w:hAnsi="Times New Roman" w:eastAsia="Times New Roman" w:cs="Times New Roman"/>
                <w:kern w:val="0"/>
                <w:sz w:val="24"/>
              </w:rPr>
              <w:t>42.86%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E.65岁以上</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54" name="图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图片 849"/>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4.您对西宁市前营街幼儿园（城中区第一幼儿园）建设项目了解吗?   </w:t>
      </w:r>
      <w:r>
        <w:rPr>
          <w:rFonts w:ascii="Times New Roman" w:hAnsi="Times New Roman" w:eastAsia="Times New Roman" w:cs="Times New Roman"/>
          <w:b w:val="0"/>
          <w:color w:val="0066FF"/>
          <w:kern w:val="0"/>
          <w:sz w:val="24"/>
        </w:rPr>
        <w:t>[单选题]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373"/>
        <w:gridCol w:w="1099"/>
        <w:gridCol w:w="458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51" name="图片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图片 850"/>
                          <pic:cNvPicPr>
                            <a:picLocks noChangeAspect="1"/>
                          </pic:cNvPicPr>
                        </pic:nvPicPr>
                        <pic:blipFill>
                          <a:blip r:embed="rId217"/>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100%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B.否</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45" name="图片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图片 851"/>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32"/>
          <w:szCs w:val="32"/>
        </w:rPr>
      </w:pPr>
      <w:r>
        <w:rPr>
          <w:rFonts w:ascii="Times New Roman" w:hAnsi="Times New Roman" w:eastAsia="Times New Roman" w:cs="Times New Roman"/>
          <w:color w:val="444444"/>
          <w:kern w:val="0"/>
          <w:sz w:val="24"/>
          <w:szCs w:val="24"/>
          <w:rtl w:val="0"/>
        </w:rPr>
        <w:t>二、满意度问题</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b w:val="0"/>
          <w:color w:val="000000"/>
          <w:kern w:val="0"/>
          <w:sz w:val="24"/>
        </w:rPr>
        <w:t xml:space="preserve">5.您对新建的西宁市前营街幼儿园（城中区第一幼儿园）周边环境是否满意？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本题平均分：8.57</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55"/>
        <w:gridCol w:w="950"/>
        <w:gridCol w:w="425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0" cy="114300"/>
                  <wp:effectExtent l="0" t="0" r="0" b="0"/>
                  <wp:docPr id="847" name="图片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图片 852"/>
                          <pic:cNvPicPr>
                            <a:picLocks noChangeAspect="1"/>
                          </pic:cNvPicPr>
                        </pic:nvPicPr>
                        <pic:blipFill>
                          <a:blip r:embed="rId270"/>
                          <a:stretch>
                            <a:fillRect/>
                          </a:stretch>
                        </pic:blipFill>
                        <pic:spPr>
                          <a:xfrm>
                            <a:off x="0" y="0"/>
                            <a:ext cx="3810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71550" cy="114300"/>
                  <wp:effectExtent l="0" t="0" r="0" b="0"/>
                  <wp:docPr id="848" name="图片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图片 853"/>
                          <pic:cNvPicPr>
                            <a:picLocks noChangeAspect="1"/>
                          </pic:cNvPicPr>
                        </pic:nvPicPr>
                        <pic:blipFill>
                          <a:blip r:embed="rId271"/>
                          <a:stretch>
                            <a:fillRect/>
                          </a:stretch>
                        </pic:blipFill>
                        <pic:spPr>
                          <a:xfrm>
                            <a:off x="0" y="0"/>
                            <a:ext cx="971550" cy="114300"/>
                          </a:xfrm>
                          <a:prstGeom prst="rect">
                            <a:avLst/>
                          </a:prstGeom>
                          <a:noFill/>
                          <a:ln>
                            <a:noFill/>
                          </a:ln>
                        </pic:spPr>
                      </pic:pic>
                    </a:graphicData>
                  </a:graphic>
                </wp:inline>
              </w:drawing>
            </w:r>
            <w:r>
              <w:rPr>
                <w:rFonts w:ascii="Times New Roman" w:hAnsi="Times New Roman" w:eastAsia="Times New Roman" w:cs="Times New Roman"/>
                <w:kern w:val="0"/>
                <w:sz w:val="24"/>
              </w:rPr>
              <w:t>28.57%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5</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962025" cy="114300"/>
                  <wp:effectExtent l="0" t="0" r="9525" b="0"/>
                  <wp:docPr id="849" name="图片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图片 854"/>
                          <pic:cNvPicPr>
                            <a:picLocks noChangeAspect="1"/>
                          </pic:cNvPicPr>
                        </pic:nvPicPr>
                        <pic:blipFill>
                          <a:blip r:embed="rId272"/>
                          <a:stretch>
                            <a:fillRect/>
                          </a:stretch>
                        </pic:blipFill>
                        <pic:spPr>
                          <a:xfrm>
                            <a:off x="0" y="0"/>
                            <a:ext cx="9620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390525" cy="114300"/>
                  <wp:effectExtent l="0" t="0" r="9525" b="0"/>
                  <wp:docPr id="853" name="图片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图片 855"/>
                          <pic:cNvPicPr>
                            <a:picLocks noChangeAspect="1"/>
                          </pic:cNvPicPr>
                        </pic:nvPicPr>
                        <pic:blipFill>
                          <a:blip r:embed="rId273"/>
                          <a:stretch>
                            <a:fillRect/>
                          </a:stretch>
                        </pic:blipFill>
                        <pic:spPr>
                          <a:xfrm>
                            <a:off x="0" y="0"/>
                            <a:ext cx="390525" cy="114300"/>
                          </a:xfrm>
                          <a:prstGeom prst="rect">
                            <a:avLst/>
                          </a:prstGeom>
                          <a:noFill/>
                          <a:ln>
                            <a:noFill/>
                          </a:ln>
                        </pic:spPr>
                      </pic:pic>
                    </a:graphicData>
                  </a:graphic>
                </wp:inline>
              </w:drawing>
            </w:r>
            <w:r>
              <w:rPr>
                <w:rFonts w:ascii="Times New Roman" w:hAnsi="Times New Roman" w:eastAsia="Times New Roman" w:cs="Times New Roman"/>
                <w:kern w:val="0"/>
                <w:sz w:val="24"/>
              </w:rPr>
              <w:t>71.43%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62"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图片 856"/>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D.不满意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67" name="图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 name="图片 857"/>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E.非常不满意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86"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图片 858"/>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6.您对新建的西宁市前营街幼儿园（城中区第一幼儿园）设施环境是否满意？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本题平均分：8.86</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716"/>
        <w:gridCol w:w="976"/>
        <w:gridCol w:w="4369"/>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71500" cy="114300"/>
                  <wp:effectExtent l="0" t="0" r="0" b="0"/>
                  <wp:docPr id="891"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 name="图片 859"/>
                          <pic:cNvPicPr>
                            <a:picLocks noChangeAspect="1"/>
                          </pic:cNvPicPr>
                        </pic:nvPicPr>
                        <pic:blipFill>
                          <a:blip r:embed="rId276"/>
                          <a:stretch>
                            <a:fillRect/>
                          </a:stretch>
                        </pic:blipFill>
                        <pic:spPr>
                          <a:xfrm>
                            <a:off x="0" y="0"/>
                            <a:ext cx="571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781050" cy="114300"/>
                  <wp:effectExtent l="0" t="0" r="0" b="0"/>
                  <wp:docPr id="889"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 name="图片 860"/>
                          <pic:cNvPicPr>
                            <a:picLocks noChangeAspect="1"/>
                          </pic:cNvPicPr>
                        </pic:nvPicPr>
                        <pic:blipFill>
                          <a:blip r:embed="rId277"/>
                          <a:stretch>
                            <a:fillRect/>
                          </a:stretch>
                        </pic:blipFill>
                        <pic:spPr>
                          <a:xfrm>
                            <a:off x="0" y="0"/>
                            <a:ext cx="781050" cy="114300"/>
                          </a:xfrm>
                          <a:prstGeom prst="rect">
                            <a:avLst/>
                          </a:prstGeom>
                          <a:noFill/>
                          <a:ln>
                            <a:noFill/>
                          </a:ln>
                        </pic:spPr>
                      </pic:pic>
                    </a:graphicData>
                  </a:graphic>
                </wp:inline>
              </w:drawing>
            </w:r>
            <w:r>
              <w:rPr>
                <w:rFonts w:ascii="Times New Roman" w:hAnsi="Times New Roman" w:eastAsia="Times New Roman" w:cs="Times New Roman"/>
                <w:kern w:val="0"/>
                <w:sz w:val="24"/>
              </w:rPr>
              <w:t>42.86%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4</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771525" cy="114300"/>
                  <wp:effectExtent l="0" t="0" r="9525" b="0"/>
                  <wp:docPr id="874"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861"/>
                          <pic:cNvPicPr>
                            <a:picLocks noChangeAspect="1"/>
                          </pic:cNvPicPr>
                        </pic:nvPicPr>
                        <pic:blipFill>
                          <a:blip r:embed="rId274"/>
                          <a:stretch>
                            <a:fillRect/>
                          </a:stretch>
                        </pic:blipFill>
                        <pic:spPr>
                          <a:xfrm>
                            <a:off x="0" y="0"/>
                            <a:ext cx="7715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581025" cy="114300"/>
                  <wp:effectExtent l="0" t="0" r="9525" b="0"/>
                  <wp:docPr id="864"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图片 862"/>
                          <pic:cNvPicPr>
                            <a:picLocks noChangeAspect="1"/>
                          </pic:cNvPicPr>
                        </pic:nvPicPr>
                        <pic:blipFill>
                          <a:blip r:embed="rId275"/>
                          <a:stretch>
                            <a:fillRect/>
                          </a:stretch>
                        </pic:blipFill>
                        <pic:spPr>
                          <a:xfrm>
                            <a:off x="0" y="0"/>
                            <a:ext cx="581025" cy="114300"/>
                          </a:xfrm>
                          <a:prstGeom prst="rect">
                            <a:avLst/>
                          </a:prstGeom>
                          <a:noFill/>
                          <a:ln>
                            <a:noFill/>
                          </a:ln>
                        </pic:spPr>
                      </pic:pic>
                    </a:graphicData>
                  </a:graphic>
                </wp:inline>
              </w:drawing>
            </w:r>
            <w:r>
              <w:rPr>
                <w:rFonts w:ascii="Times New Roman" w:hAnsi="Times New Roman" w:eastAsia="Times New Roman" w:cs="Times New Roman"/>
                <w:kern w:val="0"/>
                <w:sz w:val="24"/>
              </w:rPr>
              <w:t>57.14%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65" name="图片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图片 863"/>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D.不满意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78" name="图片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图片 864"/>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E.非常不满意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66"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图片 865"/>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7.您对新建的西宁市前营街幼儿园（城中区第一幼儿园）交通是否满意？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本题平均分：7.86</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55"/>
        <w:gridCol w:w="950"/>
        <w:gridCol w:w="4256"/>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90500" cy="114300"/>
                  <wp:effectExtent l="0" t="0" r="0" b="0"/>
                  <wp:docPr id="869"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图片 866"/>
                          <pic:cNvPicPr>
                            <a:picLocks noChangeAspect="1"/>
                          </pic:cNvPicPr>
                        </pic:nvPicPr>
                        <pic:blipFill>
                          <a:blip r:embed="rId135"/>
                          <a:stretch>
                            <a:fillRect/>
                          </a:stretch>
                        </pic:blipFill>
                        <pic:spPr>
                          <a:xfrm>
                            <a:off x="0" y="0"/>
                            <a:ext cx="190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162050" cy="114300"/>
                  <wp:effectExtent l="0" t="0" r="0" b="0"/>
                  <wp:docPr id="875"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867"/>
                          <pic:cNvPicPr>
                            <a:picLocks noChangeAspect="1"/>
                          </pic:cNvPicPr>
                        </pic:nvPicPr>
                        <pic:blipFill>
                          <a:blip r:embed="rId136"/>
                          <a:stretch>
                            <a:fillRect/>
                          </a:stretch>
                        </pic:blipFill>
                        <pic:spPr>
                          <a:xfrm>
                            <a:off x="0" y="0"/>
                            <a:ext cx="1162050" cy="114300"/>
                          </a:xfrm>
                          <a:prstGeom prst="rect">
                            <a:avLst/>
                          </a:prstGeom>
                          <a:noFill/>
                          <a:ln>
                            <a:noFill/>
                          </a:ln>
                        </pic:spPr>
                      </pic:pic>
                    </a:graphicData>
                  </a:graphic>
                </wp:inline>
              </w:drawing>
            </w:r>
            <w:r>
              <w:rPr>
                <w:rFonts w:ascii="Times New Roman" w:hAnsi="Times New Roman" w:eastAsia="Times New Roman" w:cs="Times New Roman"/>
                <w:kern w:val="0"/>
                <w:sz w:val="24"/>
              </w:rPr>
              <w:t>14.29%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5</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962025" cy="114300"/>
                  <wp:effectExtent l="0" t="0" r="9525" b="0"/>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图片 868"/>
                          <pic:cNvPicPr>
                            <a:picLocks noChangeAspect="1"/>
                          </pic:cNvPicPr>
                        </pic:nvPicPr>
                        <pic:blipFill>
                          <a:blip r:embed="rId272"/>
                          <a:stretch>
                            <a:fillRect/>
                          </a:stretch>
                        </pic:blipFill>
                        <pic:spPr>
                          <a:xfrm>
                            <a:off x="0" y="0"/>
                            <a:ext cx="9620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390525" cy="114300"/>
                  <wp:effectExtent l="0" t="0" r="9525" b="0"/>
                  <wp:docPr id="860"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图片 869"/>
                          <pic:cNvPicPr>
                            <a:picLocks noChangeAspect="1"/>
                          </pic:cNvPicPr>
                        </pic:nvPicPr>
                        <pic:blipFill>
                          <a:blip r:embed="rId273"/>
                          <a:stretch>
                            <a:fillRect/>
                          </a:stretch>
                        </pic:blipFill>
                        <pic:spPr>
                          <a:xfrm>
                            <a:off x="0" y="0"/>
                            <a:ext cx="390525" cy="114300"/>
                          </a:xfrm>
                          <a:prstGeom prst="rect">
                            <a:avLst/>
                          </a:prstGeom>
                          <a:noFill/>
                          <a:ln>
                            <a:noFill/>
                          </a:ln>
                        </pic:spPr>
                      </pic:pic>
                    </a:graphicData>
                  </a:graphic>
                </wp:inline>
              </w:drawing>
            </w:r>
            <w:r>
              <w:rPr>
                <w:rFonts w:ascii="Times New Roman" w:hAnsi="Times New Roman" w:eastAsia="Times New Roman" w:cs="Times New Roman"/>
                <w:kern w:val="0"/>
                <w:sz w:val="24"/>
              </w:rPr>
              <w:t>71.43%</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90500" cy="114300"/>
                  <wp:effectExtent l="0" t="0" r="0" b="0"/>
                  <wp:docPr id="876"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870"/>
                          <pic:cNvPicPr>
                            <a:picLocks noChangeAspect="1"/>
                          </pic:cNvPicPr>
                        </pic:nvPicPr>
                        <pic:blipFill>
                          <a:blip r:embed="rId135"/>
                          <a:stretch>
                            <a:fillRect/>
                          </a:stretch>
                        </pic:blipFill>
                        <pic:spPr>
                          <a:xfrm>
                            <a:off x="0" y="0"/>
                            <a:ext cx="190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162050" cy="114300"/>
                  <wp:effectExtent l="0" t="0" r="0" b="0"/>
                  <wp:docPr id="887" name="图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图片 871"/>
                          <pic:cNvPicPr>
                            <a:picLocks noChangeAspect="1"/>
                          </pic:cNvPicPr>
                        </pic:nvPicPr>
                        <pic:blipFill>
                          <a:blip r:embed="rId136"/>
                          <a:stretch>
                            <a:fillRect/>
                          </a:stretch>
                        </pic:blipFill>
                        <pic:spPr>
                          <a:xfrm>
                            <a:off x="0" y="0"/>
                            <a:ext cx="1162050" cy="114300"/>
                          </a:xfrm>
                          <a:prstGeom prst="rect">
                            <a:avLst/>
                          </a:prstGeom>
                          <a:noFill/>
                          <a:ln>
                            <a:noFill/>
                          </a:ln>
                        </pic:spPr>
                      </pic:pic>
                    </a:graphicData>
                  </a:graphic>
                </wp:inline>
              </w:drawing>
            </w:r>
            <w:r>
              <w:rPr>
                <w:rFonts w:ascii="Times New Roman" w:hAnsi="Times New Roman" w:eastAsia="Times New Roman" w:cs="Times New Roman"/>
                <w:kern w:val="0"/>
                <w:sz w:val="24"/>
              </w:rPr>
              <w:t>14.29%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D.不满意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61"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图片 872"/>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E.非常不满意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6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图片 873"/>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8.您认为西宁市前营街幼儿园（城中区第一幼儿园）的投入运营是否节约了您的保教费支出？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本题平均分：2.86</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462"/>
        <w:gridCol w:w="1022"/>
        <w:gridCol w:w="457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A.节约</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4</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771525" cy="114300"/>
                  <wp:effectExtent l="0" t="0" r="9525" b="0"/>
                  <wp:docPr id="873"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 name="图片 874"/>
                          <pic:cNvPicPr>
                            <a:picLocks noChangeAspect="1"/>
                          </pic:cNvPicPr>
                        </pic:nvPicPr>
                        <pic:blipFill>
                          <a:blip r:embed="rId274"/>
                          <a:stretch>
                            <a:fillRect/>
                          </a:stretch>
                        </pic:blipFill>
                        <pic:spPr>
                          <a:xfrm>
                            <a:off x="0" y="0"/>
                            <a:ext cx="7715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581025" cy="114300"/>
                  <wp:effectExtent l="0" t="0" r="9525" b="0"/>
                  <wp:docPr id="877"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 name="图片 875"/>
                          <pic:cNvPicPr>
                            <a:picLocks noChangeAspect="1"/>
                          </pic:cNvPicPr>
                        </pic:nvPicPr>
                        <pic:blipFill>
                          <a:blip r:embed="rId275"/>
                          <a:stretch>
                            <a:fillRect/>
                          </a:stretch>
                        </pic:blipFill>
                        <pic:spPr>
                          <a:xfrm>
                            <a:off x="0" y="0"/>
                            <a:ext cx="581025" cy="114300"/>
                          </a:xfrm>
                          <a:prstGeom prst="rect">
                            <a:avLst/>
                          </a:prstGeom>
                          <a:noFill/>
                          <a:ln>
                            <a:noFill/>
                          </a:ln>
                        </pic:spPr>
                      </pic:pic>
                    </a:graphicData>
                  </a:graphic>
                </wp:inline>
              </w:drawing>
            </w:r>
            <w:r>
              <w:rPr>
                <w:rFonts w:ascii="Times New Roman" w:hAnsi="Times New Roman" w:eastAsia="Times New Roman" w:cs="Times New Roman"/>
                <w:kern w:val="0"/>
                <w:sz w:val="24"/>
              </w:rPr>
              <w:t>57.14%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B.未节约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71500" cy="114300"/>
                  <wp:effectExtent l="0" t="0" r="0" b="0"/>
                  <wp:docPr id="890"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图片 876"/>
                          <pic:cNvPicPr>
                            <a:picLocks noChangeAspect="1"/>
                          </pic:cNvPicPr>
                        </pic:nvPicPr>
                        <pic:blipFill>
                          <a:blip r:embed="rId276"/>
                          <a:stretch>
                            <a:fillRect/>
                          </a:stretch>
                        </pic:blipFill>
                        <pic:spPr>
                          <a:xfrm>
                            <a:off x="0" y="0"/>
                            <a:ext cx="571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781050" cy="114300"/>
                  <wp:effectExtent l="0" t="0" r="0" b="0"/>
                  <wp:docPr id="879"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 name="图片 877"/>
                          <pic:cNvPicPr>
                            <a:picLocks noChangeAspect="1"/>
                          </pic:cNvPicPr>
                        </pic:nvPicPr>
                        <pic:blipFill>
                          <a:blip r:embed="rId277"/>
                          <a:stretch>
                            <a:fillRect/>
                          </a:stretch>
                        </pic:blipFill>
                        <pic:spPr>
                          <a:xfrm>
                            <a:off x="0" y="0"/>
                            <a:ext cx="781050" cy="114300"/>
                          </a:xfrm>
                          <a:prstGeom prst="rect">
                            <a:avLst/>
                          </a:prstGeom>
                          <a:noFill/>
                          <a:ln>
                            <a:noFill/>
                          </a:ln>
                        </pic:spPr>
                      </pic:pic>
                    </a:graphicData>
                  </a:graphic>
                </wp:inline>
              </w:drawing>
            </w:r>
            <w:r>
              <w:rPr>
                <w:rFonts w:ascii="Times New Roman" w:hAnsi="Times New Roman" w:eastAsia="Times New Roman" w:cs="Times New Roman"/>
                <w:kern w:val="0"/>
                <w:sz w:val="24"/>
              </w:rPr>
              <w:t>42.86%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9.您认为西宁市前营街幼儿园（城中区第一幼儿园）的投入运营对改善入园难的作用如何？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73"/>
        <w:gridCol w:w="955"/>
        <w:gridCol w:w="423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71500" cy="114300"/>
                  <wp:effectExtent l="0" t="0" r="0" b="0"/>
                  <wp:docPr id="870"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图片 878"/>
                          <pic:cNvPicPr>
                            <a:picLocks noChangeAspect="1"/>
                          </pic:cNvPicPr>
                        </pic:nvPicPr>
                        <pic:blipFill>
                          <a:blip r:embed="rId276"/>
                          <a:stretch>
                            <a:fillRect/>
                          </a:stretch>
                        </pic:blipFill>
                        <pic:spPr>
                          <a:xfrm>
                            <a:off x="0" y="0"/>
                            <a:ext cx="571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781050" cy="114300"/>
                  <wp:effectExtent l="0" t="0" r="0" b="0"/>
                  <wp:docPr id="880"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图片 879"/>
                          <pic:cNvPicPr>
                            <a:picLocks noChangeAspect="1"/>
                          </pic:cNvPicPr>
                        </pic:nvPicPr>
                        <pic:blipFill>
                          <a:blip r:embed="rId277"/>
                          <a:stretch>
                            <a:fillRect/>
                          </a:stretch>
                        </pic:blipFill>
                        <pic:spPr>
                          <a:xfrm>
                            <a:off x="0" y="0"/>
                            <a:ext cx="781050" cy="114300"/>
                          </a:xfrm>
                          <a:prstGeom prst="rect">
                            <a:avLst/>
                          </a:prstGeom>
                          <a:noFill/>
                          <a:ln>
                            <a:noFill/>
                          </a:ln>
                        </pic:spPr>
                      </pic:pic>
                    </a:graphicData>
                  </a:graphic>
                </wp:inline>
              </w:drawing>
            </w:r>
            <w:r>
              <w:rPr>
                <w:rFonts w:ascii="Times New Roman" w:hAnsi="Times New Roman" w:eastAsia="Times New Roman" w:cs="Times New Roman"/>
                <w:kern w:val="0"/>
                <w:sz w:val="24"/>
              </w:rPr>
              <w:t>42.86%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0" cy="114300"/>
                  <wp:effectExtent l="0" t="0" r="0" b="0"/>
                  <wp:docPr id="888"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图片 880"/>
                          <pic:cNvPicPr>
                            <a:picLocks noChangeAspect="1"/>
                          </pic:cNvPicPr>
                        </pic:nvPicPr>
                        <pic:blipFill>
                          <a:blip r:embed="rId270"/>
                          <a:stretch>
                            <a:fillRect/>
                          </a:stretch>
                        </pic:blipFill>
                        <pic:spPr>
                          <a:xfrm>
                            <a:off x="0" y="0"/>
                            <a:ext cx="3810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71550" cy="114300"/>
                  <wp:effectExtent l="0" t="0" r="0" b="0"/>
                  <wp:docPr id="87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图片 881"/>
                          <pic:cNvPicPr>
                            <a:picLocks noChangeAspect="1"/>
                          </pic:cNvPicPr>
                        </pic:nvPicPr>
                        <pic:blipFill>
                          <a:blip r:embed="rId271"/>
                          <a:stretch>
                            <a:fillRect/>
                          </a:stretch>
                        </pic:blipFill>
                        <pic:spPr>
                          <a:xfrm>
                            <a:off x="0" y="0"/>
                            <a:ext cx="971550" cy="114300"/>
                          </a:xfrm>
                          <a:prstGeom prst="rect">
                            <a:avLst/>
                          </a:prstGeom>
                          <a:noFill/>
                          <a:ln>
                            <a:noFill/>
                          </a:ln>
                        </pic:spPr>
                      </pic:pic>
                    </a:graphicData>
                  </a:graphic>
                </wp:inline>
              </w:drawing>
            </w:r>
            <w:r>
              <w:rPr>
                <w:rFonts w:ascii="Times New Roman" w:hAnsi="Times New Roman" w:eastAsia="Times New Roman" w:cs="Times New Roman"/>
                <w:kern w:val="0"/>
                <w:sz w:val="24"/>
              </w:rPr>
              <w:t>28.57%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0" cy="114300"/>
                  <wp:effectExtent l="0" t="0" r="0" b="0"/>
                  <wp:docPr id="881" name="图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 name="图片 882"/>
                          <pic:cNvPicPr>
                            <a:picLocks noChangeAspect="1"/>
                          </pic:cNvPicPr>
                        </pic:nvPicPr>
                        <pic:blipFill>
                          <a:blip r:embed="rId270"/>
                          <a:stretch>
                            <a:fillRect/>
                          </a:stretch>
                        </pic:blipFill>
                        <pic:spPr>
                          <a:xfrm>
                            <a:off x="0" y="0"/>
                            <a:ext cx="3810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71550" cy="114300"/>
                  <wp:effectExtent l="0" t="0" r="0" b="0"/>
                  <wp:docPr id="882"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图片 883"/>
                          <pic:cNvPicPr>
                            <a:picLocks noChangeAspect="1"/>
                          </pic:cNvPicPr>
                        </pic:nvPicPr>
                        <pic:blipFill>
                          <a:blip r:embed="rId271"/>
                          <a:stretch>
                            <a:fillRect/>
                          </a:stretch>
                        </pic:blipFill>
                        <pic:spPr>
                          <a:xfrm>
                            <a:off x="0" y="0"/>
                            <a:ext cx="971550" cy="114300"/>
                          </a:xfrm>
                          <a:prstGeom prst="rect">
                            <a:avLst/>
                          </a:prstGeom>
                          <a:noFill/>
                          <a:ln>
                            <a:noFill/>
                          </a:ln>
                        </pic:spPr>
                      </pic:pic>
                    </a:graphicData>
                  </a:graphic>
                </wp:inline>
              </w:drawing>
            </w:r>
            <w:r>
              <w:rPr>
                <w:rFonts w:ascii="Times New Roman" w:hAnsi="Times New Roman" w:eastAsia="Times New Roman" w:cs="Times New Roman"/>
                <w:kern w:val="0"/>
                <w:sz w:val="24"/>
              </w:rPr>
              <w:t>28.57%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72"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图片 884"/>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83"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图片 885"/>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10.您认为西宁市前营街幼儿园（城中区第一幼儿园）的投入运营对扩大城中区学前教育资源作用如何？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73"/>
        <w:gridCol w:w="955"/>
        <w:gridCol w:w="423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71500" cy="114300"/>
                  <wp:effectExtent l="0" t="0" r="0" b="0"/>
                  <wp:docPr id="884"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图片 886"/>
                          <pic:cNvPicPr>
                            <a:picLocks noChangeAspect="1"/>
                          </pic:cNvPicPr>
                        </pic:nvPicPr>
                        <pic:blipFill>
                          <a:blip r:embed="rId276"/>
                          <a:stretch>
                            <a:fillRect/>
                          </a:stretch>
                        </pic:blipFill>
                        <pic:spPr>
                          <a:xfrm>
                            <a:off x="0" y="0"/>
                            <a:ext cx="571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781050" cy="114300"/>
                  <wp:effectExtent l="0" t="0" r="0" b="0"/>
                  <wp:docPr id="885" name="图片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图片 887"/>
                          <pic:cNvPicPr>
                            <a:picLocks noChangeAspect="1"/>
                          </pic:cNvPicPr>
                        </pic:nvPicPr>
                        <pic:blipFill>
                          <a:blip r:embed="rId277"/>
                          <a:stretch>
                            <a:fillRect/>
                          </a:stretch>
                        </pic:blipFill>
                        <pic:spPr>
                          <a:xfrm>
                            <a:off x="0" y="0"/>
                            <a:ext cx="781050" cy="114300"/>
                          </a:xfrm>
                          <a:prstGeom prst="rect">
                            <a:avLst/>
                          </a:prstGeom>
                          <a:noFill/>
                          <a:ln>
                            <a:noFill/>
                          </a:ln>
                        </pic:spPr>
                      </pic:pic>
                    </a:graphicData>
                  </a:graphic>
                </wp:inline>
              </w:drawing>
            </w:r>
            <w:r>
              <w:rPr>
                <w:rFonts w:ascii="Times New Roman" w:hAnsi="Times New Roman" w:eastAsia="Times New Roman" w:cs="Times New Roman"/>
                <w:kern w:val="0"/>
                <w:sz w:val="24"/>
              </w:rPr>
              <w:t>42.86%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0" cy="114300"/>
                  <wp:effectExtent l="0" t="0" r="0" b="0"/>
                  <wp:docPr id="920" name="图片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888"/>
                          <pic:cNvPicPr>
                            <a:picLocks noChangeAspect="1"/>
                          </pic:cNvPicPr>
                        </pic:nvPicPr>
                        <pic:blipFill>
                          <a:blip r:embed="rId270"/>
                          <a:stretch>
                            <a:fillRect/>
                          </a:stretch>
                        </pic:blipFill>
                        <pic:spPr>
                          <a:xfrm>
                            <a:off x="0" y="0"/>
                            <a:ext cx="3810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71550" cy="114300"/>
                  <wp:effectExtent l="0" t="0" r="0" b="0"/>
                  <wp:docPr id="906"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889"/>
                          <pic:cNvPicPr>
                            <a:picLocks noChangeAspect="1"/>
                          </pic:cNvPicPr>
                        </pic:nvPicPr>
                        <pic:blipFill>
                          <a:blip r:embed="rId271"/>
                          <a:stretch>
                            <a:fillRect/>
                          </a:stretch>
                        </pic:blipFill>
                        <pic:spPr>
                          <a:xfrm>
                            <a:off x="0" y="0"/>
                            <a:ext cx="971550" cy="114300"/>
                          </a:xfrm>
                          <a:prstGeom prst="rect">
                            <a:avLst/>
                          </a:prstGeom>
                          <a:noFill/>
                          <a:ln>
                            <a:noFill/>
                          </a:ln>
                        </pic:spPr>
                      </pic:pic>
                    </a:graphicData>
                  </a:graphic>
                </wp:inline>
              </w:drawing>
            </w:r>
            <w:r>
              <w:rPr>
                <w:rFonts w:ascii="Times New Roman" w:hAnsi="Times New Roman" w:eastAsia="Times New Roman" w:cs="Times New Roman"/>
                <w:kern w:val="0"/>
                <w:sz w:val="24"/>
              </w:rPr>
              <w:t>28.57%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0" cy="114300"/>
                  <wp:effectExtent l="0" t="0" r="0" b="0"/>
                  <wp:docPr id="908"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890"/>
                          <pic:cNvPicPr>
                            <a:picLocks noChangeAspect="1"/>
                          </pic:cNvPicPr>
                        </pic:nvPicPr>
                        <pic:blipFill>
                          <a:blip r:embed="rId270"/>
                          <a:stretch>
                            <a:fillRect/>
                          </a:stretch>
                        </pic:blipFill>
                        <pic:spPr>
                          <a:xfrm>
                            <a:off x="0" y="0"/>
                            <a:ext cx="3810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71550" cy="114300"/>
                  <wp:effectExtent l="0" t="0" r="0" b="0"/>
                  <wp:docPr id="917" name="图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 name="图片 891"/>
                          <pic:cNvPicPr>
                            <a:picLocks noChangeAspect="1"/>
                          </pic:cNvPicPr>
                        </pic:nvPicPr>
                        <pic:blipFill>
                          <a:blip r:embed="rId271"/>
                          <a:stretch>
                            <a:fillRect/>
                          </a:stretch>
                        </pic:blipFill>
                        <pic:spPr>
                          <a:xfrm>
                            <a:off x="0" y="0"/>
                            <a:ext cx="971550" cy="114300"/>
                          </a:xfrm>
                          <a:prstGeom prst="rect">
                            <a:avLst/>
                          </a:prstGeom>
                          <a:noFill/>
                          <a:ln>
                            <a:noFill/>
                          </a:ln>
                        </pic:spPr>
                      </pic:pic>
                    </a:graphicData>
                  </a:graphic>
                </wp:inline>
              </w:drawing>
            </w:r>
            <w:r>
              <w:rPr>
                <w:rFonts w:ascii="Times New Roman" w:hAnsi="Times New Roman" w:eastAsia="Times New Roman" w:cs="Times New Roman"/>
                <w:kern w:val="0"/>
                <w:sz w:val="24"/>
              </w:rPr>
              <w:t>28.57%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901"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 name="图片 892"/>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911" name="图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893"/>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11.您认为西宁市前营街幼儿园（城中区第一幼儿园）的投入运营对提升学前教育水平作用如何？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本题平均分：8.43</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873"/>
        <w:gridCol w:w="955"/>
        <w:gridCol w:w="4233"/>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71500" cy="114300"/>
                  <wp:effectExtent l="0" t="0" r="0" b="0"/>
                  <wp:docPr id="895" name="图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 name="图片 894"/>
                          <pic:cNvPicPr>
                            <a:picLocks noChangeAspect="1"/>
                          </pic:cNvPicPr>
                        </pic:nvPicPr>
                        <pic:blipFill>
                          <a:blip r:embed="rId276"/>
                          <a:stretch>
                            <a:fillRect/>
                          </a:stretch>
                        </pic:blipFill>
                        <pic:spPr>
                          <a:xfrm>
                            <a:off x="0" y="0"/>
                            <a:ext cx="571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781050" cy="114300"/>
                  <wp:effectExtent l="0" t="0" r="0" b="0"/>
                  <wp:docPr id="909"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895"/>
                          <pic:cNvPicPr>
                            <a:picLocks noChangeAspect="1"/>
                          </pic:cNvPicPr>
                        </pic:nvPicPr>
                        <pic:blipFill>
                          <a:blip r:embed="rId277"/>
                          <a:stretch>
                            <a:fillRect/>
                          </a:stretch>
                        </pic:blipFill>
                        <pic:spPr>
                          <a:xfrm>
                            <a:off x="0" y="0"/>
                            <a:ext cx="781050" cy="114300"/>
                          </a:xfrm>
                          <a:prstGeom prst="rect">
                            <a:avLst/>
                          </a:prstGeom>
                          <a:noFill/>
                          <a:ln>
                            <a:noFill/>
                          </a:ln>
                        </pic:spPr>
                      </pic:pic>
                    </a:graphicData>
                  </a:graphic>
                </wp:inline>
              </w:drawing>
            </w:r>
            <w:r>
              <w:rPr>
                <w:rFonts w:ascii="Times New Roman" w:hAnsi="Times New Roman" w:eastAsia="Times New Roman" w:cs="Times New Roman"/>
                <w:kern w:val="0"/>
                <w:sz w:val="24"/>
              </w:rPr>
              <w:t>42.86%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71500" cy="114300"/>
                  <wp:effectExtent l="0" t="0" r="0" b="0"/>
                  <wp:docPr id="902"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896"/>
                          <pic:cNvPicPr>
                            <a:picLocks noChangeAspect="1"/>
                          </pic:cNvPicPr>
                        </pic:nvPicPr>
                        <pic:blipFill>
                          <a:blip r:embed="rId276"/>
                          <a:stretch>
                            <a:fillRect/>
                          </a:stretch>
                        </pic:blipFill>
                        <pic:spPr>
                          <a:xfrm>
                            <a:off x="0" y="0"/>
                            <a:ext cx="571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781050" cy="114300"/>
                  <wp:effectExtent l="0" t="0" r="0" b="0"/>
                  <wp:docPr id="915"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897"/>
                          <pic:cNvPicPr>
                            <a:picLocks noChangeAspect="1"/>
                          </pic:cNvPicPr>
                        </pic:nvPicPr>
                        <pic:blipFill>
                          <a:blip r:embed="rId277"/>
                          <a:stretch>
                            <a:fillRect/>
                          </a:stretch>
                        </pic:blipFill>
                        <pic:spPr>
                          <a:xfrm>
                            <a:off x="0" y="0"/>
                            <a:ext cx="781050" cy="114300"/>
                          </a:xfrm>
                          <a:prstGeom prst="rect">
                            <a:avLst/>
                          </a:prstGeom>
                          <a:noFill/>
                          <a:ln>
                            <a:noFill/>
                          </a:ln>
                        </pic:spPr>
                      </pic:pic>
                    </a:graphicData>
                  </a:graphic>
                </wp:inline>
              </w:drawing>
            </w:r>
            <w:r>
              <w:rPr>
                <w:rFonts w:ascii="Times New Roman" w:hAnsi="Times New Roman" w:eastAsia="Times New Roman" w:cs="Times New Roman"/>
                <w:kern w:val="0"/>
                <w:sz w:val="24"/>
              </w:rPr>
              <w:t>42.86%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90500" cy="114300"/>
                  <wp:effectExtent l="0" t="0" r="0" b="0"/>
                  <wp:docPr id="910"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898"/>
                          <pic:cNvPicPr>
                            <a:picLocks noChangeAspect="1"/>
                          </pic:cNvPicPr>
                        </pic:nvPicPr>
                        <pic:blipFill>
                          <a:blip r:embed="rId135"/>
                          <a:stretch>
                            <a:fillRect/>
                          </a:stretch>
                        </pic:blipFill>
                        <pic:spPr>
                          <a:xfrm>
                            <a:off x="0" y="0"/>
                            <a:ext cx="190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162050" cy="114300"/>
                  <wp:effectExtent l="0" t="0" r="0" b="0"/>
                  <wp:docPr id="907"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899"/>
                          <pic:cNvPicPr>
                            <a:picLocks noChangeAspect="1"/>
                          </pic:cNvPicPr>
                        </pic:nvPicPr>
                        <pic:blipFill>
                          <a:blip r:embed="rId136"/>
                          <a:stretch>
                            <a:fillRect/>
                          </a:stretch>
                        </pic:blipFill>
                        <pic:spPr>
                          <a:xfrm>
                            <a:off x="0" y="0"/>
                            <a:ext cx="1162050" cy="114300"/>
                          </a:xfrm>
                          <a:prstGeom prst="rect">
                            <a:avLst/>
                          </a:prstGeom>
                          <a:noFill/>
                          <a:ln>
                            <a:noFill/>
                          </a:ln>
                        </pic:spPr>
                      </pic:pic>
                    </a:graphicData>
                  </a:graphic>
                </wp:inline>
              </w:drawing>
            </w:r>
            <w:r>
              <w:rPr>
                <w:rFonts w:ascii="Times New Roman" w:hAnsi="Times New Roman" w:eastAsia="Times New Roman" w:cs="Times New Roman"/>
                <w:kern w:val="0"/>
                <w:sz w:val="24"/>
              </w:rPr>
              <w:t>14.29%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  原因是：</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922"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900"/>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  原因是：</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912"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图片 901"/>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12.您认为西宁市前营街幼儿园（城中区第一幼儿园）的投入运营对完善学前教育体系作用如何？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本题平均分：8.43</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4</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771525" cy="114300"/>
                  <wp:effectExtent l="0" t="0" r="9525" b="0"/>
                  <wp:docPr id="913"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902"/>
                          <pic:cNvPicPr>
                            <a:picLocks noChangeAspect="1"/>
                          </pic:cNvPicPr>
                        </pic:nvPicPr>
                        <pic:blipFill>
                          <a:blip r:embed="rId274"/>
                          <a:stretch>
                            <a:fillRect/>
                          </a:stretch>
                        </pic:blipFill>
                        <pic:spPr>
                          <a:xfrm>
                            <a:off x="0" y="0"/>
                            <a:ext cx="7715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581025" cy="114300"/>
                  <wp:effectExtent l="0" t="0" r="9525" b="0"/>
                  <wp:docPr id="914"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903"/>
                          <pic:cNvPicPr>
                            <a:picLocks noChangeAspect="1"/>
                          </pic:cNvPicPr>
                        </pic:nvPicPr>
                        <pic:blipFill>
                          <a:blip r:embed="rId275"/>
                          <a:stretch>
                            <a:fillRect/>
                          </a:stretch>
                        </pic:blipFill>
                        <pic:spPr>
                          <a:xfrm>
                            <a:off x="0" y="0"/>
                            <a:ext cx="581025" cy="114300"/>
                          </a:xfrm>
                          <a:prstGeom prst="rect">
                            <a:avLst/>
                          </a:prstGeom>
                          <a:noFill/>
                          <a:ln>
                            <a:noFill/>
                          </a:ln>
                        </pic:spPr>
                      </pic:pic>
                    </a:graphicData>
                  </a:graphic>
                </wp:inline>
              </w:drawing>
            </w:r>
            <w:r>
              <w:rPr>
                <w:rFonts w:ascii="Times New Roman" w:hAnsi="Times New Roman" w:eastAsia="Times New Roman" w:cs="Times New Roman"/>
                <w:kern w:val="0"/>
                <w:sz w:val="24"/>
              </w:rPr>
              <w:t>57.14%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0" cy="114300"/>
                  <wp:effectExtent l="0" t="0" r="0" b="0"/>
                  <wp:docPr id="916"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904"/>
                          <pic:cNvPicPr>
                            <a:picLocks noChangeAspect="1"/>
                          </pic:cNvPicPr>
                        </pic:nvPicPr>
                        <pic:blipFill>
                          <a:blip r:embed="rId270"/>
                          <a:stretch>
                            <a:fillRect/>
                          </a:stretch>
                        </pic:blipFill>
                        <pic:spPr>
                          <a:xfrm>
                            <a:off x="0" y="0"/>
                            <a:ext cx="3810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71550" cy="114300"/>
                  <wp:effectExtent l="0" t="0" r="0" b="0"/>
                  <wp:docPr id="904"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905"/>
                          <pic:cNvPicPr>
                            <a:picLocks noChangeAspect="1"/>
                          </pic:cNvPicPr>
                        </pic:nvPicPr>
                        <pic:blipFill>
                          <a:blip r:embed="rId271"/>
                          <a:stretch>
                            <a:fillRect/>
                          </a:stretch>
                        </pic:blipFill>
                        <pic:spPr>
                          <a:xfrm>
                            <a:off x="0" y="0"/>
                            <a:ext cx="971550" cy="114300"/>
                          </a:xfrm>
                          <a:prstGeom prst="rect">
                            <a:avLst/>
                          </a:prstGeom>
                          <a:noFill/>
                          <a:ln>
                            <a:noFill/>
                          </a:ln>
                        </pic:spPr>
                      </pic:pic>
                    </a:graphicData>
                  </a:graphic>
                </wp:inline>
              </w:drawing>
            </w:r>
            <w:r>
              <w:rPr>
                <w:rFonts w:ascii="Times New Roman" w:hAnsi="Times New Roman" w:eastAsia="Times New Roman" w:cs="Times New Roman"/>
                <w:kern w:val="0"/>
                <w:sz w:val="24"/>
              </w:rPr>
              <w:t>28.57%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918"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图片 906"/>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90500" cy="114300"/>
                  <wp:effectExtent l="0" t="0" r="0" b="0"/>
                  <wp:docPr id="905"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907"/>
                          <pic:cNvPicPr>
                            <a:picLocks noChangeAspect="1"/>
                          </pic:cNvPicPr>
                        </pic:nvPicPr>
                        <pic:blipFill>
                          <a:blip r:embed="rId135"/>
                          <a:stretch>
                            <a:fillRect/>
                          </a:stretch>
                        </pic:blipFill>
                        <pic:spPr>
                          <a:xfrm>
                            <a:off x="0" y="0"/>
                            <a:ext cx="190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162050" cy="114300"/>
                  <wp:effectExtent l="0" t="0" r="0" b="0"/>
                  <wp:docPr id="892"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图片 908"/>
                          <pic:cNvPicPr>
                            <a:picLocks noChangeAspect="1"/>
                          </pic:cNvPicPr>
                        </pic:nvPicPr>
                        <pic:blipFill>
                          <a:blip r:embed="rId136"/>
                          <a:stretch>
                            <a:fillRect/>
                          </a:stretch>
                        </pic:blipFill>
                        <pic:spPr>
                          <a:xfrm>
                            <a:off x="0" y="0"/>
                            <a:ext cx="1162050" cy="114300"/>
                          </a:xfrm>
                          <a:prstGeom prst="rect">
                            <a:avLst/>
                          </a:prstGeom>
                          <a:noFill/>
                          <a:ln>
                            <a:noFill/>
                          </a:ln>
                        </pic:spPr>
                      </pic:pic>
                    </a:graphicData>
                  </a:graphic>
                </wp:inline>
              </w:drawing>
            </w:r>
            <w:r>
              <w:rPr>
                <w:rFonts w:ascii="Times New Roman" w:hAnsi="Times New Roman" w:eastAsia="Times New Roman" w:cs="Times New Roman"/>
                <w:kern w:val="0"/>
                <w:sz w:val="24"/>
              </w:rPr>
              <w:t>14.29%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96"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909"/>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13.您认为西宁市前营街幼儿园（城中区第一幼儿园）的投入运营对推动学前教育事业发展作用如何？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本题平均分：8.43</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54"/>
        <w:gridCol w:w="1060"/>
        <w:gridCol w:w="4747"/>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4</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771525" cy="114300"/>
                  <wp:effectExtent l="0" t="0" r="9525" b="0"/>
                  <wp:docPr id="903"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910"/>
                          <pic:cNvPicPr>
                            <a:picLocks noChangeAspect="1"/>
                          </pic:cNvPicPr>
                        </pic:nvPicPr>
                        <pic:blipFill>
                          <a:blip r:embed="rId274"/>
                          <a:stretch>
                            <a:fillRect/>
                          </a:stretch>
                        </pic:blipFill>
                        <pic:spPr>
                          <a:xfrm>
                            <a:off x="0" y="0"/>
                            <a:ext cx="771525"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581025" cy="114300"/>
                  <wp:effectExtent l="0" t="0" r="9525" b="0"/>
                  <wp:docPr id="897"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911"/>
                          <pic:cNvPicPr>
                            <a:picLocks noChangeAspect="1"/>
                          </pic:cNvPicPr>
                        </pic:nvPicPr>
                        <pic:blipFill>
                          <a:blip r:embed="rId275"/>
                          <a:stretch>
                            <a:fillRect/>
                          </a:stretch>
                        </pic:blipFill>
                        <pic:spPr>
                          <a:xfrm>
                            <a:off x="0" y="0"/>
                            <a:ext cx="581025" cy="114300"/>
                          </a:xfrm>
                          <a:prstGeom prst="rect">
                            <a:avLst/>
                          </a:prstGeom>
                          <a:noFill/>
                          <a:ln>
                            <a:noFill/>
                          </a:ln>
                        </pic:spPr>
                      </pic:pic>
                    </a:graphicData>
                  </a:graphic>
                </wp:inline>
              </w:drawing>
            </w:r>
            <w:r>
              <w:rPr>
                <w:rFonts w:ascii="Times New Roman" w:hAnsi="Times New Roman" w:eastAsia="Times New Roman" w:cs="Times New Roman"/>
                <w:kern w:val="0"/>
                <w:sz w:val="24"/>
              </w:rPr>
              <w:t>57.14%</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0" cy="114300"/>
                  <wp:effectExtent l="0" t="0" r="0" b="0"/>
                  <wp:docPr id="923"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912"/>
                          <pic:cNvPicPr>
                            <a:picLocks noChangeAspect="1"/>
                          </pic:cNvPicPr>
                        </pic:nvPicPr>
                        <pic:blipFill>
                          <a:blip r:embed="rId270"/>
                          <a:stretch>
                            <a:fillRect/>
                          </a:stretch>
                        </pic:blipFill>
                        <pic:spPr>
                          <a:xfrm>
                            <a:off x="0" y="0"/>
                            <a:ext cx="3810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71550" cy="114300"/>
                  <wp:effectExtent l="0" t="0" r="0" b="0"/>
                  <wp:docPr id="921"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13"/>
                          <pic:cNvPicPr>
                            <a:picLocks noChangeAspect="1"/>
                          </pic:cNvPicPr>
                        </pic:nvPicPr>
                        <pic:blipFill>
                          <a:blip r:embed="rId271"/>
                          <a:stretch>
                            <a:fillRect/>
                          </a:stretch>
                        </pic:blipFill>
                        <pic:spPr>
                          <a:xfrm>
                            <a:off x="0" y="0"/>
                            <a:ext cx="971550" cy="114300"/>
                          </a:xfrm>
                          <a:prstGeom prst="rect">
                            <a:avLst/>
                          </a:prstGeom>
                          <a:noFill/>
                          <a:ln>
                            <a:noFill/>
                          </a:ln>
                        </pic:spPr>
                      </pic:pic>
                    </a:graphicData>
                  </a:graphic>
                </wp:inline>
              </w:drawing>
            </w:r>
            <w:r>
              <w:rPr>
                <w:rFonts w:ascii="Times New Roman" w:hAnsi="Times New Roman" w:eastAsia="Times New Roman" w:cs="Times New Roman"/>
                <w:kern w:val="0"/>
                <w:sz w:val="24"/>
              </w:rPr>
              <w:t>28.57%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919"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 name="图片 914"/>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D.不明显</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1</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90500" cy="114300"/>
                  <wp:effectExtent l="0" t="0" r="0" b="0"/>
                  <wp:docPr id="893"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图片 915"/>
                          <pic:cNvPicPr>
                            <a:picLocks noChangeAspect="1"/>
                          </pic:cNvPicPr>
                        </pic:nvPicPr>
                        <pic:blipFill>
                          <a:blip r:embed="rId135"/>
                          <a:stretch>
                            <a:fillRect/>
                          </a:stretch>
                        </pic:blipFill>
                        <pic:spPr>
                          <a:xfrm>
                            <a:off x="0" y="0"/>
                            <a:ext cx="190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1162050" cy="114300"/>
                  <wp:effectExtent l="0" t="0" r="0" b="0"/>
                  <wp:docPr id="894"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图片 916"/>
                          <pic:cNvPicPr>
                            <a:picLocks noChangeAspect="1"/>
                          </pic:cNvPicPr>
                        </pic:nvPicPr>
                        <pic:blipFill>
                          <a:blip r:embed="rId136"/>
                          <a:stretch>
                            <a:fillRect/>
                          </a:stretch>
                        </pic:blipFill>
                        <pic:spPr>
                          <a:xfrm>
                            <a:off x="0" y="0"/>
                            <a:ext cx="1162050" cy="114300"/>
                          </a:xfrm>
                          <a:prstGeom prst="rect">
                            <a:avLst/>
                          </a:prstGeom>
                          <a:noFill/>
                          <a:ln>
                            <a:noFill/>
                          </a:ln>
                        </pic:spPr>
                      </pic:pic>
                    </a:graphicData>
                  </a:graphic>
                </wp:inline>
              </w:drawing>
            </w:r>
            <w:r>
              <w:rPr>
                <w:rFonts w:ascii="Times New Roman" w:hAnsi="Times New Roman" w:eastAsia="Times New Roman" w:cs="Times New Roman"/>
                <w:kern w:val="0"/>
                <w:sz w:val="24"/>
              </w:rPr>
              <w:t>14.29%</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E.非常不明显</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898"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917"/>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14.您对西宁市前营街幼儿园（城中区第一幼儿园）建设及投入运营整体是否满意？   </w:t>
      </w:r>
      <w:r>
        <w:rPr>
          <w:rFonts w:ascii="Times New Roman" w:hAnsi="Times New Roman" w:eastAsia="Times New Roman" w:cs="Times New Roman"/>
          <w:b w:val="0"/>
          <w:color w:val="0066FF"/>
          <w:kern w:val="0"/>
          <w:sz w:val="24"/>
        </w:rPr>
        <w:t>[单选题]</w:t>
      </w:r>
    </w:p>
    <w:p>
      <w:pPr>
        <w:keepLines w:val="0"/>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val="0"/>
          <w:color w:val="0066FF"/>
          <w:kern w:val="0"/>
          <w:sz w:val="24"/>
        </w:rPr>
      </w:pPr>
      <w:r>
        <w:rPr>
          <w:rFonts w:ascii="Times New Roman" w:hAnsi="Times New Roman" w:eastAsia="Times New Roman" w:cs="Times New Roman"/>
          <w:b/>
          <w:kern w:val="0"/>
          <w:sz w:val="24"/>
        </w:rPr>
        <w:t>本题平均分：11.71</w:t>
      </w:r>
    </w:p>
    <w:tbl>
      <w:tblPr>
        <w:tblStyle w:val="13"/>
        <w:tblW w:w="5000" w:type="pct"/>
        <w:tblInd w:w="0" w:type="dxa"/>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Layout w:type="autofit"/>
        <w:tblCellMar>
          <w:top w:w="0" w:type="dxa"/>
          <w:left w:w="108" w:type="dxa"/>
          <w:bottom w:w="0" w:type="dxa"/>
          <w:right w:w="108" w:type="dxa"/>
        </w:tblCellMar>
      </w:tblPr>
      <w:tblGrid>
        <w:gridCol w:w="3270"/>
        <w:gridCol w:w="1066"/>
        <w:gridCol w:w="4725"/>
      </w:tblGrid>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选项</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小计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比例</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A.非常满意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0" cy="114300"/>
                  <wp:effectExtent l="0" t="0" r="0" b="0"/>
                  <wp:docPr id="899"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918"/>
                          <pic:cNvPicPr>
                            <a:picLocks noChangeAspect="1"/>
                          </pic:cNvPicPr>
                        </pic:nvPicPr>
                        <pic:blipFill>
                          <a:blip r:embed="rId270"/>
                          <a:stretch>
                            <a:fillRect/>
                          </a:stretch>
                        </pic:blipFill>
                        <pic:spPr>
                          <a:xfrm>
                            <a:off x="0" y="0"/>
                            <a:ext cx="3810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71550" cy="114300"/>
                  <wp:effectExtent l="0" t="0" r="0" b="0"/>
                  <wp:docPr id="900"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919"/>
                          <pic:cNvPicPr>
                            <a:picLocks noChangeAspect="1"/>
                          </pic:cNvPicPr>
                        </pic:nvPicPr>
                        <pic:blipFill>
                          <a:blip r:embed="rId271"/>
                          <a:stretch>
                            <a:fillRect/>
                          </a:stretch>
                        </pic:blipFill>
                        <pic:spPr>
                          <a:xfrm>
                            <a:off x="0" y="0"/>
                            <a:ext cx="971550" cy="114300"/>
                          </a:xfrm>
                          <a:prstGeom prst="rect">
                            <a:avLst/>
                          </a:prstGeom>
                          <a:noFill/>
                          <a:ln>
                            <a:noFill/>
                          </a:ln>
                        </pic:spPr>
                      </pic:pic>
                    </a:graphicData>
                  </a:graphic>
                </wp:inline>
              </w:drawing>
            </w:r>
            <w:r>
              <w:rPr>
                <w:rFonts w:ascii="Times New Roman" w:hAnsi="Times New Roman" w:eastAsia="Times New Roman" w:cs="Times New Roman"/>
                <w:kern w:val="0"/>
                <w:sz w:val="24"/>
              </w:rPr>
              <w:t>28.57%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B.比较满意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3</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571500" cy="114300"/>
                  <wp:effectExtent l="0" t="0" r="0" b="0"/>
                  <wp:docPr id="925"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0"/>
                          <pic:cNvPicPr>
                            <a:picLocks noChangeAspect="1"/>
                          </pic:cNvPicPr>
                        </pic:nvPicPr>
                        <pic:blipFill>
                          <a:blip r:embed="rId276"/>
                          <a:stretch>
                            <a:fillRect/>
                          </a:stretch>
                        </pic:blipFill>
                        <pic:spPr>
                          <a:xfrm>
                            <a:off x="0" y="0"/>
                            <a:ext cx="5715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781050" cy="114300"/>
                  <wp:effectExtent l="0" t="0" r="0" b="0"/>
                  <wp:docPr id="929"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图片 921"/>
                          <pic:cNvPicPr>
                            <a:picLocks noChangeAspect="1"/>
                          </pic:cNvPicPr>
                        </pic:nvPicPr>
                        <pic:blipFill>
                          <a:blip r:embed="rId277"/>
                          <a:stretch>
                            <a:fillRect/>
                          </a:stretch>
                        </pic:blipFill>
                        <pic:spPr>
                          <a:xfrm>
                            <a:off x="0" y="0"/>
                            <a:ext cx="781050" cy="114300"/>
                          </a:xfrm>
                          <a:prstGeom prst="rect">
                            <a:avLst/>
                          </a:prstGeom>
                          <a:noFill/>
                          <a:ln>
                            <a:noFill/>
                          </a:ln>
                        </pic:spPr>
                      </pic:pic>
                    </a:graphicData>
                  </a:graphic>
                </wp:inline>
              </w:drawing>
            </w:r>
            <w:r>
              <w:rPr>
                <w:rFonts w:ascii="Times New Roman" w:hAnsi="Times New Roman" w:eastAsia="Times New Roman" w:cs="Times New Roman"/>
                <w:kern w:val="0"/>
                <w:sz w:val="24"/>
              </w:rPr>
              <w:t>42.86%</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C.一般</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2</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381000" cy="114300"/>
                  <wp:effectExtent l="0" t="0" r="0" b="0"/>
                  <wp:docPr id="927"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2"/>
                          <pic:cNvPicPr>
                            <a:picLocks noChangeAspect="1"/>
                          </pic:cNvPicPr>
                        </pic:nvPicPr>
                        <pic:blipFill>
                          <a:blip r:embed="rId270"/>
                          <a:stretch>
                            <a:fillRect/>
                          </a:stretch>
                        </pic:blipFill>
                        <pic:spPr>
                          <a:xfrm>
                            <a:off x="0" y="0"/>
                            <a:ext cx="381000" cy="114300"/>
                          </a:xfrm>
                          <a:prstGeom prst="rect">
                            <a:avLst/>
                          </a:prstGeom>
                          <a:noFill/>
                          <a:ln>
                            <a:noFill/>
                          </a:ln>
                        </pic:spPr>
                      </pic:pic>
                    </a:graphicData>
                  </a:graphic>
                </wp:inline>
              </w:drawing>
            </w:r>
            <w:r>
              <w:rPr>
                <w:rFonts w:ascii="Times New Roman" w:hAnsi="Times New Roman" w:eastAsia="Times New Roman" w:cs="Times New Roman"/>
                <w:kern w:val="0"/>
                <w:sz w:val="24"/>
              </w:rPr>
              <w:drawing>
                <wp:inline distT="0" distB="0" distL="114300" distR="114300">
                  <wp:extent cx="971550" cy="114300"/>
                  <wp:effectExtent l="0" t="0" r="0" b="0"/>
                  <wp:docPr id="924"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923"/>
                          <pic:cNvPicPr>
                            <a:picLocks noChangeAspect="1"/>
                          </pic:cNvPicPr>
                        </pic:nvPicPr>
                        <pic:blipFill>
                          <a:blip r:embed="rId271"/>
                          <a:stretch>
                            <a:fillRect/>
                          </a:stretch>
                        </pic:blipFill>
                        <pic:spPr>
                          <a:xfrm>
                            <a:off x="0" y="0"/>
                            <a:ext cx="971550" cy="114300"/>
                          </a:xfrm>
                          <a:prstGeom prst="rect">
                            <a:avLst/>
                          </a:prstGeom>
                          <a:noFill/>
                          <a:ln>
                            <a:noFill/>
                          </a:ln>
                        </pic:spPr>
                      </pic:pic>
                    </a:graphicData>
                  </a:graphic>
                </wp:inline>
              </w:drawing>
            </w:r>
            <w:r>
              <w:rPr>
                <w:rFonts w:ascii="Times New Roman" w:hAnsi="Times New Roman" w:eastAsia="Times New Roman" w:cs="Times New Roman"/>
                <w:kern w:val="0"/>
                <w:sz w:val="24"/>
              </w:rPr>
              <w:t>28.57%</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D.不满意</w:t>
            </w:r>
          </w:p>
        </w:tc>
        <w:tc>
          <w:tcPr>
            <w:shd w:val="clear" w:color="auto" w:fill="F9F9F9"/>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9F9F9"/>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928"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924"/>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E.非常不满意</w:t>
            </w:r>
          </w:p>
        </w:tc>
        <w:tc>
          <w:tcPr>
            <w:shd w:val="clear" w:color="auto" w:fill="FFFFFF"/>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0</w:t>
            </w:r>
          </w:p>
        </w:tc>
        <w:tc>
          <w:tcPr>
            <w:shd w:val="clear" w:color="auto" w:fill="FFFFFF"/>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drawing>
                <wp:inline distT="0" distB="0" distL="114300" distR="114300">
                  <wp:extent cx="1352550" cy="114300"/>
                  <wp:effectExtent l="0" t="0" r="0" b="0"/>
                  <wp:docPr id="926"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5"/>
                          <pic:cNvPicPr>
                            <a:picLocks noChangeAspect="1"/>
                          </pic:cNvPicPr>
                        </pic:nvPicPr>
                        <pic:blipFill>
                          <a:blip r:embed="rId163"/>
                          <a:stretch>
                            <a:fillRect/>
                          </a:stretch>
                        </pic:blipFill>
                        <pic:spPr>
                          <a:xfrm>
                            <a:off x="0" y="0"/>
                            <a:ext cx="1352550" cy="114300"/>
                          </a:xfrm>
                          <a:prstGeom prst="rect">
                            <a:avLst/>
                          </a:prstGeom>
                          <a:noFill/>
                          <a:ln>
                            <a:noFill/>
                          </a:ln>
                        </pic:spPr>
                      </pic:pic>
                    </a:graphicData>
                  </a:graphic>
                </wp:inline>
              </w:drawing>
            </w:r>
            <w:r>
              <w:rPr>
                <w:rFonts w:ascii="Times New Roman" w:hAnsi="Times New Roman" w:eastAsia="Times New Roman" w:cs="Times New Roman"/>
                <w:kern w:val="0"/>
                <w:sz w:val="24"/>
              </w:rPr>
              <w:t>0%</w:t>
            </w:r>
          </w:p>
        </w:tc>
      </w:tr>
      <w:tr>
        <w:tblPrEx>
          <w:tblBorders>
            <w:top w:val="single" w:color="D7D7D7" w:sz="4" w:space="0"/>
            <w:left w:val="single" w:color="D7D7D7" w:sz="4" w:space="0"/>
            <w:bottom w:val="single" w:color="D7D7D7" w:sz="4" w:space="0"/>
            <w:right w:val="single" w:color="D7D7D7" w:sz="4" w:space="0"/>
            <w:insideH w:val="single" w:color="D7D7D7" w:sz="4" w:space="0"/>
            <w:insideV w:val="single" w:color="D7D7D7" w:sz="4" w:space="0"/>
          </w:tblBorders>
          <w:tblCellMar>
            <w:top w:w="0" w:type="dxa"/>
            <w:left w:w="108" w:type="dxa"/>
            <w:bottom w:w="0" w:type="dxa"/>
            <w:right w:w="108" w:type="dxa"/>
          </w:tblCellMar>
        </w:tblPrEx>
        <w:trPr>
          <w:trHeight w:val="500" w:hRule="atLeast"/>
        </w:trPr>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r>
              <w:rPr>
                <w:rFonts w:ascii="Times New Roman" w:hAnsi="Times New Roman" w:eastAsia="Times New Roman" w:cs="Times New Roman"/>
                <w:kern w:val="0"/>
                <w:sz w:val="24"/>
              </w:rPr>
              <w:t>本题有效填写人次</w:t>
            </w:r>
          </w:p>
        </w:tc>
        <w:tc>
          <w:tcPr>
            <w:shd w:val="clear" w:color="auto" w:fill="E0E0E0"/>
            <w:vAlign w:val="center"/>
          </w:tcPr>
          <w:p>
            <w:pPr>
              <w:pageBreakBefore w:val="0"/>
              <w:widowControl/>
              <w:overflowPunct/>
              <w:topLinePunct w:val="0"/>
              <w:bidi w:val="0"/>
              <w:spacing w:line="576" w:lineRule="exact"/>
              <w:ind w:left="0" w:leftChars="0" w:firstLine="0" w:firstLineChars="0"/>
              <w:jc w:val="center"/>
              <w:rPr>
                <w:rFonts w:ascii="Times New Roman" w:hAnsi="Times New Roman" w:eastAsia="Times New Roman" w:cs="Times New Roman"/>
                <w:kern w:val="0"/>
                <w:sz w:val="24"/>
              </w:rPr>
            </w:pPr>
            <w:r>
              <w:rPr>
                <w:rFonts w:ascii="Times New Roman" w:hAnsi="Times New Roman" w:eastAsia="Times New Roman" w:cs="Times New Roman"/>
                <w:kern w:val="0"/>
                <w:sz w:val="24"/>
              </w:rPr>
              <w:t>7</w:t>
            </w:r>
          </w:p>
        </w:tc>
        <w:tc>
          <w:tcPr>
            <w:shd w:val="clear" w:color="auto" w:fill="E0E0E0"/>
            <w:vAlign w:val="center"/>
          </w:tcPr>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kern w:val="0"/>
                <w:sz w:val="24"/>
              </w:rPr>
            </w:pPr>
          </w:p>
        </w:tc>
      </w:tr>
    </w:tbl>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0"/>
          <w:szCs w:val="20"/>
        </w:rPr>
      </w:pPr>
      <w:r>
        <w:rPr>
          <w:rFonts w:ascii="Helvetica" w:hAnsi="Helvetica" w:eastAsia="Helvetica" w:cs="Helvetica"/>
          <w:b/>
          <w:bCs/>
          <w:i w:val="0"/>
          <w:iCs w:val="0"/>
          <w:caps w:val="0"/>
          <w:color w:val="333333"/>
          <w:spacing w:val="0"/>
          <w:sz w:val="20"/>
          <w:szCs w:val="20"/>
          <w:shd w:val="clear" w:fill="FFFFFF"/>
        </w:rPr>
        <w:t>题目平均分之和：</w:t>
      </w:r>
      <w:r>
        <w:rPr>
          <w:rFonts w:hint="default" w:ascii="Helvetica" w:hAnsi="Helvetica" w:eastAsia="Helvetica" w:cs="Helvetica"/>
          <w:b/>
          <w:bCs/>
          <w:i w:val="0"/>
          <w:iCs w:val="0"/>
          <w:caps w:val="0"/>
          <w:color w:val="1EA0FA"/>
          <w:spacing w:val="0"/>
          <w:sz w:val="20"/>
          <w:szCs w:val="20"/>
          <w:shd w:val="clear" w:fill="FFFFFF"/>
        </w:rPr>
        <w:t>81.14</w:t>
      </w: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p>
    <w:p>
      <w:pPr>
        <w:pageBreakBefore w:val="0"/>
        <w:widowControl/>
        <w:overflowPunct/>
        <w:topLinePunct w:val="0"/>
        <w:bidi w:val="0"/>
        <w:spacing w:line="576" w:lineRule="exact"/>
        <w:ind w:left="0" w:leftChars="0" w:firstLine="0" w:firstLineChars="0"/>
        <w:jc w:val="left"/>
        <w:rPr>
          <w:rFonts w:ascii="Times New Roman" w:hAnsi="Times New Roman" w:eastAsia="Times New Roman" w:cs="Times New Roman"/>
          <w:b/>
          <w:kern w:val="0"/>
          <w:sz w:val="24"/>
        </w:rPr>
      </w:pPr>
      <w:r>
        <w:rPr>
          <w:rFonts w:ascii="Times New Roman" w:hAnsi="Times New Roman" w:eastAsia="Times New Roman" w:cs="Times New Roman"/>
          <w:b w:val="0"/>
          <w:color w:val="000000"/>
          <w:kern w:val="0"/>
          <w:sz w:val="24"/>
        </w:rPr>
        <w:t xml:space="preserve">15.您对西宁市前营街幼儿园（城中区第一幼儿园）建设项目还有什么意见或建议?   </w:t>
      </w:r>
      <w:r>
        <w:rPr>
          <w:rFonts w:ascii="Times New Roman" w:hAnsi="Times New Roman" w:eastAsia="Times New Roman" w:cs="Times New Roman"/>
          <w:b w:val="0"/>
          <w:color w:val="0066FF"/>
          <w:kern w:val="0"/>
          <w:sz w:val="24"/>
        </w:rPr>
        <w:t>[填空题]</w:t>
      </w:r>
    </w:p>
    <w:p>
      <w:pPr>
        <w:pageBreakBefore w:val="0"/>
        <w:overflowPunct/>
        <w:topLinePunct w:val="0"/>
        <w:bidi w:val="0"/>
        <w:spacing w:line="720" w:lineRule="auto"/>
        <w:ind w:left="0" w:leftChars="0" w:firstLine="0" w:firstLineChars="0"/>
        <w:rPr>
          <w:rFonts w:hint="eastAsia" w:cs="Times New Roman"/>
          <w:lang w:eastAsia="zh-CN"/>
        </w:rPr>
      </w:pPr>
      <w:r>
        <w:rPr>
          <w:rFonts w:cs="Times New Roman"/>
        </w:rPr>
        <w:drawing>
          <wp:inline distT="0" distB="0" distL="114300" distR="114300">
            <wp:extent cx="5272405" cy="1163320"/>
            <wp:effectExtent l="0" t="0" r="4445" b="17780"/>
            <wp:docPr id="930"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图片 926"/>
                    <pic:cNvPicPr>
                      <a:picLocks noChangeAspect="1"/>
                    </pic:cNvPicPr>
                  </pic:nvPicPr>
                  <pic:blipFill>
                    <a:blip r:embed="rId278"/>
                    <a:stretch>
                      <a:fillRect/>
                    </a:stretch>
                  </pic:blipFill>
                  <pic:spPr>
                    <a:xfrm>
                      <a:off x="0" y="0"/>
                      <a:ext cx="5272405" cy="1163320"/>
                    </a:xfrm>
                    <a:prstGeom prst="rect">
                      <a:avLst/>
                    </a:prstGeom>
                    <a:noFill/>
                    <a:ln>
                      <a:noFill/>
                    </a:ln>
                  </pic:spPr>
                </pic:pic>
              </a:graphicData>
            </a:graphic>
          </wp:inline>
        </w:drawing>
      </w:r>
    </w:p>
    <w:p>
      <w:pPr>
        <w:pageBreakBefore w:val="0"/>
        <w:overflowPunct/>
        <w:topLinePunct w:val="0"/>
        <w:bidi w:val="0"/>
        <w:spacing w:line="576" w:lineRule="exact"/>
        <w:ind w:left="0" w:leftChars="0"/>
        <w:rPr>
          <w:rFonts w:hint="eastAsia" w:cs="Times New Roman"/>
          <w:lang w:eastAsia="zh-CN"/>
        </w:rPr>
      </w:pPr>
      <w:r>
        <w:rPr>
          <w:rFonts w:hint="eastAsia" w:cs="Times New Roman"/>
          <w:lang w:eastAsia="zh-CN"/>
        </w:rPr>
        <w:br w:type="page"/>
      </w:r>
    </w:p>
    <w:p>
      <w:pPr>
        <w:keepNext w:val="0"/>
        <w:keepLines w:val="0"/>
        <w:pageBreakBefore w:val="0"/>
        <w:widowControl w:val="0"/>
        <w:kinsoku/>
        <w:wordWrap/>
        <w:overflowPunct/>
        <w:topLinePunct w:val="0"/>
        <w:autoSpaceDE/>
        <w:autoSpaceDN/>
        <w:bidi w:val="0"/>
        <w:adjustRightInd w:val="0"/>
        <w:snapToGrid w:val="0"/>
        <w:spacing w:line="576" w:lineRule="exact"/>
        <w:ind w:left="0" w:leftChars="0" w:firstLine="0" w:firstLineChars="0"/>
        <w:textAlignment w:val="auto"/>
        <w:outlineLvl w:val="1"/>
        <w:rPr>
          <w:rFonts w:hint="eastAsia" w:ascii="楷体" w:hAnsi="楷体" w:eastAsia="楷体" w:cs="楷体"/>
          <w:b/>
          <w:bCs/>
          <w:lang w:val="en-US" w:eastAsia="zh-CN"/>
        </w:rPr>
      </w:pPr>
      <w:bookmarkStart w:id="1335" w:name="_Toc25183"/>
      <w:bookmarkStart w:id="1336" w:name="_Toc26834"/>
      <w:bookmarkStart w:id="1337" w:name="_Toc22749"/>
      <w:r>
        <w:rPr>
          <w:rFonts w:hint="eastAsia" w:ascii="楷体" w:hAnsi="楷体" w:eastAsia="楷体" w:cs="楷体"/>
          <w:b/>
          <w:bCs/>
        </w:rPr>
        <w:t>附件</w:t>
      </w:r>
      <w:r>
        <w:rPr>
          <w:rFonts w:hint="eastAsia" w:ascii="楷体" w:hAnsi="楷体" w:eastAsia="楷体" w:cs="楷体"/>
          <w:b/>
          <w:bCs/>
          <w:lang w:val="en-US" w:eastAsia="zh-CN"/>
        </w:rPr>
        <w:t>3</w:t>
      </w:r>
      <w:r>
        <w:rPr>
          <w:rFonts w:hint="eastAsia" w:ascii="楷体" w:hAnsi="楷体" w:eastAsia="楷体" w:cs="楷体"/>
          <w:b/>
          <w:bCs/>
        </w:rPr>
        <w:t>：</w:t>
      </w:r>
      <w:r>
        <w:rPr>
          <w:rFonts w:hint="eastAsia" w:ascii="楷体" w:hAnsi="楷体" w:eastAsia="楷体" w:cs="楷体"/>
          <w:b/>
          <w:bCs/>
          <w:lang w:val="en-US" w:eastAsia="zh-CN"/>
        </w:rPr>
        <w:t>主评人资质</w:t>
      </w:r>
      <w:bookmarkEnd w:id="1335"/>
      <w:bookmarkEnd w:id="1336"/>
      <w:bookmarkEnd w:id="1337"/>
    </w:p>
    <w:p>
      <w:pPr>
        <w:pageBreakBefore w:val="0"/>
        <w:overflowPunct/>
        <w:topLinePunct w:val="0"/>
        <w:bidi w:val="0"/>
        <w:spacing w:line="720" w:lineRule="auto"/>
        <w:ind w:left="0" w:leftChars="0"/>
        <w:rPr>
          <w:rFonts w:hint="eastAsia" w:cs="Times New Roman"/>
        </w:rPr>
      </w:pPr>
      <w:r>
        <w:rPr>
          <w:rFonts w:hint="eastAsia" w:cs="Times New Roman"/>
          <w:lang w:eastAsia="zh-CN"/>
        </w:rPr>
        <w:drawing>
          <wp:inline distT="0" distB="0" distL="114300" distR="114300">
            <wp:extent cx="5273040" cy="7315200"/>
            <wp:effectExtent l="0" t="0" r="3810" b="0"/>
            <wp:docPr id="378" name="图片 378" descr="中级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378" descr="中级证书"/>
                    <pic:cNvPicPr>
                      <a:picLocks noChangeAspect="1"/>
                    </pic:cNvPicPr>
                  </pic:nvPicPr>
                  <pic:blipFill>
                    <a:blip r:embed="rId109"/>
                    <a:stretch>
                      <a:fillRect/>
                    </a:stretch>
                  </pic:blipFill>
                  <pic:spPr>
                    <a:xfrm>
                      <a:off x="0" y="0"/>
                      <a:ext cx="5273040" cy="7315200"/>
                    </a:xfrm>
                    <a:prstGeom prst="rect">
                      <a:avLst/>
                    </a:prstGeom>
                  </pic:spPr>
                </pic:pic>
              </a:graphicData>
            </a:graphic>
          </wp:inline>
        </w:drawing>
      </w:r>
    </w:p>
    <w:p>
      <w:pPr>
        <w:pageBreakBefore w:val="0"/>
        <w:overflowPunct/>
        <w:topLinePunct w:val="0"/>
        <w:bidi w:val="0"/>
        <w:spacing w:line="576" w:lineRule="exact"/>
        <w:ind w:left="0" w:leftChars="0"/>
        <w:rPr>
          <w:rFonts w:hint="eastAsia"/>
          <w:lang w:val="en-US" w:eastAsia="zh-CN"/>
        </w:rPr>
      </w:pPr>
    </w:p>
    <w:sectPr>
      <w:pgSz w:w="11906" w:h="16838"/>
      <w:pgMar w:top="2098" w:right="1474" w:bottom="1984" w:left="1587" w:header="680"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Geneva">
    <w:altName w:val="Arial"/>
    <w:panose1 w:val="00000000000000000000"/>
    <w:charset w:val="00"/>
    <w:family w:val="swiss"/>
    <w:pitch w:val="default"/>
    <w:sig w:usb0="00000000" w:usb1="00000000" w:usb2="00000000" w:usb3="00000000" w:csb0="00000001" w:csb1="00000000"/>
  </w:font>
  <w:font w:name="华文仿宋">
    <w:altName w:val="仿宋"/>
    <w:panose1 w:val="02010600040101010101"/>
    <w:charset w:val="86"/>
    <w:family w:val="auto"/>
    <w:pitch w:val="default"/>
    <w:sig w:usb0="00000000" w:usb1="00000000" w:usb2="00000000" w:usb3="00000000" w:csb0="0004009F" w:csb1="DFD7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firstLine="2912"/>
      <w:rPr>
        <w:rFonts w:ascii="仿宋" w:hAnsi="仿宋" w:eastAsia="仿宋" w:cs="仿宋"/>
        <w:sz w:val="32"/>
        <w:szCs w:val="3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sz w:val="18"/>
      </w:rPr>
      <mc:AlternateContent>
        <mc:Choice Requires="wps">
          <w:drawing>
            <wp:anchor distT="0" distB="0" distL="114300" distR="114300" simplePos="0" relativeHeight="251664384" behindDoc="0" locked="0" layoutInCell="1" allowOverlap="1">
              <wp:simplePos x="0" y="0"/>
              <wp:positionH relativeFrom="margin">
                <wp:posOffset>2516505</wp:posOffset>
              </wp:positionH>
              <wp:positionV relativeFrom="paragraph">
                <wp:posOffset>-182880</wp:posOffset>
              </wp:positionV>
              <wp:extent cx="525780" cy="42545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525780" cy="42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8"/>
                            <w:jc w:val="both"/>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8.15pt;margin-top:-14.4pt;height:33.5pt;width:41.4pt;mso-position-horizontal-relative:margin;z-index:251664384;mso-width-relative:page;mso-height-relative:page;" filled="f" stroked="f" coordsize="21600,21600" o:gfxdata="UEsDBAoAAAAAAIdO4kAAAAAAAAAAAAAAAAAEAAAAZHJzL1BLAwQUAAAACACHTuJAMSQmKNkAAAAK&#10;AQAADwAAAGRycy9kb3ducmV2LnhtbE2Py07DMBBF90j8gzVI7Fo7KSppiNMFjx1QKCDBzolNEmGP&#10;I9tJy98zrGA5ukd3zq22R2fZbEIcPErIlgKYwdbrATsJry93iwJYTAq1sh6NhG8TYVufnlSq1P6A&#10;z2bep45RCcZSSehTGkvOY9sbp+LSjwYp+/TBqURn6LgO6kDlzvJciDV3akD60KvRXPem/dpPToJ9&#10;j+G+Eeljvuke0tOOT2+32aOU52eZuAKWzDH9wfCrT+pQk1PjJ9SRWQmrzXpFqIRFXtAGIi4uNxmw&#10;hqIiB15X/P+E+gdQSwMEFAAAAAgAh07iQICvlg0+AgAAcQQAAA4AAABkcnMvZTJvRG9jLnhtbK1U&#10;zW4TMRC+I/EOlu90k9CUKuqmCo2KkCpaKSDOjtebteQ/bCe74QHgDThx4c5z9Tn47M2mUDj0wGUz&#10;nhl/M98341xcdlqRnfBBWlPS8cmIEmG4raTZlPTD++sX55SEyEzFlDWipHsR6OX8+bOL1s3ExDZW&#10;VcITgJgwa11JmxjdrCgCb4Rm4cQ6YRCsrdcs4ug3ReVZC3StislodFa01lfOWy5CgHfZB+kB0T8F&#10;0Na15GJp+VYLE3tULxSLoBQa6QKd527rWvB4W9dBRKJKCqYxf1EE9jp9i/kFm208c43khxbYU1p4&#10;xEkzaVD0CLVkkZGtl39Bacm9DbaOJ9zqoieSFQGL8eiRNquGOZG5QOrgjqKH/wfL3+3uPJFVSSdT&#10;SgzTmPj9t6/333/e//hC4INArQsz5K0cMmP32nZYm8Ef4Ey8u9rr9AtGBHHIuz/KK7pIOJzTyfTV&#10;OSIcodPJ9HSa5S8eLjsf4hthNUlGST2ml0Vlu5sQ0QhSh5RUy9hrqVSeoDKkLenZS0D+EcENZZJH&#10;5F04wCRCfePJit26O7Bc22oPkt72exIcv5Zo5YaFeMc8FgPd4+nEW3xqZVHSHixKGus//8uf8jEv&#10;RClpsWglDZ+2zAtK1FuDSQIyDoYfjPVgmK2+stjdMR6l49nEBR/VYNbe6o94UYtUBSFmOGqVNA7m&#10;VezXHS+Si8UiJ22dl5umv4A9dCzemJXjqUwv32IbbS2z5kmiXhcMIB2wiXkUh1eTVv33c856+KeY&#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JCYo2QAAAAoBAAAPAAAAAAAAAAEAIAAAACIAAABk&#10;cnMvZG93bnJldi54bWxQSwECFAAUAAAACACHTuJAgK+WDT4CAABxBAAADgAAAAAAAAABACAAAAAo&#10;AQAAZHJzL2Uyb0RvYy54bWxQSwUGAAAAAAYABgBZAQAA2AUAAAAA&#10;">
              <v:fill on="f" focussize="0,0"/>
              <v:stroke on="f" weight="0.5pt"/>
              <v:imagedata o:title=""/>
              <o:lock v:ext="edit" aspectratio="f"/>
              <v:textbox inset="0mm,0mm,0mm,0mm">
                <w:txbxContent>
                  <w:p>
                    <w:pPr>
                      <w:pStyle w:val="8"/>
                      <w:jc w:val="both"/>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rPr>
        <w:sz w:val="21"/>
        <w:szCs w:val="21"/>
      </w:rPr>
    </w:pPr>
    <w:r>
      <w:rPr>
        <w:sz w:val="21"/>
      </w:rP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34</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34</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0Ueg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KKZQsfPP76f&#10;f/4+//pGcAeBGuvniHuwiAztO9NibIZ7j8vIuy2dir9gROAH1ukir2gD4fHRbDqbjeHi8A0H4GdP&#10;z63z4b0wikQjpw79S7Ky49aHLnQIidm02dRSph5KTZqcXl+9HacHFw/ApY6xIk1DDxMpdaVHK7S7&#10;tue5M8UJNJ3pJsVbvqlRypb5cM8cRgPlY3nCHT6lNEhpeouSyriv/7qP8egYvJQ0GLWcamwWJfKD&#10;RicBGAbDDcZuMPRB3RrM7gRLaXky8cAFOZilM+oLNmoVc8DFNEemnIbBvA3duGMjuVitUtDBunpf&#10;dQ8wh5aFrX6wPKaJUnm7OgRImxSPAnWqoFPxgElMPeu3Jo76n+cU9fR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J0Ueg5AgAAcQQAAA4AAAAAAAAAAQAgAAAAHwEAAGRycy9lMm9Eb2Mu&#10;eG1sUEsFBgAAAAAGAAYAWQEAAMo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sz w:val="18"/>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70</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70</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660" w:lineRule="exact"/>
      <w:ind w:firstLine="420" w:firstLineChars="200"/>
      <w:jc w:val="center"/>
      <w:rPr>
        <w:rFonts w:ascii="仿宋_GB2312" w:hAnsi="仿宋_GB2312" w:eastAsia="仿宋_GB2312" w:cs="Times New Roman"/>
        <w:kern w:val="2"/>
        <w:sz w:val="21"/>
        <w:szCs w:val="21"/>
        <w:lang w:val="en-US" w:eastAsia="zh-CN" w:bidi="ar-SA"/>
      </w:rPr>
    </w:pPr>
    <w:r>
      <w:rPr>
        <w:sz w:val="21"/>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660" w:lineRule="exact"/>
      <w:ind w:firstLine="420" w:firstLineChars="200"/>
      <w:jc w:val="center"/>
      <w:rPr>
        <w:rFonts w:ascii="仿宋_GB2312" w:hAnsi="仿宋_GB2312" w:eastAsia="仿宋_GB2312" w:cs="Times New Roman"/>
        <w:kern w:val="2"/>
        <w:sz w:val="21"/>
        <w:szCs w:val="21"/>
        <w:lang w:val="en-US" w:eastAsia="zh-CN" w:bidi="ar-SA"/>
      </w:rPr>
    </w:pPr>
    <w:r>
      <w:rPr>
        <w:sz w:val="21"/>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79</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660" w:lineRule="exact"/>
      <w:ind w:firstLine="420" w:firstLineChars="200"/>
      <w:jc w:val="center"/>
      <w:rPr>
        <w:rFonts w:ascii="仿宋_GB2312" w:hAnsi="仿宋_GB2312" w:eastAsia="仿宋_GB2312" w:cs="Times New Roman"/>
        <w:kern w:val="2"/>
        <w:sz w:val="21"/>
        <w:szCs w:val="21"/>
        <w:lang w:val="en-US" w:eastAsia="zh-CN" w:bidi="ar-SA"/>
      </w:rPr>
    </w:pPr>
    <w:r>
      <w:rPr>
        <w:sz w:val="21"/>
      </w:rPr>
      <mc:AlternateContent>
        <mc:Choice Requires="wps">
          <w:drawing>
            <wp:anchor distT="0" distB="0" distL="114300" distR="114300" simplePos="0" relativeHeight="2516930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line="660" w:lineRule="exact"/>
      <w:ind w:firstLine="360" w:firstLineChars="200"/>
      <w:jc w:val="left"/>
      <w:rPr>
        <w:rFonts w:ascii="仿宋_GB2312" w:hAnsi="仿宋_GB2312" w:eastAsia="仿宋_GB2312" w:cs="Times New Roman"/>
        <w:kern w:val="2"/>
        <w:sz w:val="18"/>
        <w:szCs w:val="24"/>
        <w:lang w:val="en-US" w:eastAsia="zh-CN" w:bidi="ar-SA"/>
      </w:rPr>
    </w:pPr>
    <w:r>
      <w:rPr>
        <w:sz w:val="18"/>
      </w:rPr>
      <mc:AlternateContent>
        <mc:Choice Requires="wps">
          <w:drawing>
            <wp:anchor distT="0" distB="0" distL="114300" distR="114300" simplePos="0" relativeHeight="2516940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132</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132</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kinsoku w:val="0"/>
      <w:autoSpaceDE w:val="0"/>
      <w:autoSpaceDN w:val="0"/>
      <w:adjustRightInd w:val="0"/>
      <w:snapToGrid w:val="0"/>
      <w:spacing w:line="130" w:lineRule="exact"/>
      <w:ind w:firstLine="4289" w:firstLineChars="0"/>
      <w:jc w:val="left"/>
      <w:textAlignment w:val="baseline"/>
      <w:rPr>
        <w:rFonts w:ascii="仿宋" w:hAnsi="仿宋" w:eastAsia="仿宋" w:cs="仿宋"/>
        <w:snapToGrid w:val="0"/>
        <w:color w:val="000000"/>
        <w:kern w:val="0"/>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149</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149</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sz w:val="18"/>
      </w:rP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150</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150</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sz w:val="18"/>
      </w:rP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5</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5</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pPr>
    <w:r>
      <w:rPr>
        <w:sz w:val="18"/>
      </w:rP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4" name="文本框 3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hxao0AgAAZQ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vpa0o0Uyj55fu3&#10;y49fl59fSTyERLX1c0TuLGJD89Y0aJzh3OMwMm8Kp+IXnAj8EPh8FVg0gfB4aTaZzVK4OHzDBvjJ&#10;43XrfHgnjCLRyKhDBVth2WnrQxc6hMRs2mwqKdsqSk3qjE5v3qT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KYcWqNAIAAGUEAAAOAAAAAAAAAAEAIAAAAB8BAABkcnMvZTJvRG9jLnhtbFBL&#10;BQYAAAAABgAGAFkBAADF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center"/>
      <w:rPr>
        <w:rFonts w:ascii="仿宋_GB2312" w:hAnsi="仿宋_GB2312" w:eastAsia="仿宋_GB2312" w:cs="Times New Roman"/>
        <w:kern w:val="2"/>
        <w:sz w:val="18"/>
        <w:szCs w:val="24"/>
        <w:lang w:val="en-US" w:eastAsia="zh-CN" w:bidi="ar-SA"/>
      </w:rPr>
    </w:pPr>
    <w:r>
      <w:rPr>
        <w:sz w:val="18"/>
      </w:rPr>
      <mc:AlternateContent>
        <mc:Choice Requires="wps">
          <w:drawing>
            <wp:anchor distT="0" distB="0" distL="114300" distR="114300" simplePos="0" relativeHeight="2516981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153</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153</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rFonts w:ascii="仿宋_GB2312" w:hAnsi="仿宋_GB2312" w:eastAsia="仿宋_GB2312" w:cs="Times New Roman"/>
        <w:kern w:val="2"/>
        <w:sz w:val="18"/>
        <w:szCs w:val="24"/>
        <w:lang w:val="en-US" w:eastAsia="zh-CN" w:bidi="ar-SA"/>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0" name="文本框 3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rFonts w:ascii="仿宋_GB2312" w:hAnsi="仿宋_GB2312" w:eastAsia="仿宋_GB2312" w:cs="Times New Roman"/>
                              <w:kern w:val="2"/>
                              <w:sz w:val="18"/>
                              <w:szCs w:val="24"/>
                              <w:lang w:val="en-US" w:eastAsia="zh-CN" w:bidi="ar-SA"/>
                            </w:rPr>
                            <w:fldChar w:fldCharType="begin"/>
                          </w:r>
                          <w:r>
                            <w:rPr>
                              <w:rFonts w:ascii="仿宋_GB2312" w:hAnsi="仿宋_GB2312" w:eastAsia="仿宋_GB2312" w:cs="Times New Roman"/>
                              <w:kern w:val="2"/>
                              <w:sz w:val="18"/>
                              <w:szCs w:val="24"/>
                              <w:lang w:val="en-US" w:eastAsia="zh-CN" w:bidi="ar-SA"/>
                            </w:rPr>
                            <w:instrText xml:space="preserve"> PAGE  \* MERGEFORMAT </w:instrText>
                          </w:r>
                          <w:r>
                            <w:rPr>
                              <w:rFonts w:ascii="仿宋_GB2312" w:hAnsi="仿宋_GB2312" w:eastAsia="仿宋_GB2312" w:cs="Times New Roman"/>
                              <w:kern w:val="2"/>
                              <w:sz w:val="18"/>
                              <w:szCs w:val="24"/>
                              <w:lang w:val="en-US" w:eastAsia="zh-CN" w:bidi="ar-SA"/>
                            </w:rPr>
                            <w:fldChar w:fldCharType="separate"/>
                          </w:r>
                          <w:r>
                            <w:rPr>
                              <w:rFonts w:ascii="仿宋_GB2312" w:hAnsi="仿宋_GB2312" w:eastAsia="仿宋_GB2312" w:cs="Times New Roman"/>
                              <w:kern w:val="2"/>
                              <w:sz w:val="18"/>
                              <w:szCs w:val="24"/>
                              <w:lang w:val="en-US" w:eastAsia="zh-CN" w:bidi="ar-SA"/>
                            </w:rPr>
                            <w:t>IV</w:t>
                          </w:r>
                          <w:r>
                            <w:rPr>
                              <w:rFonts w:ascii="仿宋_GB2312" w:hAnsi="仿宋_GB2312" w:eastAsia="仿宋_GB2312"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IgU3AgAAcwQAAA4AAABkcnMvZTJvRG9jLnhtbK1UzY7TMBC+I/EO&#10;lu80bRGrqmq6KlsVIVXsSgvi7DpOE8l/st0m5QHgDThx4c5z9Tn2s5N0YeGwBy7OeGb8zcw3M1lc&#10;t0qSo3C+Njqnk9GYEqG5KWq9z+mnj5tXM0p8YLpg0miR05Pw9Hr58sWisXMxNZWRhXAEINrPG5vT&#10;KgQ7zzLPK6GYHxkrNIylcYoFXN0+KxxrgK5kNh2Pr7LGuMI6w4X30K47I+0R3XMATVnWXKwNPyih&#10;Q4fqhGQBJfmqtp4uU7ZlKXi4LUsvApE5RaUhnQgCeRfPbLlg871jtqp5nwJ7TgpPalKs1gh6gVqz&#10;wMjB1X9BqZo7400ZRtyorCskMYIqJuMn3NxXzIpUC6j29kK6/3+w/MPxzpG6yOnrN+BEM4WWn79/&#10;O//4df75lUQlKGqsn8Pz3sI3tG9Ni8EZ9B7KWHlbOhW/qInADrDThWDRBsLjo9l0NhvDxGEbLsDP&#10;Hp9b58M7YRSJQk4dOpiIZcetD53r4BKjabOppUxdlJo0Ob2KKf9hAbjUUSPSPPQwsaQu9SiFdtf2&#10;de5McUKZznSz4i3f1Ehly3y4Yw7DgfSxPuEWRykNQppeoqQy7su/9NEfPYOVkgbDllON3aJEvtfo&#10;JQDDILhB2A2CPqgbg+mdYC0tTyIeuCAHsXRGfcZOrWIMmJjmiJTTMIg3oRt47CQXq1VyOlhX76vu&#10;ASbRsrDV95bHMJEqb1eHAGoT45GgjhV0Kl4wi6ln/d7EYf/9nrwe/xX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8fyIFNwIAAHMEAAAOAAAAAAAAAAEAIAAAAB8BAABkcnMvZTJvRG9jLnht&#10;bFBLBQYAAAAABgAGAFkBAADIBQ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rFonts w:ascii="仿宋_GB2312" w:hAnsi="仿宋_GB2312" w:eastAsia="仿宋_GB2312" w:cs="Times New Roman"/>
                        <w:kern w:val="2"/>
                        <w:sz w:val="18"/>
                        <w:szCs w:val="24"/>
                        <w:lang w:val="en-US" w:eastAsia="zh-CN" w:bidi="ar-SA"/>
                      </w:rPr>
                      <w:fldChar w:fldCharType="begin"/>
                    </w:r>
                    <w:r>
                      <w:rPr>
                        <w:rFonts w:ascii="仿宋_GB2312" w:hAnsi="仿宋_GB2312" w:eastAsia="仿宋_GB2312" w:cs="Times New Roman"/>
                        <w:kern w:val="2"/>
                        <w:sz w:val="18"/>
                        <w:szCs w:val="24"/>
                        <w:lang w:val="en-US" w:eastAsia="zh-CN" w:bidi="ar-SA"/>
                      </w:rPr>
                      <w:instrText xml:space="preserve"> PAGE  \* MERGEFORMAT </w:instrText>
                    </w:r>
                    <w:r>
                      <w:rPr>
                        <w:rFonts w:ascii="仿宋_GB2312" w:hAnsi="仿宋_GB2312" w:eastAsia="仿宋_GB2312" w:cs="Times New Roman"/>
                        <w:kern w:val="2"/>
                        <w:sz w:val="18"/>
                        <w:szCs w:val="24"/>
                        <w:lang w:val="en-US" w:eastAsia="zh-CN" w:bidi="ar-SA"/>
                      </w:rPr>
                      <w:fldChar w:fldCharType="separate"/>
                    </w:r>
                    <w:r>
                      <w:rPr>
                        <w:rFonts w:ascii="仿宋_GB2312" w:hAnsi="仿宋_GB2312" w:eastAsia="仿宋_GB2312" w:cs="Times New Roman"/>
                        <w:kern w:val="2"/>
                        <w:sz w:val="18"/>
                        <w:szCs w:val="24"/>
                        <w:lang w:val="en-US" w:eastAsia="zh-CN" w:bidi="ar-SA"/>
                      </w:rPr>
                      <w:t>IV</w:t>
                    </w:r>
                    <w:r>
                      <w:rPr>
                        <w:rFonts w:ascii="仿宋_GB2312" w:hAnsi="仿宋_GB2312" w:eastAsia="仿宋_GB2312" w:cs="Times New Roman"/>
                        <w:kern w:val="2"/>
                        <w:sz w:val="18"/>
                        <w:szCs w:val="24"/>
                        <w:lang w:val="en-US" w:eastAsia="zh-CN" w:bidi="ar-SA"/>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center"/>
      <w:rPr>
        <w:rFonts w:ascii="仿宋_GB2312" w:hAnsi="仿宋_GB2312" w:eastAsia="仿宋_GB2312" w:cs="Times New Roman"/>
        <w:kern w:val="2"/>
        <w:sz w:val="18"/>
        <w:szCs w:val="24"/>
        <w:lang w:val="en-US" w:eastAsia="zh-CN" w:bidi="ar-SA"/>
      </w:rPr>
    </w:pPr>
    <w:r>
      <w:rPr>
        <w:sz w:val="18"/>
      </w:rPr>
      <mc:AlternateContent>
        <mc:Choice Requires="wps">
          <w:drawing>
            <wp:anchor distT="0" distB="0" distL="114300" distR="114300" simplePos="0" relativeHeight="251699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156</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156</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center"/>
      <w:rPr>
        <w:rFonts w:ascii="仿宋_GB2312" w:hAnsi="仿宋_GB2312" w:eastAsia="仿宋_GB2312" w:cs="Times New Roman"/>
        <w:kern w:val="2"/>
        <w:sz w:val="18"/>
        <w:szCs w:val="24"/>
        <w:lang w:val="en-US" w:eastAsia="zh-CN" w:bidi="ar-SA"/>
      </w:rPr>
    </w:pPr>
    <w:r>
      <w:rPr>
        <w:sz w:val="18"/>
      </w:rPr>
      <mc:AlternateContent>
        <mc:Choice Requires="wps">
          <w:drawing>
            <wp:anchor distT="0" distB="0" distL="114300" distR="114300" simplePos="0" relativeHeight="2517002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rFonts w:ascii="仿宋_GB2312" w:hAnsi="仿宋_GB2312" w:eastAsia="仿宋_GB2312" w:cs="Times New Roman"/>
        <w:kern w:val="2"/>
        <w:sz w:val="18"/>
        <w:szCs w:val="24"/>
        <w:lang w:val="en-US" w:eastAsia="zh-CN" w:bidi="ar-SA"/>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rFonts w:ascii="仿宋_GB2312" w:hAnsi="仿宋_GB2312" w:eastAsia="仿宋_GB2312" w:cs="Times New Roman"/>
                              <w:kern w:val="2"/>
                              <w:sz w:val="18"/>
                              <w:szCs w:val="24"/>
                              <w:lang w:val="en-US" w:eastAsia="zh-CN" w:bidi="ar-SA"/>
                            </w:rPr>
                            <w:fldChar w:fldCharType="begin"/>
                          </w:r>
                          <w:r>
                            <w:rPr>
                              <w:rFonts w:ascii="仿宋_GB2312" w:hAnsi="仿宋_GB2312" w:eastAsia="仿宋_GB2312" w:cs="Times New Roman"/>
                              <w:kern w:val="2"/>
                              <w:sz w:val="18"/>
                              <w:szCs w:val="24"/>
                              <w:lang w:val="en-US" w:eastAsia="zh-CN" w:bidi="ar-SA"/>
                            </w:rPr>
                            <w:instrText xml:space="preserve"> PAGE  \* MERGEFORMAT </w:instrText>
                          </w:r>
                          <w:r>
                            <w:rPr>
                              <w:rFonts w:ascii="仿宋_GB2312" w:hAnsi="仿宋_GB2312" w:eastAsia="仿宋_GB2312" w:cs="Times New Roman"/>
                              <w:kern w:val="2"/>
                              <w:sz w:val="18"/>
                              <w:szCs w:val="24"/>
                              <w:lang w:val="en-US" w:eastAsia="zh-CN" w:bidi="ar-SA"/>
                            </w:rPr>
                            <w:fldChar w:fldCharType="separate"/>
                          </w:r>
                          <w:r>
                            <w:rPr>
                              <w:rFonts w:ascii="仿宋_GB2312" w:hAnsi="仿宋_GB2312" w:eastAsia="仿宋_GB2312" w:cs="Times New Roman"/>
                              <w:kern w:val="2"/>
                              <w:sz w:val="18"/>
                              <w:szCs w:val="24"/>
                              <w:lang w:val="en-US" w:eastAsia="zh-CN" w:bidi="ar-SA"/>
                            </w:rPr>
                            <w:t>II</w:t>
                          </w:r>
                          <w:r>
                            <w:rPr>
                              <w:rFonts w:ascii="仿宋_GB2312" w:hAnsi="仿宋_GB2312" w:eastAsia="仿宋_GB2312"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rFonts w:ascii="仿宋_GB2312" w:hAnsi="仿宋_GB2312" w:eastAsia="仿宋_GB2312" w:cs="Times New Roman"/>
                        <w:kern w:val="2"/>
                        <w:sz w:val="18"/>
                        <w:szCs w:val="24"/>
                        <w:lang w:val="en-US" w:eastAsia="zh-CN" w:bidi="ar-SA"/>
                      </w:rPr>
                      <w:fldChar w:fldCharType="begin"/>
                    </w:r>
                    <w:r>
                      <w:rPr>
                        <w:rFonts w:ascii="仿宋_GB2312" w:hAnsi="仿宋_GB2312" w:eastAsia="仿宋_GB2312" w:cs="Times New Roman"/>
                        <w:kern w:val="2"/>
                        <w:sz w:val="18"/>
                        <w:szCs w:val="24"/>
                        <w:lang w:val="en-US" w:eastAsia="zh-CN" w:bidi="ar-SA"/>
                      </w:rPr>
                      <w:instrText xml:space="preserve"> PAGE  \* MERGEFORMAT </w:instrText>
                    </w:r>
                    <w:r>
                      <w:rPr>
                        <w:rFonts w:ascii="仿宋_GB2312" w:hAnsi="仿宋_GB2312" w:eastAsia="仿宋_GB2312" w:cs="Times New Roman"/>
                        <w:kern w:val="2"/>
                        <w:sz w:val="18"/>
                        <w:szCs w:val="24"/>
                        <w:lang w:val="en-US" w:eastAsia="zh-CN" w:bidi="ar-SA"/>
                      </w:rPr>
                      <w:fldChar w:fldCharType="separate"/>
                    </w:r>
                    <w:r>
                      <w:rPr>
                        <w:rFonts w:ascii="仿宋_GB2312" w:hAnsi="仿宋_GB2312" w:eastAsia="仿宋_GB2312" w:cs="Times New Roman"/>
                        <w:kern w:val="2"/>
                        <w:sz w:val="18"/>
                        <w:szCs w:val="24"/>
                        <w:lang w:val="en-US" w:eastAsia="zh-CN" w:bidi="ar-SA"/>
                      </w:rPr>
                      <w:t>II</w:t>
                    </w:r>
                    <w:r>
                      <w:rPr>
                        <w:rFonts w:ascii="仿宋_GB2312" w:hAnsi="仿宋_GB2312" w:eastAsia="仿宋_GB2312" w:cs="Times New Roman"/>
                        <w:kern w:val="2"/>
                        <w:sz w:val="18"/>
                        <w:szCs w:val="24"/>
                        <w:lang w:val="en-US" w:eastAsia="zh-CN" w:bidi="ar-S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center"/>
      <w:rPr>
        <w:rFonts w:ascii="仿宋_GB2312" w:hAnsi="仿宋_GB2312" w:eastAsia="仿宋_GB2312" w:cs="Times New Roman"/>
        <w:kern w:val="2"/>
        <w:sz w:val="18"/>
        <w:szCs w:val="24"/>
        <w:lang w:val="en-US" w:eastAsia="zh-CN" w:bidi="ar-SA"/>
      </w:rPr>
    </w:pPr>
    <w:r>
      <w:rPr>
        <w:sz w:val="18"/>
      </w:rPr>
      <mc:AlternateContent>
        <mc:Choice Requires="wps">
          <w:drawing>
            <wp:anchor distT="0" distB="0" distL="114300" distR="114300" simplePos="0" relativeHeight="2517012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208</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208</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sz w:val="18"/>
      </w:rPr>
      <mc:AlternateContent>
        <mc:Choice Requires="wps">
          <w:drawing>
            <wp:anchor distT="0" distB="0" distL="114300" distR="114300" simplePos="0" relativeHeight="251702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223</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223</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center"/>
      <w:rPr>
        <w:rFonts w:ascii="仿宋_GB2312" w:hAnsi="仿宋_GB2312" w:eastAsia="仿宋_GB2312" w:cs="Times New Roman"/>
        <w:kern w:val="2"/>
        <w:sz w:val="18"/>
        <w:szCs w:val="24"/>
        <w:lang w:val="en-US" w:eastAsia="zh-CN" w:bidi="ar-SA"/>
      </w:rPr>
    </w:pPr>
    <w:r>
      <w:rPr>
        <w:sz w:val="18"/>
      </w:rPr>
      <mc:AlternateContent>
        <mc:Choice Requires="wps">
          <w:drawing>
            <wp:anchor distT="0" distB="0" distL="114300" distR="114300" simplePos="0" relativeHeight="2517032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242</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242</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center"/>
      <w:rPr>
        <w:rFonts w:ascii="仿宋_GB2312" w:hAnsi="仿宋_GB2312" w:eastAsia="仿宋_GB2312" w:cs="Times New Roman"/>
        <w:kern w:val="2"/>
        <w:sz w:val="18"/>
        <w:szCs w:val="24"/>
        <w:lang w:val="en-US" w:eastAsia="zh-CN" w:bidi="ar-SA"/>
      </w:rPr>
    </w:pPr>
    <w:r>
      <w:rPr>
        <w:sz w:val="18"/>
      </w:rPr>
      <mc:AlternateContent>
        <mc:Choice Requires="wps">
          <w:drawing>
            <wp:anchor distT="0" distB="0" distL="114300" distR="114300" simplePos="0" relativeHeight="2517043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rFonts w:ascii="仿宋_GB2312" w:hAnsi="仿宋_GB2312" w:eastAsia="仿宋_GB2312" w:cs="Times New Roman"/>
        <w:kern w:val="2"/>
        <w:sz w:val="18"/>
        <w:szCs w:val="24"/>
        <w:lang w:val="en-US" w:eastAsia="zh-CN" w:bidi="ar-SA"/>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rFonts w:ascii="仿宋_GB2312" w:hAnsi="仿宋_GB2312" w:eastAsia="仿宋_GB2312" w:cs="Times New Roman"/>
                              <w:kern w:val="2"/>
                              <w:sz w:val="18"/>
                              <w:szCs w:val="24"/>
                              <w:lang w:val="en-US" w:eastAsia="zh-CN" w:bidi="ar-SA"/>
                            </w:rPr>
                            <w:fldChar w:fldCharType="begin"/>
                          </w:r>
                          <w:r>
                            <w:rPr>
                              <w:rFonts w:ascii="仿宋_GB2312" w:hAnsi="仿宋_GB2312" w:eastAsia="仿宋_GB2312" w:cs="Times New Roman"/>
                              <w:kern w:val="2"/>
                              <w:sz w:val="18"/>
                              <w:szCs w:val="24"/>
                              <w:lang w:val="en-US" w:eastAsia="zh-CN" w:bidi="ar-SA"/>
                            </w:rPr>
                            <w:instrText xml:space="preserve"> PAGE  \* MERGEFORMAT </w:instrText>
                          </w:r>
                          <w:r>
                            <w:rPr>
                              <w:rFonts w:ascii="仿宋_GB2312" w:hAnsi="仿宋_GB2312" w:eastAsia="仿宋_GB2312" w:cs="Times New Roman"/>
                              <w:kern w:val="2"/>
                              <w:sz w:val="18"/>
                              <w:szCs w:val="24"/>
                              <w:lang w:val="en-US" w:eastAsia="zh-CN" w:bidi="ar-SA"/>
                            </w:rPr>
                            <w:fldChar w:fldCharType="separate"/>
                          </w:r>
                          <w:r>
                            <w:rPr>
                              <w:rFonts w:ascii="仿宋_GB2312" w:hAnsi="仿宋_GB2312" w:eastAsia="仿宋_GB2312" w:cs="Times New Roman"/>
                              <w:kern w:val="2"/>
                              <w:sz w:val="18"/>
                              <w:szCs w:val="24"/>
                              <w:lang w:val="en-US" w:eastAsia="zh-CN" w:bidi="ar-SA"/>
                            </w:rPr>
                            <w:t>II</w:t>
                          </w:r>
                          <w:r>
                            <w:rPr>
                              <w:rFonts w:ascii="仿宋_GB2312" w:hAnsi="仿宋_GB2312" w:eastAsia="仿宋_GB2312"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GBts7AgAAcwQAAA4AAABkcnMvZTJvRG9jLnhtbK1UzY7aMBC+V+o7&#10;WL6XAKvuIkRY0UVUlVB3JVr1bByHRPKfbENCH6B9g5566X2fi+foZ4ew1baHPfQSxp7xN/N9M8Ps&#10;tlWSHITztdE5HQ2GlAjNTVHrXU4/f1q9mVDiA9MFk0aLnB6Fp7fz169mjZ2KsamMLIQjANF+2tic&#10;ViHYaZZ5XgnF/MBYoeEsjVMs4Oh2WeFYA3Qls/FweJ01xhXWGS68x+2yc9IzonsJoCnLmoul4Xsl&#10;dOhQnZAsgJKvauvpPFVbloKH+7L0IhCZUzAN6YsksLfxm81nbLpzzFY1P5fAXlLCM06K1RpJL1BL&#10;FhjZu/ovKFVzZ7wpw4AblXVEkiJgMRo+02ZTMSsSF0jt7UV0//9g+cfDgyN1kdOrmxtKNFNo+enH&#10;99PPx9OvbyReQqLG+ikiNxaxoX1nWgxOf+9xGZm3pVPxF5wI/BD4eBFYtIHw+GgynkyGcHH4+gPw&#10;s6fn1vnwXhhFopFThw4mYdlh7UMX2ofEbNqsailTF6UmTU6vr94O04OLB+BSx1iR5uEMEyl1pUcr&#10;tNv2zHNriiNoOtPNird8VaOUNfPhgTkMB8rH+oR7fEppkNKcLUoq477+6z7Go2fwUtJg2HKqsVuU&#10;yA8avQRg6A3XG9ve0Ht1ZzC9I6yl5cnEAxdkb5bOqC/YqUXMARfTHJlyGnrzLnQDj53kYrFIQXvr&#10;6l3VPcAkWhbWemN5TBOl8naxD5A2KR4F6lRBp+IBs5h6dt6bOOx/nlPU03/F/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0IYG2zsCAABzBAAADgAAAAAAAAABACAAAAAfAQAAZHJzL2Uyb0Rv&#10;Yy54bWxQSwUGAAAAAAYABgBZAQAAzAU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rFonts w:ascii="仿宋_GB2312" w:hAnsi="仿宋_GB2312" w:eastAsia="仿宋_GB2312" w:cs="Times New Roman"/>
                        <w:kern w:val="2"/>
                        <w:sz w:val="18"/>
                        <w:szCs w:val="24"/>
                        <w:lang w:val="en-US" w:eastAsia="zh-CN" w:bidi="ar-SA"/>
                      </w:rPr>
                      <w:fldChar w:fldCharType="begin"/>
                    </w:r>
                    <w:r>
                      <w:rPr>
                        <w:rFonts w:ascii="仿宋_GB2312" w:hAnsi="仿宋_GB2312" w:eastAsia="仿宋_GB2312" w:cs="Times New Roman"/>
                        <w:kern w:val="2"/>
                        <w:sz w:val="18"/>
                        <w:szCs w:val="24"/>
                        <w:lang w:val="en-US" w:eastAsia="zh-CN" w:bidi="ar-SA"/>
                      </w:rPr>
                      <w:instrText xml:space="preserve"> PAGE  \* MERGEFORMAT </w:instrText>
                    </w:r>
                    <w:r>
                      <w:rPr>
                        <w:rFonts w:ascii="仿宋_GB2312" w:hAnsi="仿宋_GB2312" w:eastAsia="仿宋_GB2312" w:cs="Times New Roman"/>
                        <w:kern w:val="2"/>
                        <w:sz w:val="18"/>
                        <w:szCs w:val="24"/>
                        <w:lang w:val="en-US" w:eastAsia="zh-CN" w:bidi="ar-SA"/>
                      </w:rPr>
                      <w:fldChar w:fldCharType="separate"/>
                    </w:r>
                    <w:r>
                      <w:rPr>
                        <w:rFonts w:ascii="仿宋_GB2312" w:hAnsi="仿宋_GB2312" w:eastAsia="仿宋_GB2312" w:cs="Times New Roman"/>
                        <w:kern w:val="2"/>
                        <w:sz w:val="18"/>
                        <w:szCs w:val="24"/>
                        <w:lang w:val="en-US" w:eastAsia="zh-CN" w:bidi="ar-SA"/>
                      </w:rPr>
                      <w:t>II</w:t>
                    </w:r>
                    <w:r>
                      <w:rPr>
                        <w:rFonts w:ascii="仿宋_GB2312" w:hAnsi="仿宋_GB2312" w:eastAsia="仿宋_GB2312" w:cs="Times New Roman"/>
                        <w:kern w:val="2"/>
                        <w:sz w:val="18"/>
                        <w:szCs w:val="24"/>
                        <w:lang w:val="en-US" w:eastAsia="zh-CN" w:bidi="ar-SA"/>
                      </w:rPr>
                      <w:fldChar w:fldCharType="end"/>
                    </w:r>
                  </w:p>
                </w:txbxContent>
              </v:textbox>
            </v:shape>
          </w:pict>
        </mc:Fallback>
      </mc:AlternateContent>
    </w:r>
    <w:r>
      <w:rPr>
        <w:rFonts w:hint="eastAsia" w:ascii="仿宋_GB2312" w:hAnsi="仿宋_GB2312" w:eastAsia="仿宋_GB2312" w:cs="Times New Roman"/>
        <w:kern w:val="2"/>
        <w:sz w:val="18"/>
        <w:szCs w:val="24"/>
        <w:lang w:val="en-US" w:eastAsia="zh-CN" w:bidi="ar-SA"/>
      </w:rPr>
      <w:tab/>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center"/>
      <w:rPr>
        <w:rFonts w:ascii="仿宋_GB2312" w:hAnsi="仿宋_GB2312" w:eastAsia="仿宋_GB2312" w:cs="Times New Roman"/>
        <w:kern w:val="2"/>
        <w:sz w:val="18"/>
        <w:szCs w:val="24"/>
        <w:lang w:val="en-US" w:eastAsia="zh-CN" w:bidi="ar-SA"/>
      </w:rPr>
    </w:pPr>
    <w:r>
      <w:rPr>
        <w:sz w:val="18"/>
      </w:rPr>
      <mc:AlternateContent>
        <mc:Choice Requires="wps">
          <w:drawing>
            <wp:anchor distT="0" distB="0" distL="114300" distR="114300" simplePos="0" relativeHeight="2517053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rFonts w:hint="eastAsia" w:ascii="仿宋_GB2312" w:hAnsi="仿宋_GB2312" w:eastAsia="仿宋_GB2312" w:cs="Times New Roman"/>
        <w:kern w:val="2"/>
        <w:sz w:val="18"/>
        <w:szCs w:val="24"/>
        <w:lang w:val="en-US" w:eastAsia="zh-CN" w:bidi="ar-SA"/>
      </w:rPr>
      <w:tab/>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center"/>
      <w:rPr>
        <w:rFonts w:ascii="仿宋_GB2312" w:hAnsi="仿宋_GB2312" w:eastAsia="仿宋_GB2312" w:cs="Times New Roman"/>
        <w:kern w:val="2"/>
        <w:sz w:val="18"/>
        <w:szCs w:val="24"/>
        <w:lang w:val="en-US" w:eastAsia="zh-CN" w:bidi="ar-SA"/>
      </w:rPr>
    </w:pPr>
    <w:r>
      <w:rPr>
        <w:sz w:val="18"/>
      </w:rPr>
      <mc:AlternateContent>
        <mc:Choice Requires="wps">
          <w:drawing>
            <wp:anchor distT="0" distB="0" distL="114300" distR="114300" simplePos="0" relativeHeight="251706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rFonts w:ascii="仿宋_GB2312" w:hAnsi="仿宋_GB2312" w:eastAsia="仿宋_GB2312" w:cs="Times New Roman"/>
        <w:kern w:val="2"/>
        <w:sz w:val="18"/>
        <w:szCs w:val="24"/>
        <w:lang w:val="en-US" w:eastAsia="zh-CN" w:bidi="ar-SA"/>
      </w:rPr>
      <mc:AlternateContent>
        <mc:Choice Requires="wps">
          <w:drawing>
            <wp:anchor distT="0" distB="0" distL="114300" distR="114300" simplePos="0" relativeHeight="251682816" behindDoc="0" locked="0" layoutInCell="1" allowOverlap="1">
              <wp:simplePos x="0" y="0"/>
              <wp:positionH relativeFrom="margin">
                <wp:posOffset>2490470</wp:posOffset>
              </wp:positionH>
              <wp:positionV relativeFrom="paragraph">
                <wp:posOffset>-228600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rFonts w:ascii="仿宋_GB2312" w:hAnsi="仿宋_GB2312" w:eastAsia="仿宋_GB2312" w:cs="Times New Roman"/>
                              <w:kern w:val="2"/>
                              <w:sz w:val="18"/>
                              <w:szCs w:val="24"/>
                              <w:lang w:val="en-US" w:eastAsia="zh-CN" w:bidi="ar-SA"/>
                            </w:rPr>
                            <w:fldChar w:fldCharType="begin"/>
                          </w:r>
                          <w:r>
                            <w:rPr>
                              <w:rFonts w:ascii="仿宋_GB2312" w:hAnsi="仿宋_GB2312" w:eastAsia="仿宋_GB2312" w:cs="Times New Roman"/>
                              <w:kern w:val="2"/>
                              <w:sz w:val="18"/>
                              <w:szCs w:val="24"/>
                              <w:lang w:val="en-US" w:eastAsia="zh-CN" w:bidi="ar-SA"/>
                            </w:rPr>
                            <w:instrText xml:space="preserve"> PAGE  \* MERGEFORMAT </w:instrText>
                          </w:r>
                          <w:r>
                            <w:rPr>
                              <w:rFonts w:ascii="仿宋_GB2312" w:hAnsi="仿宋_GB2312" w:eastAsia="仿宋_GB2312" w:cs="Times New Roman"/>
                              <w:kern w:val="2"/>
                              <w:sz w:val="18"/>
                              <w:szCs w:val="24"/>
                              <w:lang w:val="en-US" w:eastAsia="zh-CN" w:bidi="ar-SA"/>
                            </w:rPr>
                            <w:fldChar w:fldCharType="separate"/>
                          </w:r>
                          <w:r>
                            <w:rPr>
                              <w:rFonts w:ascii="仿宋_GB2312" w:hAnsi="仿宋_GB2312" w:eastAsia="仿宋_GB2312" w:cs="Times New Roman"/>
                              <w:kern w:val="2"/>
                              <w:sz w:val="18"/>
                              <w:szCs w:val="24"/>
                              <w:lang w:val="en-US" w:eastAsia="zh-CN" w:bidi="ar-SA"/>
                            </w:rPr>
                            <w:t>II</w:t>
                          </w:r>
                          <w:r>
                            <w:rPr>
                              <w:rFonts w:ascii="仿宋_GB2312" w:hAnsi="仿宋_GB2312" w:eastAsia="仿宋_GB2312" w:cs="Times New Roman"/>
                              <w:kern w:val="2"/>
                              <w:sz w:val="18"/>
                              <w:szCs w:val="24"/>
                              <w:lang w:val="en-US" w:eastAsia="zh-CN" w:bidi="ar-S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6.1pt;margin-top:-18pt;height:144pt;width:144pt;mso-position-horizontal-relative:margin;mso-wrap-style:none;z-index:251682816;mso-width-relative:page;mso-height-relative:page;" filled="f" stroked="f" coordsize="21600,21600" o:gfxdata="UEsDBAoAAAAAAIdO4kAAAAAAAAAAAAAAAAAEAAAAZHJzL1BLAwQUAAAACACHTuJAMy2irdgAAAAL&#10;AQAADwAAAGRycy9kb3ducmV2LnhtbE2Py07DMBBF90j8gzVI7Fq7CUQlxKlERVgi0bBg6cZDEvAj&#10;st00/D3Dii5n5ujOudVusYbNGOLonYTNWgBD13k9ul7Ce9ustsBiUk4r4x1K+MEIu/r6qlKl9mf3&#10;hvMh9YxCXCyVhCGlqeQ8dgNaFdd+Qke3Tx+sSjSGnuugzhRuDc+EKLhVo6MPg5pwP2D3fThZCfum&#10;bcOMMZgPfGnyr9enO3xepLy92YhHYAmX9A/Dnz6pQ01OR39yOjIjIX/IMkIlrPKCShFRbAVtjhKy&#10;+0wAryt+2aH+BVBLAwQUAAAACACHTuJAR7oKJjoCAABxBAAADgAAAGRycy9lMm9Eb2MueG1srVTN&#10;jtMwEL4j8Q6W7zRpF1ZV1XRVtipCqtiVFsTZdZwmkv9ku03KA8AbcOLCnefqc/DZabpo4bAHLunY&#10;M/5mvm9mOr/plCQH4XxjdEHHo5wSobkpG70r6KeP61dTSnxgumTSaFHQo/D0ZvHyxby1MzExtZGl&#10;cAQg2s9aW9A6BDvLMs9roZgfGSs0nJVxigUc3S4rHWuBrmQ2yfPrrDWutM5w4T1uV72TnhHdcwBN&#10;VTVcrAzfK6FDj+qEZAGUfN1YTxep2qoSPNxVlReByIKCaUhfJIG9jd9sMWeznWO2bvi5BPacEp5w&#10;UqzRSHqBWrHAyN41f0GphjvjTRVG3KisJ5IUAYtx/kSbh5pZkbhAam8vovv/B8s/HO4dacqCXr2m&#10;RDOFjp++fzv9+HX6+ZXgDgK11s8Q92ARGbq3psPYDPcel5F3VzkVf8GIwA95jxd5RRcIj4+mk+k0&#10;h4vDNxyAnz0+t86Hd8IoEo2COvQvycoOGx/60CEkZtNm3UiZeig1aQt6ffUmTw8uHoBLHWNFmoYz&#10;TKTUlx6t0G27M8+tKY+g6Uw/Kd7ydYNSNsyHe+YwGigfyxPu8KmkQUpztiipjfvyr/sYj47BS0mL&#10;USuoxmZRIt9rdBKAYTDcYGwHQ+/VrcHsjrGUlicTD1yQg1k5oz5jo5YxB1xMc2QqaBjM29CPOzaS&#10;i+UyBe2ta3Z1/wBzaFnY6AfLY5oolbfLfYC0SfEoUK8KOhUPmMTUs/PWxFH/85yiHv8p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My2irdgAAAALAQAADwAAAAAAAAABACAAAAAiAAAAZHJzL2Rv&#10;d25yZXYueG1sUEsBAhQAFAAAAAgAh07iQEe6CiY6AgAAcQQAAA4AAAAAAAAAAQAgAAAAJwEAAGRy&#10;cy9lMm9Eb2MueG1sUEsFBgAAAAAGAAYAWQEAANMFA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line="360" w:lineRule="auto"/>
                      <w:ind w:firstLine="360" w:firstLineChars="200"/>
                      <w:jc w:val="left"/>
                      <w:rPr>
                        <w:rFonts w:ascii="仿宋_GB2312" w:hAnsi="仿宋_GB2312" w:eastAsia="仿宋_GB2312" w:cs="Times New Roman"/>
                        <w:kern w:val="2"/>
                        <w:sz w:val="18"/>
                        <w:szCs w:val="24"/>
                        <w:lang w:val="en-US" w:eastAsia="zh-CN" w:bidi="ar-SA"/>
                      </w:rPr>
                    </w:pPr>
                    <w:r>
                      <w:rPr>
                        <w:rFonts w:ascii="仿宋_GB2312" w:hAnsi="仿宋_GB2312" w:eastAsia="仿宋_GB2312" w:cs="Times New Roman"/>
                        <w:kern w:val="2"/>
                        <w:sz w:val="18"/>
                        <w:szCs w:val="24"/>
                        <w:lang w:val="en-US" w:eastAsia="zh-CN" w:bidi="ar-SA"/>
                      </w:rPr>
                      <w:fldChar w:fldCharType="begin"/>
                    </w:r>
                    <w:r>
                      <w:rPr>
                        <w:rFonts w:ascii="仿宋_GB2312" w:hAnsi="仿宋_GB2312" w:eastAsia="仿宋_GB2312" w:cs="Times New Roman"/>
                        <w:kern w:val="2"/>
                        <w:sz w:val="18"/>
                        <w:szCs w:val="24"/>
                        <w:lang w:val="en-US" w:eastAsia="zh-CN" w:bidi="ar-SA"/>
                      </w:rPr>
                      <w:instrText xml:space="preserve"> PAGE  \* MERGEFORMAT </w:instrText>
                    </w:r>
                    <w:r>
                      <w:rPr>
                        <w:rFonts w:ascii="仿宋_GB2312" w:hAnsi="仿宋_GB2312" w:eastAsia="仿宋_GB2312" w:cs="Times New Roman"/>
                        <w:kern w:val="2"/>
                        <w:sz w:val="18"/>
                        <w:szCs w:val="24"/>
                        <w:lang w:val="en-US" w:eastAsia="zh-CN" w:bidi="ar-SA"/>
                      </w:rPr>
                      <w:fldChar w:fldCharType="separate"/>
                    </w:r>
                    <w:r>
                      <w:rPr>
                        <w:rFonts w:ascii="仿宋_GB2312" w:hAnsi="仿宋_GB2312" w:eastAsia="仿宋_GB2312" w:cs="Times New Roman"/>
                        <w:kern w:val="2"/>
                        <w:sz w:val="18"/>
                        <w:szCs w:val="24"/>
                        <w:lang w:val="en-US" w:eastAsia="zh-CN" w:bidi="ar-SA"/>
                      </w:rPr>
                      <w:t>II</w:t>
                    </w:r>
                    <w:r>
                      <w:rPr>
                        <w:rFonts w:ascii="仿宋_GB2312" w:hAnsi="仿宋_GB2312" w:eastAsia="仿宋_GB2312" w:cs="Times New Roman"/>
                        <w:kern w:val="2"/>
                        <w:sz w:val="18"/>
                        <w:szCs w:val="24"/>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center"/>
      <w:rPr>
        <w:rFonts w:ascii="仿宋_GB2312" w:hAnsi="仿宋_GB2312" w:eastAsia="仿宋_GB2312" w:cs="Times New Roman"/>
        <w:kern w:val="2"/>
        <w:sz w:val="18"/>
        <w:szCs w:val="24"/>
        <w:lang w:val="en-US" w:eastAsia="zh-CN" w:bidi="ar-SA"/>
      </w:rPr>
    </w:pPr>
    <w:r>
      <w:rPr>
        <w:sz w:val="18"/>
      </w:rPr>
      <mc:AlternateContent>
        <mc:Choice Requires="wps">
          <w:drawing>
            <wp:anchor distT="0" distB="0" distL="114300" distR="114300" simplePos="0" relativeHeight="2517073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300</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300</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rPr>
        <w:sz w:val="21"/>
        <w:szCs w:val="21"/>
      </w:rPr>
    </w:pPr>
    <w:r>
      <w:rPr>
        <w:sz w:val="21"/>
      </w:rPr>
      <mc:AlternateContent>
        <mc:Choice Requires="wps">
          <w:drawing>
            <wp:anchor distT="0" distB="0" distL="114300" distR="114300" simplePos="0" relativeHeight="2516858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8"/>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r>
      <w:rPr>
        <w:sz w:val="18"/>
      </w:rPr>
      <mc:AlternateContent>
        <mc:Choice Requires="wps">
          <w:drawing>
            <wp:anchor distT="0" distB="0" distL="114300" distR="114300" simplePos="0" relativeHeight="251660288" behindDoc="0" locked="0" layoutInCell="1" allowOverlap="1">
              <wp:simplePos x="0" y="0"/>
              <wp:positionH relativeFrom="margin">
                <wp:posOffset>2475865</wp:posOffset>
              </wp:positionH>
              <wp:positionV relativeFrom="paragraph">
                <wp:posOffset>-182245</wp:posOffset>
              </wp:positionV>
              <wp:extent cx="871220" cy="699135"/>
              <wp:effectExtent l="0" t="0" r="0" b="0"/>
              <wp:wrapNone/>
              <wp:docPr id="9" name="文本框 9"/>
              <wp:cNvGraphicFramePr/>
              <a:graphic xmlns:a="http://schemas.openxmlformats.org/drawingml/2006/main">
                <a:graphicData uri="http://schemas.microsoft.com/office/word/2010/wordprocessingShape">
                  <wps:wsp>
                    <wps:cNvSpPr txBox="1"/>
                    <wps:spPr>
                      <a:xfrm>
                        <a:off x="0" y="0"/>
                        <a:ext cx="871220" cy="699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194.95pt;margin-top:-14.35pt;height:55.05pt;width:68.6pt;mso-position-horizontal-relative:margin;z-index:251660288;mso-width-relative:page;mso-height-relative:page;" filled="f" stroked="f" coordsize="21600,21600" o:gfxdata="UEsDBAoAAAAAAIdO4kAAAAAAAAAAAAAAAAAEAAAAZHJzL1BLAwQUAAAACACHTuJA5n3BOtoAAAAK&#10;AQAADwAAAGRycy9kb3ducmV2LnhtbE2Py07DMBBF90j8gzVI7Frb4dE0xOmCxw4KFJBg58RDEhGP&#10;I9tJy99jVrAc3aN7z5Sbgx3YjD70jhTIpQCG1DjTU6vg9eVukQMLUZPRgyNU8I0BNtXxUakL4/b0&#10;jPMutiyVUCi0gi7GseA8NB1aHZZuRErZp/NWx3T6lhuv96ncDjwT4pJb3VNa6PSI1x02X7vJKhje&#10;g7+vRfyYb9qH+PTIp7dbuVXq9ESKK2ARD/EPhl/9pA5VcqrdRCawQcFZvl4nVMEiy1fAEnGRrSSw&#10;WkEuz4FXJf//QvUDUEsDBBQAAAAIAIdO4kBfHRGjPQIAAG8EAAAOAAAAZHJzL2Uyb0RvYy54bWyt&#10;VMGO0zAQvSPxD5bvNG1Xu2yrpquyVRHSil2pIM6u4zSWbI+xnSblA+APOHHhznf1Oxg7SRctHPbA&#10;xRl7xm/mvRlncdNqRQ7CeQkmp5PRmBJhOBTS7HP68cPm1TUlPjBTMAVG5PQoPL1ZvnyxaOxcTKEC&#10;VQhHEMT4eWNzWoVg51nmeSU08yOwwqCzBKdZwK3bZ4VjDaJrlU3H46usAVdYB1x4j6frzkl7RPcc&#10;QChLycUaeK2FCR2qE4oFpOQraT1dpmrLUvBwX5ZeBKJyikxDWjEJ2ru4ZssFm+8ds5XkfQnsOSU8&#10;4aSZNJj0DLVmgZHayb+gtOQOPJRhxEFnHZGkCLKYjJ9os62YFYkLSu3tWXT//2D5+8ODI7LI6YwS&#10;wzQ2/PT92+nHr9PPr2QW5Wmsn2PU1mJcaN9Ai0MznHs8jKzb0un4RT4E/Sju8SyuaAPheHj9ejKd&#10;ooej62o2m1xcRpTs8bJ1PrwVoEk0cuqwd0lSdrjzoQsdQmIuAxupVOqfMqRB0IvLcbpw9iC4MjFW&#10;pEnoYSKhrvBohXbX9ix3UByRpINuSrzlG4ml3DEfHpjDscDq8eGEe1xKBZgSeouSCtyXf53HeOwW&#10;eilpcMxy6j/XzAlK1DuDfUTIMBhuMHaDYWp9Czi5E3ySlicTL7igBrN0oD/he1rFLOhihmOunIbB&#10;vA3dsON75GK1SkG1dXJfdRdwCi0Ld2ZreUzTCbuqA5QyaR4l6nTBXsUNzmHqWv9m4qD/uU9Rj/+J&#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fcE62gAAAAoBAAAPAAAAAAAAAAEAIAAAACIAAABk&#10;cnMvZG93bnJldi54bWxQSwECFAAUAAAACACHTuJAXx0Roz0CAABvBAAADgAAAAAAAAABACAAAAAp&#10;AQAAZHJzL2Uyb0RvYy54bWxQSwUGAAAAAAYABgBZAQAA2AUAAAAA&#10;">
              <v:fill on="f" focussize="0,0"/>
              <v:stroke on="f" weight="0.5pt"/>
              <v:imagedata o:title=""/>
              <o:lock v:ext="edit" aspectratio="f"/>
              <v:textbox inset="0mm,0mm,0mm,0mm">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28</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28</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jc w:val="center"/>
      <w:rPr>
        <w:sz w:val="21"/>
        <w:szCs w:val="21"/>
      </w:rPr>
    </w:pPr>
    <w:r>
      <w:rPr>
        <w:sz w:val="21"/>
      </w:rPr>
      <mc:AlternateContent>
        <mc:Choice Requires="wps">
          <w:drawing>
            <wp:anchor distT="0" distB="0" distL="114300" distR="114300" simplePos="0" relativeHeight="2516879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8"/>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0"/>
        <w:right w:val="none" w:color="auto" w:sz="0" w:space="4"/>
      </w:pBdr>
      <w:tabs>
        <w:tab w:val="center" w:pos="4153"/>
        <w:tab w:val="right" w:pos="8306"/>
      </w:tabs>
      <w:snapToGrid w:val="0"/>
      <w:spacing w:line="240" w:lineRule="auto"/>
      <w:ind w:firstLine="360" w:firstLineChars="200"/>
      <w:jc w:val="both"/>
      <w:outlineLvl w:val="9"/>
      <w:rPr>
        <w:rFonts w:ascii="仿宋_GB2312" w:hAnsi="仿宋_GB2312" w:eastAsia="仿宋_GB2312" w:cs="Times New Roman"/>
        <w:kern w:val="2"/>
        <w:sz w:val="18"/>
        <w:szCs w:val="24"/>
        <w:lang w:val="en-US" w:eastAsia="zh-CN" w:bidi="ar-S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0"/>
        <w:right w:val="none" w:color="auto" w:sz="0" w:space="4"/>
      </w:pBdr>
      <w:tabs>
        <w:tab w:val="center" w:pos="4153"/>
        <w:tab w:val="right" w:pos="8306"/>
      </w:tabs>
      <w:snapToGrid w:val="0"/>
      <w:spacing w:line="240" w:lineRule="auto"/>
      <w:ind w:firstLine="360" w:firstLineChars="200"/>
      <w:jc w:val="both"/>
      <w:outlineLvl w:val="9"/>
      <w:rPr>
        <w:rFonts w:ascii="仿宋_GB2312" w:hAnsi="仿宋_GB2312" w:eastAsia="仿宋_GB2312" w:cs="Times New Roman"/>
        <w:kern w:val="2"/>
        <w:sz w:val="18"/>
        <w:szCs w:val="24"/>
        <w:lang w:val="en-US" w:eastAsia="zh-CN" w:bidi="ar-S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ind w:firstLine="360" w:firstLineChars="200"/>
      <w:jc w:val="both"/>
      <w:outlineLvl w:val="9"/>
      <w:rPr>
        <w:rFonts w:ascii="仿宋_GB2312" w:hAnsi="仿宋_GB2312" w:eastAsia="仿宋_GB2312" w:cs="Times New Roman"/>
        <w:kern w:val="2"/>
        <w:sz w:val="18"/>
        <w:szCs w:val="24"/>
        <w:lang w:val="en-US" w:eastAsia="zh-CN" w:bidi="ar-S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0"/>
      </w:pBdr>
      <w:ind w:left="0" w:leftChars="0" w:firstLine="0" w:firstLineChars="0"/>
      <w:jc w:val="left"/>
    </w:pPr>
    <w:r>
      <w:rPr>
        <w:rFonts w:hint="eastAsia"/>
        <w:lang w:eastAsia="zh-CN"/>
      </w:rPr>
      <w:t>西宁市城中区总寨塬智能温室园区道路工程和排水工程</w:t>
    </w:r>
    <w:r>
      <w:rPr>
        <w:rFonts w:hint="eastAsia"/>
      </w:rPr>
      <w:t>项目绩效评价报告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rPr>
        <w:lang w:val="en-US" w:eastAsia="zh-CN"/>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single" w:color="auto" w:sz="4" w:space="0"/>
        <w:right w:val="none" w:color="auto" w:sz="0" w:space="4"/>
      </w:pBdr>
      <w:tabs>
        <w:tab w:val="center" w:pos="4153"/>
        <w:tab w:val="right" w:pos="8306"/>
      </w:tabs>
      <w:snapToGrid w:val="0"/>
      <w:spacing w:line="240" w:lineRule="auto"/>
      <w:ind w:left="0" w:leftChars="0" w:firstLine="0" w:firstLineChars="0"/>
      <w:jc w:val="left"/>
      <w:outlineLvl w:val="9"/>
      <w:rPr>
        <w:rFonts w:ascii="仿宋_GB2312" w:hAnsi="仿宋_GB2312" w:eastAsia="仿宋_GB2312" w:cs="Times New Roman"/>
        <w:b/>
        <w:bCs/>
        <w:kern w:val="2"/>
        <w:sz w:val="18"/>
        <w:szCs w:val="24"/>
        <w:lang w:val="en-US" w:eastAsia="zh-CN" w:bidi="ar-SA"/>
      </w:rPr>
    </w:pPr>
    <w:r>
      <w:rPr>
        <w:rFonts w:hint="eastAsia" w:ascii="仿宋_GB2312" w:hAnsi="仿宋_GB2312" w:eastAsia="仿宋_GB2312" w:cs="Times New Roman"/>
        <w:kern w:val="2"/>
        <w:sz w:val="18"/>
        <w:szCs w:val="24"/>
        <w:lang w:val="en-US" w:eastAsia="zh-CN" w:bidi="ar-SA"/>
      </w:rPr>
      <w:t>西宁市城中区总寨塬智能温室园区道路工程和排水工程项目绩效评价报告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rPr>
        <w:lang w:val="en-US" w:eastAsia="zh-CN"/>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single" w:color="auto" w:sz="4" w:space="0"/>
        <w:right w:val="none" w:color="auto" w:sz="0" w:space="4"/>
      </w:pBdr>
      <w:tabs>
        <w:tab w:val="center" w:pos="4153"/>
        <w:tab w:val="right" w:pos="8306"/>
      </w:tabs>
      <w:snapToGrid w:val="0"/>
      <w:spacing w:line="240" w:lineRule="auto"/>
      <w:ind w:left="0" w:leftChars="0" w:firstLine="0" w:firstLineChars="0"/>
      <w:jc w:val="left"/>
      <w:outlineLvl w:val="9"/>
      <w:rPr>
        <w:rFonts w:ascii="仿宋_GB2312" w:hAnsi="仿宋_GB2312" w:eastAsia="仿宋_GB2312" w:cs="Times New Roman"/>
        <w:kern w:val="2"/>
        <w:sz w:val="18"/>
        <w:szCs w:val="24"/>
        <w:lang w:val="en-US" w:eastAsia="zh-CN" w:bidi="ar-SA"/>
      </w:rPr>
    </w:pPr>
    <w:r>
      <w:rPr>
        <w:rFonts w:hint="eastAsia" w:ascii="仿宋_GB2312" w:hAnsi="仿宋_GB2312" w:eastAsia="仿宋_GB2312" w:cs="Times New Roman"/>
        <w:kern w:val="2"/>
        <w:sz w:val="18"/>
        <w:szCs w:val="24"/>
        <w:lang w:val="en-US" w:eastAsia="zh-CN" w:bidi="ar-SA"/>
      </w:rPr>
      <w:t>西宁市城中区总寨塬智能温室园区道路工程和排水工程项目绩效评价报告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single" w:color="auto" w:sz="4" w:space="0"/>
        <w:right w:val="none" w:color="auto" w:sz="0" w:space="4"/>
      </w:pBdr>
      <w:tabs>
        <w:tab w:val="center" w:pos="4153"/>
        <w:tab w:val="right" w:pos="8306"/>
      </w:tabs>
      <w:snapToGrid w:val="0"/>
      <w:spacing w:line="240" w:lineRule="auto"/>
      <w:ind w:left="0" w:leftChars="0" w:firstLine="0" w:firstLineChars="0"/>
      <w:jc w:val="right"/>
      <w:outlineLvl w:val="9"/>
      <w:rPr>
        <w:rFonts w:ascii="仿宋_GB2312" w:hAnsi="仿宋_GB2312" w:eastAsia="仿宋_GB2312" w:cs="Times New Roman"/>
        <w:kern w:val="2"/>
        <w:sz w:val="18"/>
        <w:szCs w:val="24"/>
        <w:lang w:val="en-US" w:eastAsia="zh-CN" w:bidi="ar-SA"/>
      </w:rPr>
    </w:pPr>
    <w:r>
      <w:rPr>
        <w:rFonts w:hint="eastAsia" w:ascii="仿宋_GB2312" w:hAnsi="仿宋_GB2312" w:eastAsia="仿宋_GB2312" w:cs="Times New Roman"/>
        <w:kern w:val="2"/>
        <w:sz w:val="18"/>
        <w:szCs w:val="24"/>
        <w:lang w:val="en-US" w:eastAsia="zh-CN" w:bidi="ar-SA"/>
      </w:rPr>
      <w:t>西宁市城中区总寨塬智能温室园区道路工程和排水工程项目绩效评价报告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360"/>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single" w:color="auto" w:sz="4" w:space="0"/>
        <w:right w:val="none" w:color="auto" w:sz="0" w:space="4"/>
      </w:pBdr>
      <w:tabs>
        <w:tab w:val="center" w:pos="4153"/>
        <w:tab w:val="right" w:pos="8306"/>
      </w:tabs>
      <w:snapToGrid w:val="0"/>
      <w:spacing w:line="240" w:lineRule="auto"/>
      <w:ind w:left="0" w:leftChars="0" w:firstLine="0" w:firstLineChars="0"/>
      <w:jc w:val="left"/>
      <w:outlineLvl w:val="9"/>
      <w:rPr>
        <w:rFonts w:ascii="仿宋_GB2312" w:hAnsi="仿宋_GB2312" w:eastAsia="仿宋_GB2312" w:cs="Times New Roman"/>
        <w:kern w:val="2"/>
        <w:sz w:val="18"/>
        <w:szCs w:val="24"/>
        <w:lang w:val="en-US" w:eastAsia="zh-CN" w:bidi="ar-SA"/>
      </w:rPr>
    </w:pPr>
    <w:r>
      <w:rPr>
        <w:rFonts w:hint="eastAsia" w:ascii="仿宋_GB2312" w:hAnsi="仿宋_GB2312" w:eastAsia="仿宋_GB2312" w:cs="Times New Roman"/>
        <w:kern w:val="2"/>
        <w:sz w:val="18"/>
        <w:szCs w:val="24"/>
        <w:lang w:val="en-US" w:eastAsia="zh-CN" w:bidi="ar-SA"/>
      </w:rPr>
      <w:t>西宁市城中区总寨塬智能温室园区道路工程和排水工程项目绩效评价报告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560" w:lineRule="exact"/>
      <w:ind w:firstLine="0" w:firstLineChars="0"/>
      <w:jc w:val="right"/>
      <w:rPr>
        <w:rFonts w:hint="eastAsia" w:ascii="仿宋_GB2312" w:hAnsi="仿宋_GB2312" w:eastAsia="仿宋_GB2312" w:cs="Times New Roman"/>
        <w:kern w:val="2"/>
        <w:sz w:val="18"/>
        <w:szCs w:val="24"/>
        <w:lang w:val="en-US" w:eastAsia="zh-CN" w:bidi="ar-SA"/>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560" w:lineRule="exact"/>
      <w:ind w:firstLine="0" w:firstLineChars="0"/>
      <w:jc w:val="left"/>
      <w:rPr>
        <w:rFonts w:hint="eastAsia" w:ascii="仿宋_GB2312" w:hAnsi="仿宋_GB2312" w:eastAsia="仿宋_GB2312" w:cs="Times New Roman"/>
        <w:kern w:val="2"/>
        <w:sz w:val="18"/>
        <w:szCs w:val="24"/>
        <w:lang w:val="en-US" w:eastAsia="zh-CN" w:bidi="ar-SA"/>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560" w:lineRule="exact"/>
      <w:ind w:firstLine="0" w:firstLineChars="0"/>
      <w:jc w:val="right"/>
      <w:rPr>
        <w:rFonts w:hint="eastAsia" w:ascii="仿宋_GB2312" w:hAnsi="仿宋_GB2312" w:eastAsia="仿宋_GB2312" w:cs="Times New Roman"/>
        <w:kern w:val="2"/>
        <w:sz w:val="18"/>
        <w:szCs w:val="24"/>
        <w:lang w:val="en-US" w:eastAsia="zh-CN" w:bidi="ar-SA"/>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560" w:lineRule="exact"/>
      <w:ind w:firstLine="0" w:firstLineChars="0"/>
      <w:jc w:val="left"/>
      <w:rPr>
        <w:rFonts w:hint="eastAsia" w:ascii="仿宋_GB2312" w:hAnsi="仿宋_GB2312" w:eastAsia="仿宋_GB2312" w:cs="Times New Roman"/>
        <w:kern w:val="2"/>
        <w:sz w:val="18"/>
        <w:szCs w:val="24"/>
        <w:lang w:val="en-US" w:eastAsia="zh-CN" w:bidi="ar-SA"/>
      </w:rPr>
    </w:pPr>
    <w:r>
      <w:rPr>
        <w:rFonts w:hint="eastAsia" w:ascii="仿宋_GB2312" w:hAnsi="仿宋_GB2312" w:eastAsia="仿宋_GB2312" w:cs="Times New Roman"/>
        <w:kern w:val="2"/>
        <w:sz w:val="18"/>
        <w:szCs w:val="24"/>
        <w:lang w:val="en-US" w:eastAsia="zh-CN" w:bidi="ar-SA"/>
      </w:rPr>
      <w:t>西宁市城中区前营街幼儿园建设项目绩效评价报告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left="0" w:leftChars="0" w:firstLine="0" w:firstLineChars="0"/>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ind w:left="0" w:leftChars="0" w:firstLine="0" w:firstLineChars="0"/>
      <w:jc w:val="left"/>
    </w:pPr>
    <w:r>
      <w:rPr>
        <w:rFonts w:hint="eastAsia"/>
        <w:lang w:eastAsia="zh-CN"/>
      </w:rPr>
      <w:t>西宁市城中区2021年校园保安专项资金</w:t>
    </w:r>
    <w:r>
      <w:rPr>
        <w:rFonts w:hint="eastAsia"/>
      </w:rPr>
      <w:t>绩效评价报告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rPr>
        <w:rFonts w:hint="eastAsia"/>
        <w:lang w:val="en-US" w:eastAsia="zh-C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4A0C74"/>
    <w:multiLevelType w:val="singleLevel"/>
    <w:tmpl w:val="BB4A0C74"/>
    <w:lvl w:ilvl="0" w:tentative="0">
      <w:start w:val="1"/>
      <w:numFmt w:val="decimal"/>
      <w:suff w:val="nothing"/>
      <w:lvlText w:val="（%1）"/>
      <w:lvlJc w:val="left"/>
    </w:lvl>
  </w:abstractNum>
  <w:abstractNum w:abstractNumId="1">
    <w:nsid w:val="088E82D6"/>
    <w:multiLevelType w:val="singleLevel"/>
    <w:tmpl w:val="088E82D6"/>
    <w:lvl w:ilvl="0" w:tentative="0">
      <w:start w:val="2"/>
      <w:numFmt w:val="chineseCounting"/>
      <w:suff w:val="nothing"/>
      <w:lvlText w:val="%1、"/>
      <w:lvlJc w:val="left"/>
      <w:rPr>
        <w:rFonts w:hint="eastAsia"/>
      </w:rPr>
    </w:lvl>
  </w:abstractNum>
  <w:abstractNum w:abstractNumId="2">
    <w:nsid w:val="1D313626"/>
    <w:multiLevelType w:val="singleLevel"/>
    <w:tmpl w:val="1D313626"/>
    <w:lvl w:ilvl="0" w:tentative="0">
      <w:start w:val="4"/>
      <w:numFmt w:val="chineseCounting"/>
      <w:suff w:val="nothing"/>
      <w:lvlText w:val="（%1）"/>
      <w:lvlJc w:val="left"/>
      <w:rPr>
        <w:rFonts w:hint="eastAsia"/>
      </w:rPr>
    </w:lvl>
  </w:abstractNum>
  <w:abstractNum w:abstractNumId="3">
    <w:nsid w:val="3796A730"/>
    <w:multiLevelType w:val="singleLevel"/>
    <w:tmpl w:val="3796A730"/>
    <w:lvl w:ilvl="0" w:tentative="0">
      <w:start w:val="7"/>
      <w:numFmt w:val="chineseCounting"/>
      <w:suff w:val="nothing"/>
      <w:lvlText w:val="%1、"/>
      <w:lvlJc w:val="left"/>
      <w:rPr>
        <w:rFonts w:hint="eastAsia"/>
      </w:rPr>
    </w:lvl>
  </w:abstractNum>
  <w:abstractNum w:abstractNumId="4">
    <w:nsid w:val="6F84A2D9"/>
    <w:multiLevelType w:val="singleLevel"/>
    <w:tmpl w:val="6F84A2D9"/>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dkMGUwZTg1YWI1NzdlZGI5MTk5MWY0NGM4Yjg4ODMifQ=="/>
  </w:docVars>
  <w:rsids>
    <w:rsidRoot w:val="00000000"/>
    <w:rsid w:val="0FE46097"/>
    <w:rsid w:val="237F1FCB"/>
    <w:rsid w:val="31AB37CE"/>
    <w:rsid w:val="35AB347B"/>
    <w:rsid w:val="368C2F70"/>
    <w:rsid w:val="37B625C5"/>
    <w:rsid w:val="425D3C07"/>
    <w:rsid w:val="538C3987"/>
    <w:rsid w:val="55B76294"/>
    <w:rsid w:val="5A423B43"/>
    <w:rsid w:val="5A6E0BAC"/>
    <w:rsid w:val="5B6A2A7C"/>
    <w:rsid w:val="5D971BD8"/>
    <w:rsid w:val="5E1B0E1A"/>
    <w:rsid w:val="66300A78"/>
    <w:rsid w:val="6CEF09BB"/>
    <w:rsid w:val="6EFD1E9D"/>
    <w:rsid w:val="7C2E58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60" w:lineRule="exact"/>
      <w:ind w:firstLine="640" w:firstLineChars="200"/>
      <w:jc w:val="both"/>
    </w:pPr>
    <w:rPr>
      <w:rFonts w:ascii="仿宋_GB2312" w:hAnsi="仿宋_GB2312" w:eastAsia="仿宋_GB2312" w:cs="Times New Roman"/>
      <w:kern w:val="2"/>
      <w:sz w:val="32"/>
      <w:szCs w:val="24"/>
      <w:lang w:val="en-US" w:eastAsia="zh-CN" w:bidi="ar-SA"/>
    </w:rPr>
  </w:style>
  <w:style w:type="paragraph" w:styleId="3">
    <w:name w:val="heading 1"/>
    <w:next w:val="1"/>
    <w:link w:val="18"/>
    <w:qFormat/>
    <w:uiPriority w:val="0"/>
    <w:pPr>
      <w:keepNext/>
      <w:keepLines/>
      <w:widowControl w:val="0"/>
      <w:spacing w:line="660" w:lineRule="exact"/>
      <w:ind w:firstLine="640" w:firstLineChars="200"/>
      <w:jc w:val="both"/>
      <w:outlineLvl w:val="0"/>
    </w:pPr>
    <w:rPr>
      <w:rFonts w:ascii="黑体" w:hAnsi="黑体" w:eastAsia="黑体" w:cs="Times New Roman"/>
      <w:b/>
      <w:kern w:val="44"/>
      <w:sz w:val="32"/>
      <w:szCs w:val="24"/>
      <w:lang w:val="en-US" w:eastAsia="zh-CN" w:bidi="ar-SA"/>
    </w:rPr>
  </w:style>
  <w:style w:type="paragraph" w:styleId="4">
    <w:name w:val="heading 2"/>
    <w:basedOn w:val="1"/>
    <w:next w:val="1"/>
    <w:unhideWhenUsed/>
    <w:qFormat/>
    <w:uiPriority w:val="0"/>
    <w:pPr>
      <w:keepNext/>
      <w:keepLines/>
      <w:widowControl w:val="0"/>
      <w:spacing w:line="360" w:lineRule="auto"/>
      <w:ind w:firstLine="640" w:firstLineChars="200"/>
      <w:jc w:val="both"/>
      <w:outlineLvl w:val="1"/>
    </w:pPr>
    <w:rPr>
      <w:rFonts w:ascii="仿宋_GB2312" w:hAnsi="仿宋_GB2312" w:eastAsia="楷体" w:cs="Times New Roman"/>
      <w:b/>
      <w:kern w:val="2"/>
      <w:sz w:val="32"/>
      <w:szCs w:val="24"/>
      <w:lang w:val="en-US" w:eastAsia="zh-CN" w:bidi="ar-SA"/>
    </w:rPr>
  </w:style>
  <w:style w:type="paragraph" w:styleId="5">
    <w:name w:val="heading 3"/>
    <w:next w:val="1"/>
    <w:unhideWhenUsed/>
    <w:qFormat/>
    <w:uiPriority w:val="0"/>
    <w:pPr>
      <w:keepNext/>
      <w:keepLines/>
      <w:widowControl w:val="0"/>
      <w:spacing w:line="360" w:lineRule="auto"/>
      <w:ind w:firstLine="640" w:firstLineChars="200"/>
      <w:jc w:val="both"/>
      <w:outlineLvl w:val="2"/>
    </w:pPr>
    <w:rPr>
      <w:rFonts w:ascii="仿宋_GB2312" w:hAnsi="仿宋_GB2312" w:eastAsia="仿宋_GB2312" w:cs="Times New Roman"/>
      <w:b/>
      <w:kern w:val="2"/>
      <w:sz w:val="32"/>
      <w:szCs w:val="24"/>
      <w:lang w:val="en-US" w:eastAsia="zh-CN" w:bidi="ar-SA"/>
    </w:rPr>
  </w:style>
  <w:style w:type="paragraph" w:styleId="2">
    <w:name w:val="heading 6"/>
    <w:basedOn w:val="1"/>
    <w:next w:val="1"/>
    <w:unhideWhenUsed/>
    <w:qFormat/>
    <w:uiPriority w:val="9"/>
    <w:pPr>
      <w:keepNext/>
      <w:keepLines/>
      <w:widowControl w:val="0"/>
      <w:spacing w:line="360" w:lineRule="auto"/>
      <w:ind w:firstLine="640" w:firstLineChars="200"/>
      <w:jc w:val="both"/>
      <w:outlineLvl w:val="5"/>
    </w:pPr>
    <w:rPr>
      <w:rFonts w:ascii="Cambria" w:hAnsi="Cambria" w:eastAsia="仿宋_GB2312" w:cs="Times New Roman"/>
      <w:bCs/>
      <w:kern w:val="2"/>
      <w:sz w:val="24"/>
      <w:szCs w:val="24"/>
      <w:lang w:val="en-US" w:eastAsia="zh-CN" w:bidi="ar-SA"/>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widowControl w:val="0"/>
      <w:spacing w:line="660" w:lineRule="exact"/>
      <w:ind w:firstLine="640" w:firstLineChars="200"/>
      <w:jc w:val="left"/>
    </w:pPr>
    <w:rPr>
      <w:rFonts w:ascii="仿宋_GB2312" w:hAnsi="仿宋_GB2312" w:eastAsia="仿宋_GB2312" w:cs="Times New Roman"/>
      <w:kern w:val="2"/>
      <w:sz w:val="32"/>
      <w:szCs w:val="24"/>
      <w:lang w:val="en-US" w:eastAsia="zh-CN" w:bidi="ar-SA"/>
    </w:rPr>
  </w:style>
  <w:style w:type="paragraph" w:styleId="7">
    <w:name w:val="toc 3"/>
    <w:basedOn w:val="1"/>
    <w:next w:val="1"/>
    <w:qFormat/>
    <w:uiPriority w:val="0"/>
    <w:pPr>
      <w:ind w:left="840" w:leftChars="400"/>
    </w:pPr>
  </w:style>
  <w:style w:type="paragraph" w:styleId="8">
    <w:name w:val="footer"/>
    <w:basedOn w:val="1"/>
    <w:qFormat/>
    <w:uiPriority w:val="99"/>
    <w:pPr>
      <w:widowControl w:val="0"/>
      <w:tabs>
        <w:tab w:val="center" w:pos="4153"/>
        <w:tab w:val="right" w:pos="8306"/>
      </w:tabs>
      <w:snapToGrid w:val="0"/>
      <w:spacing w:line="660" w:lineRule="exact"/>
      <w:ind w:firstLine="640" w:firstLineChars="200"/>
      <w:jc w:val="left"/>
    </w:pPr>
    <w:rPr>
      <w:rFonts w:ascii="仿宋_GB2312" w:hAnsi="仿宋_GB2312" w:eastAsia="仿宋_GB2312" w:cs="Times New Roman"/>
      <w:kern w:val="2"/>
      <w:sz w:val="18"/>
      <w:szCs w:val="24"/>
      <w:lang w:val="en-US" w:eastAsia="zh-CN" w:bidi="ar-SA"/>
    </w:rPr>
  </w:style>
  <w:style w:type="paragraph" w:styleId="9">
    <w:name w:val="header"/>
    <w:basedOn w:val="1"/>
    <w:qFormat/>
    <w:uiPriority w:val="0"/>
    <w:pPr>
      <w:widowControl w:val="0"/>
      <w:pBdr>
        <w:bottom w:val="single" w:color="auto" w:sz="6" w:space="1"/>
      </w:pBdr>
      <w:tabs>
        <w:tab w:val="center" w:pos="4153"/>
        <w:tab w:val="right" w:pos="8306"/>
      </w:tabs>
      <w:snapToGrid w:val="0"/>
      <w:spacing w:line="660" w:lineRule="exact"/>
      <w:ind w:firstLine="640" w:firstLineChars="200"/>
      <w:jc w:val="center"/>
    </w:pPr>
    <w:rPr>
      <w:rFonts w:ascii="仿宋_GB2312" w:hAnsi="仿宋_GB2312" w:eastAsia="仿宋_GB2312" w:cs="Times New Roman"/>
      <w:kern w:val="2"/>
      <w:sz w:val="18"/>
      <w:szCs w:val="18"/>
      <w:lang w:val="en-US" w:eastAsia="zh-CN" w:bidi="ar-SA"/>
    </w:rPr>
  </w:style>
  <w:style w:type="paragraph" w:styleId="10">
    <w:name w:val="toc 1"/>
    <w:basedOn w:val="1"/>
    <w:next w:val="1"/>
    <w:qFormat/>
    <w:uiPriority w:val="0"/>
    <w:pPr>
      <w:widowControl w:val="0"/>
      <w:spacing w:line="660" w:lineRule="exact"/>
      <w:ind w:firstLine="640" w:firstLineChars="200"/>
      <w:jc w:val="both"/>
    </w:pPr>
    <w:rPr>
      <w:rFonts w:ascii="仿宋_GB2312" w:hAnsi="仿宋_GB2312" w:eastAsia="仿宋_GB2312" w:cs="Times New Roman"/>
      <w:kern w:val="2"/>
      <w:sz w:val="32"/>
      <w:szCs w:val="24"/>
      <w:lang w:val="en-US" w:eastAsia="zh-CN" w:bidi="ar-SA"/>
    </w:rPr>
  </w:style>
  <w:style w:type="paragraph" w:styleId="11">
    <w:name w:val="toc 2"/>
    <w:next w:val="1"/>
    <w:qFormat/>
    <w:uiPriority w:val="0"/>
    <w:pPr>
      <w:widowControl w:val="0"/>
      <w:spacing w:line="660" w:lineRule="exact"/>
      <w:ind w:left="420" w:leftChars="200" w:firstLine="640" w:firstLineChars="200"/>
      <w:jc w:val="both"/>
    </w:pPr>
    <w:rPr>
      <w:rFonts w:ascii="仿宋_GB2312" w:hAnsi="仿宋_GB2312" w:eastAsia="仿宋_GB2312" w:cs="Times New Roman"/>
      <w:kern w:val="2"/>
      <w:sz w:val="32"/>
      <w:szCs w:val="24"/>
      <w:lang w:val="en-US" w:eastAsia="zh-CN" w:bidi="ar-SA"/>
    </w:rPr>
  </w:style>
  <w:style w:type="paragraph" w:styleId="12">
    <w:name w:val="Normal (Web)"/>
    <w:qFormat/>
    <w:uiPriority w:val="0"/>
    <w:pPr>
      <w:widowControl w:val="0"/>
      <w:spacing w:line="660" w:lineRule="exact"/>
      <w:ind w:firstLine="640" w:firstLineChars="200"/>
      <w:jc w:val="left"/>
    </w:pPr>
    <w:rPr>
      <w:rFonts w:ascii="仿宋_GB2312" w:hAnsi="仿宋_GB2312" w:eastAsia="仿宋_GB2312" w:cs="Times New Roman"/>
      <w:kern w:val="0"/>
      <w:sz w:val="24"/>
      <w:szCs w:val="24"/>
      <w:lang w:val="en-US" w:eastAsia="zh-CN" w:bidi="ar-SA"/>
    </w:rPr>
  </w:style>
  <w:style w:type="table" w:styleId="14">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6">
    <w:name w:val="List Paragraph"/>
    <w:qFormat/>
    <w:uiPriority w:val="99"/>
    <w:pPr>
      <w:widowControl w:val="0"/>
      <w:spacing w:line="660" w:lineRule="exact"/>
      <w:ind w:firstLine="420" w:firstLineChars="200"/>
      <w:jc w:val="both"/>
    </w:pPr>
    <w:rPr>
      <w:rFonts w:ascii="仿宋_GB2312" w:hAnsi="仿宋_GB2312" w:eastAsia="仿宋_GB2312" w:cs="Times New Roman"/>
      <w:kern w:val="2"/>
      <w:sz w:val="32"/>
      <w:szCs w:val="24"/>
      <w:lang w:val="en-US" w:eastAsia="zh-CN" w:bidi="ar-SA"/>
    </w:rPr>
  </w:style>
  <w:style w:type="table" w:customStyle="1" w:styleId="17">
    <w:name w:val="Table Normal"/>
    <w:semiHidden/>
    <w:unhideWhenUsed/>
    <w:qFormat/>
    <w:uiPriority w:val="0"/>
    <w:tblPr>
      <w:tblCellMar>
        <w:top w:w="0" w:type="dxa"/>
        <w:left w:w="0" w:type="dxa"/>
        <w:bottom w:w="0" w:type="dxa"/>
        <w:right w:w="0" w:type="dxa"/>
      </w:tblCellMar>
    </w:tblPr>
  </w:style>
  <w:style w:type="character" w:customStyle="1" w:styleId="18">
    <w:name w:val="标题 1 Char"/>
    <w:link w:val="3"/>
    <w:qFormat/>
    <w:uiPriority w:val="0"/>
    <w:rPr>
      <w:rFonts w:ascii="黑体" w:hAnsi="黑体" w:eastAsia="黑体" w:cs="Times New Roman"/>
      <w:b/>
      <w:kern w:val="44"/>
      <w:sz w:val="32"/>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29.png"/><Relationship Id="rId98" Type="http://schemas.openxmlformats.org/officeDocument/2006/relationships/image" Target="media/image28.png"/><Relationship Id="rId97" Type="http://schemas.openxmlformats.org/officeDocument/2006/relationships/image" Target="media/image27.png"/><Relationship Id="rId96" Type="http://schemas.openxmlformats.org/officeDocument/2006/relationships/image" Target="media/image26.png"/><Relationship Id="rId95" Type="http://schemas.openxmlformats.org/officeDocument/2006/relationships/image" Target="media/image25.png"/><Relationship Id="rId94" Type="http://schemas.openxmlformats.org/officeDocument/2006/relationships/image" Target="media/image24.png"/><Relationship Id="rId93" Type="http://schemas.openxmlformats.org/officeDocument/2006/relationships/image" Target="media/image23.png"/><Relationship Id="rId92" Type="http://schemas.openxmlformats.org/officeDocument/2006/relationships/image" Target="media/image22.png"/><Relationship Id="rId91" Type="http://schemas.openxmlformats.org/officeDocument/2006/relationships/image" Target="media/image21.png"/><Relationship Id="rId90" Type="http://schemas.openxmlformats.org/officeDocument/2006/relationships/image" Target="media/image20.png"/><Relationship Id="rId9" Type="http://schemas.openxmlformats.org/officeDocument/2006/relationships/header" Target="header4.xml"/><Relationship Id="rId89" Type="http://schemas.openxmlformats.org/officeDocument/2006/relationships/image" Target="media/image19.png"/><Relationship Id="rId88" Type="http://schemas.openxmlformats.org/officeDocument/2006/relationships/image" Target="media/image18.png"/><Relationship Id="rId87" Type="http://schemas.openxmlformats.org/officeDocument/2006/relationships/image" Target="media/image17.png"/><Relationship Id="rId86" Type="http://schemas.openxmlformats.org/officeDocument/2006/relationships/image" Target="media/image16.png"/><Relationship Id="rId85" Type="http://schemas.openxmlformats.org/officeDocument/2006/relationships/image" Target="media/image15.png"/><Relationship Id="rId84" Type="http://schemas.openxmlformats.org/officeDocument/2006/relationships/image" Target="media/image14.png"/><Relationship Id="rId83" Type="http://schemas.openxmlformats.org/officeDocument/2006/relationships/image" Target="media/image13.png"/><Relationship Id="rId82" Type="http://schemas.openxmlformats.org/officeDocument/2006/relationships/image" Target="media/image12.png"/><Relationship Id="rId81" Type="http://schemas.openxmlformats.org/officeDocument/2006/relationships/image" Target="media/image11.png"/><Relationship Id="rId80" Type="http://schemas.openxmlformats.org/officeDocument/2006/relationships/image" Target="media/image10.png"/><Relationship Id="rId8" Type="http://schemas.openxmlformats.org/officeDocument/2006/relationships/header" Target="header3.xml"/><Relationship Id="rId79" Type="http://schemas.openxmlformats.org/officeDocument/2006/relationships/image" Target="media/image9.png"/><Relationship Id="rId78" Type="http://schemas.openxmlformats.org/officeDocument/2006/relationships/image" Target="media/image8.png"/><Relationship Id="rId77" Type="http://schemas.openxmlformats.org/officeDocument/2006/relationships/image" Target="media/image7.png"/><Relationship Id="rId76" Type="http://schemas.openxmlformats.org/officeDocument/2006/relationships/image" Target="media/image6.png"/><Relationship Id="rId75" Type="http://schemas.openxmlformats.org/officeDocument/2006/relationships/image" Target="media/image5.png"/><Relationship Id="rId74" Type="http://schemas.openxmlformats.org/officeDocument/2006/relationships/image" Target="media/image4.png"/><Relationship Id="rId73" Type="http://schemas.openxmlformats.org/officeDocument/2006/relationships/image" Target="media/image3.png"/><Relationship Id="rId72" Type="http://schemas.openxmlformats.org/officeDocument/2006/relationships/image" Target="media/image2.png"/><Relationship Id="rId71" Type="http://schemas.openxmlformats.org/officeDocument/2006/relationships/image" Target="media/image1.png"/><Relationship Id="rId70" Type="http://schemas.openxmlformats.org/officeDocument/2006/relationships/chart" Target="charts/chart1.xml"/><Relationship Id="rId7" Type="http://schemas.openxmlformats.org/officeDocument/2006/relationships/header" Target="header2.xml"/><Relationship Id="rId69" Type="http://schemas.openxmlformats.org/officeDocument/2006/relationships/theme" Target="theme/theme1.xml"/><Relationship Id="rId68" Type="http://schemas.openxmlformats.org/officeDocument/2006/relationships/footer" Target="footer40.xml"/><Relationship Id="rId67" Type="http://schemas.openxmlformats.org/officeDocument/2006/relationships/footer" Target="footer39.xml"/><Relationship Id="rId66" Type="http://schemas.openxmlformats.org/officeDocument/2006/relationships/footer" Target="footer38.xml"/><Relationship Id="rId65" Type="http://schemas.openxmlformats.org/officeDocument/2006/relationships/footer" Target="footer37.xml"/><Relationship Id="rId64" Type="http://schemas.openxmlformats.org/officeDocument/2006/relationships/footer" Target="footer36.xml"/><Relationship Id="rId63" Type="http://schemas.openxmlformats.org/officeDocument/2006/relationships/footer" Target="footer35.xml"/><Relationship Id="rId62" Type="http://schemas.openxmlformats.org/officeDocument/2006/relationships/footer" Target="footer34.xml"/><Relationship Id="rId61" Type="http://schemas.openxmlformats.org/officeDocument/2006/relationships/header" Target="header24.xml"/><Relationship Id="rId60" Type="http://schemas.openxmlformats.org/officeDocument/2006/relationships/header" Target="header23.xml"/><Relationship Id="rId6" Type="http://schemas.openxmlformats.org/officeDocument/2006/relationships/footer" Target="footer1.xml"/><Relationship Id="rId59" Type="http://schemas.openxmlformats.org/officeDocument/2006/relationships/footer" Target="footer33.xml"/><Relationship Id="rId58" Type="http://schemas.openxmlformats.org/officeDocument/2006/relationships/footer" Target="footer32.xml"/><Relationship Id="rId57" Type="http://schemas.openxmlformats.org/officeDocument/2006/relationships/header" Target="header22.xml"/><Relationship Id="rId56" Type="http://schemas.openxmlformats.org/officeDocument/2006/relationships/header" Target="header21.xml"/><Relationship Id="rId55" Type="http://schemas.openxmlformats.org/officeDocument/2006/relationships/footer" Target="footer31.xml"/><Relationship Id="rId54" Type="http://schemas.openxmlformats.org/officeDocument/2006/relationships/header" Target="header20.xml"/><Relationship Id="rId53" Type="http://schemas.openxmlformats.org/officeDocument/2006/relationships/footer" Target="footer30.xml"/><Relationship Id="rId52" Type="http://schemas.openxmlformats.org/officeDocument/2006/relationships/header" Target="header19.xml"/><Relationship Id="rId51" Type="http://schemas.openxmlformats.org/officeDocument/2006/relationships/footer" Target="footer29.xml"/><Relationship Id="rId50" Type="http://schemas.openxmlformats.org/officeDocument/2006/relationships/footer" Target="footer28.xml"/><Relationship Id="rId5" Type="http://schemas.openxmlformats.org/officeDocument/2006/relationships/header" Target="header1.xml"/><Relationship Id="rId49" Type="http://schemas.openxmlformats.org/officeDocument/2006/relationships/header" Target="header18.xml"/><Relationship Id="rId48" Type="http://schemas.openxmlformats.org/officeDocument/2006/relationships/header" Target="header17.xml"/><Relationship Id="rId47" Type="http://schemas.openxmlformats.org/officeDocument/2006/relationships/footer" Target="footer27.xml"/><Relationship Id="rId46" Type="http://schemas.openxmlformats.org/officeDocument/2006/relationships/footer" Target="footer26.xml"/><Relationship Id="rId45" Type="http://schemas.openxmlformats.org/officeDocument/2006/relationships/footer" Target="footer25.xml"/><Relationship Id="rId44" Type="http://schemas.openxmlformats.org/officeDocument/2006/relationships/footer" Target="footer24.xml"/><Relationship Id="rId43" Type="http://schemas.openxmlformats.org/officeDocument/2006/relationships/header" Target="header16.xml"/><Relationship Id="rId42" Type="http://schemas.openxmlformats.org/officeDocument/2006/relationships/header" Target="header15.xml"/><Relationship Id="rId41" Type="http://schemas.openxmlformats.org/officeDocument/2006/relationships/footer" Target="footer23.xml"/><Relationship Id="rId40" Type="http://schemas.openxmlformats.org/officeDocument/2006/relationships/footer" Target="footer22.xml"/><Relationship Id="rId4" Type="http://schemas.openxmlformats.org/officeDocument/2006/relationships/endnotes" Target="endnotes.xml"/><Relationship Id="rId39" Type="http://schemas.openxmlformats.org/officeDocument/2006/relationships/header" Target="header14.xml"/><Relationship Id="rId38" Type="http://schemas.openxmlformats.org/officeDocument/2006/relationships/header" Target="header13.xml"/><Relationship Id="rId37" Type="http://schemas.openxmlformats.org/officeDocument/2006/relationships/footer" Target="footer21.xml"/><Relationship Id="rId36" Type="http://schemas.openxmlformats.org/officeDocument/2006/relationships/footer" Target="footer20.xml"/><Relationship Id="rId35" Type="http://schemas.openxmlformats.org/officeDocument/2006/relationships/footer" Target="footer19.xml"/><Relationship Id="rId34" Type="http://schemas.openxmlformats.org/officeDocument/2006/relationships/header" Target="header12.xml"/><Relationship Id="rId33" Type="http://schemas.openxmlformats.org/officeDocument/2006/relationships/header" Target="header11.xml"/><Relationship Id="rId32" Type="http://schemas.openxmlformats.org/officeDocument/2006/relationships/header" Target="header10.xml"/><Relationship Id="rId31" Type="http://schemas.openxmlformats.org/officeDocument/2006/relationships/footer" Target="footer18.xml"/><Relationship Id="rId30" Type="http://schemas.openxmlformats.org/officeDocument/2006/relationships/header" Target="header9.xml"/><Relationship Id="rId3" Type="http://schemas.openxmlformats.org/officeDocument/2006/relationships/footnotes" Target="footnotes.xml"/><Relationship Id="rId29" Type="http://schemas.openxmlformats.org/officeDocument/2006/relationships/footer" Target="footer17.xml"/><Relationship Id="rId281" Type="http://schemas.openxmlformats.org/officeDocument/2006/relationships/fontTable" Target="fontTable.xml"/><Relationship Id="rId280" Type="http://schemas.openxmlformats.org/officeDocument/2006/relationships/numbering" Target="numbering.xml"/><Relationship Id="rId28" Type="http://schemas.openxmlformats.org/officeDocument/2006/relationships/footer" Target="footer16.xml"/><Relationship Id="rId279" Type="http://schemas.openxmlformats.org/officeDocument/2006/relationships/customXml" Target="../customXml/item1.xml"/><Relationship Id="rId278" Type="http://schemas.openxmlformats.org/officeDocument/2006/relationships/image" Target="media/image208.png"/><Relationship Id="rId277" Type="http://schemas.openxmlformats.org/officeDocument/2006/relationships/image" Target="media/image207.png"/><Relationship Id="rId276" Type="http://schemas.openxmlformats.org/officeDocument/2006/relationships/image" Target="media/image206.png"/><Relationship Id="rId275" Type="http://schemas.openxmlformats.org/officeDocument/2006/relationships/image" Target="media/image205.png"/><Relationship Id="rId274" Type="http://schemas.openxmlformats.org/officeDocument/2006/relationships/image" Target="media/image204.png"/><Relationship Id="rId273" Type="http://schemas.openxmlformats.org/officeDocument/2006/relationships/image" Target="media/image203.png"/><Relationship Id="rId272" Type="http://schemas.openxmlformats.org/officeDocument/2006/relationships/image" Target="media/image202.png"/><Relationship Id="rId271" Type="http://schemas.openxmlformats.org/officeDocument/2006/relationships/image" Target="media/image201.png"/><Relationship Id="rId270" Type="http://schemas.openxmlformats.org/officeDocument/2006/relationships/image" Target="media/image200.png"/><Relationship Id="rId27" Type="http://schemas.openxmlformats.org/officeDocument/2006/relationships/footer" Target="footer15.xml"/><Relationship Id="rId269" Type="http://schemas.openxmlformats.org/officeDocument/2006/relationships/image" Target="media/image199.png"/><Relationship Id="rId268" Type="http://schemas.openxmlformats.org/officeDocument/2006/relationships/image" Target="media/image198.png"/><Relationship Id="rId267" Type="http://schemas.openxmlformats.org/officeDocument/2006/relationships/image" Target="media/image197.png"/><Relationship Id="rId266" Type="http://schemas.openxmlformats.org/officeDocument/2006/relationships/image" Target="media/image196.png"/><Relationship Id="rId265" Type="http://schemas.openxmlformats.org/officeDocument/2006/relationships/image" Target="media/image195.png"/><Relationship Id="rId264" Type="http://schemas.openxmlformats.org/officeDocument/2006/relationships/image" Target="media/image194.png"/><Relationship Id="rId263" Type="http://schemas.openxmlformats.org/officeDocument/2006/relationships/image" Target="media/image193.png"/><Relationship Id="rId262" Type="http://schemas.openxmlformats.org/officeDocument/2006/relationships/image" Target="media/image192.png"/><Relationship Id="rId261" Type="http://schemas.openxmlformats.org/officeDocument/2006/relationships/image" Target="media/image191.png"/><Relationship Id="rId260" Type="http://schemas.openxmlformats.org/officeDocument/2006/relationships/image" Target="media/image190.png"/><Relationship Id="rId26" Type="http://schemas.openxmlformats.org/officeDocument/2006/relationships/footer" Target="footer14.xml"/><Relationship Id="rId259" Type="http://schemas.openxmlformats.org/officeDocument/2006/relationships/image" Target="media/image189.png"/><Relationship Id="rId258" Type="http://schemas.openxmlformats.org/officeDocument/2006/relationships/image" Target="media/image188.png"/><Relationship Id="rId257" Type="http://schemas.openxmlformats.org/officeDocument/2006/relationships/image" Target="media/image187.png"/><Relationship Id="rId256" Type="http://schemas.openxmlformats.org/officeDocument/2006/relationships/image" Target="media/image186.png"/><Relationship Id="rId255" Type="http://schemas.openxmlformats.org/officeDocument/2006/relationships/image" Target="media/image185.png"/><Relationship Id="rId254" Type="http://schemas.openxmlformats.org/officeDocument/2006/relationships/image" Target="media/image184.png"/><Relationship Id="rId253" Type="http://schemas.openxmlformats.org/officeDocument/2006/relationships/image" Target="media/image183.png"/><Relationship Id="rId252" Type="http://schemas.openxmlformats.org/officeDocument/2006/relationships/image" Target="media/image182.png"/><Relationship Id="rId251" Type="http://schemas.openxmlformats.org/officeDocument/2006/relationships/image" Target="media/image181.png"/><Relationship Id="rId250" Type="http://schemas.openxmlformats.org/officeDocument/2006/relationships/image" Target="media/image180.png"/><Relationship Id="rId25" Type="http://schemas.openxmlformats.org/officeDocument/2006/relationships/header" Target="header8.xml"/><Relationship Id="rId249" Type="http://schemas.openxmlformats.org/officeDocument/2006/relationships/image" Target="media/image179.png"/><Relationship Id="rId248" Type="http://schemas.openxmlformats.org/officeDocument/2006/relationships/image" Target="media/image178.png"/><Relationship Id="rId247" Type="http://schemas.openxmlformats.org/officeDocument/2006/relationships/image" Target="media/image177.png"/><Relationship Id="rId246" Type="http://schemas.openxmlformats.org/officeDocument/2006/relationships/image" Target="media/image176.png"/><Relationship Id="rId245" Type="http://schemas.openxmlformats.org/officeDocument/2006/relationships/image" Target="media/image175.png"/><Relationship Id="rId244" Type="http://schemas.openxmlformats.org/officeDocument/2006/relationships/image" Target="media/image174.png"/><Relationship Id="rId243" Type="http://schemas.openxmlformats.org/officeDocument/2006/relationships/image" Target="media/image173.png"/><Relationship Id="rId242" Type="http://schemas.openxmlformats.org/officeDocument/2006/relationships/image" Target="media/image172.png"/><Relationship Id="rId241" Type="http://schemas.openxmlformats.org/officeDocument/2006/relationships/image" Target="media/image171.png"/><Relationship Id="rId240" Type="http://schemas.openxmlformats.org/officeDocument/2006/relationships/image" Target="media/image170.png"/><Relationship Id="rId24" Type="http://schemas.openxmlformats.org/officeDocument/2006/relationships/footer" Target="footer13.xml"/><Relationship Id="rId239" Type="http://schemas.openxmlformats.org/officeDocument/2006/relationships/image" Target="media/image169.png"/><Relationship Id="rId238" Type="http://schemas.openxmlformats.org/officeDocument/2006/relationships/image" Target="media/image168.png"/><Relationship Id="rId237" Type="http://schemas.openxmlformats.org/officeDocument/2006/relationships/image" Target="media/image167.png"/><Relationship Id="rId236" Type="http://schemas.openxmlformats.org/officeDocument/2006/relationships/image" Target="media/image166.png"/><Relationship Id="rId235" Type="http://schemas.openxmlformats.org/officeDocument/2006/relationships/image" Target="media/image165.png"/><Relationship Id="rId234" Type="http://schemas.openxmlformats.org/officeDocument/2006/relationships/image" Target="media/image164.png"/><Relationship Id="rId233" Type="http://schemas.openxmlformats.org/officeDocument/2006/relationships/image" Target="media/image163.png"/><Relationship Id="rId232" Type="http://schemas.openxmlformats.org/officeDocument/2006/relationships/image" Target="media/image162.png"/><Relationship Id="rId231" Type="http://schemas.openxmlformats.org/officeDocument/2006/relationships/image" Target="media/image161.png"/><Relationship Id="rId230" Type="http://schemas.openxmlformats.org/officeDocument/2006/relationships/image" Target="media/image160.png"/><Relationship Id="rId23" Type="http://schemas.openxmlformats.org/officeDocument/2006/relationships/footer" Target="footer12.xml"/><Relationship Id="rId229" Type="http://schemas.openxmlformats.org/officeDocument/2006/relationships/image" Target="media/image159.png"/><Relationship Id="rId228" Type="http://schemas.openxmlformats.org/officeDocument/2006/relationships/image" Target="media/image158.png"/><Relationship Id="rId227" Type="http://schemas.openxmlformats.org/officeDocument/2006/relationships/image" Target="media/image157.png"/><Relationship Id="rId226" Type="http://schemas.openxmlformats.org/officeDocument/2006/relationships/image" Target="media/image156.png"/><Relationship Id="rId225" Type="http://schemas.openxmlformats.org/officeDocument/2006/relationships/image" Target="media/image155.png"/><Relationship Id="rId224" Type="http://schemas.openxmlformats.org/officeDocument/2006/relationships/image" Target="media/image154.png"/><Relationship Id="rId223" Type="http://schemas.openxmlformats.org/officeDocument/2006/relationships/image" Target="media/image153.png"/><Relationship Id="rId222" Type="http://schemas.openxmlformats.org/officeDocument/2006/relationships/image" Target="media/image152.png"/><Relationship Id="rId221" Type="http://schemas.openxmlformats.org/officeDocument/2006/relationships/image" Target="media/image151.png"/><Relationship Id="rId220" Type="http://schemas.openxmlformats.org/officeDocument/2006/relationships/image" Target="media/image150.png"/><Relationship Id="rId22" Type="http://schemas.openxmlformats.org/officeDocument/2006/relationships/footer" Target="footer11.xml"/><Relationship Id="rId219" Type="http://schemas.openxmlformats.org/officeDocument/2006/relationships/image" Target="media/image149.png"/><Relationship Id="rId218" Type="http://schemas.openxmlformats.org/officeDocument/2006/relationships/image" Target="media/image148.png"/><Relationship Id="rId217" Type="http://schemas.openxmlformats.org/officeDocument/2006/relationships/image" Target="media/image147.png"/><Relationship Id="rId216" Type="http://schemas.openxmlformats.org/officeDocument/2006/relationships/image" Target="media/image146.jpeg"/><Relationship Id="rId215" Type="http://schemas.openxmlformats.org/officeDocument/2006/relationships/image" Target="media/image145.jpeg"/><Relationship Id="rId214" Type="http://schemas.openxmlformats.org/officeDocument/2006/relationships/image" Target="media/image144.jpeg"/><Relationship Id="rId213" Type="http://schemas.openxmlformats.org/officeDocument/2006/relationships/image" Target="media/image143.jpeg"/><Relationship Id="rId212" Type="http://schemas.openxmlformats.org/officeDocument/2006/relationships/image" Target="media/image142.jpeg"/><Relationship Id="rId211" Type="http://schemas.openxmlformats.org/officeDocument/2006/relationships/image" Target="media/image141.jpeg"/><Relationship Id="rId210" Type="http://schemas.openxmlformats.org/officeDocument/2006/relationships/image" Target="media/image140.jpeg"/><Relationship Id="rId21" Type="http://schemas.openxmlformats.org/officeDocument/2006/relationships/footer" Target="footer10.xml"/><Relationship Id="rId209" Type="http://schemas.openxmlformats.org/officeDocument/2006/relationships/image" Target="media/image139.jpeg"/><Relationship Id="rId208" Type="http://schemas.openxmlformats.org/officeDocument/2006/relationships/image" Target="media/image138.jpeg"/><Relationship Id="rId207" Type="http://schemas.openxmlformats.org/officeDocument/2006/relationships/image" Target="media/image137.jpeg"/><Relationship Id="rId206" Type="http://schemas.openxmlformats.org/officeDocument/2006/relationships/image" Target="media/image136.jpeg"/><Relationship Id="rId205" Type="http://schemas.openxmlformats.org/officeDocument/2006/relationships/image" Target="media/image135.jpeg"/><Relationship Id="rId204" Type="http://schemas.openxmlformats.org/officeDocument/2006/relationships/image" Target="media/image134.jpeg"/><Relationship Id="rId203" Type="http://schemas.openxmlformats.org/officeDocument/2006/relationships/image" Target="media/image133.jpeg"/><Relationship Id="rId202" Type="http://schemas.openxmlformats.org/officeDocument/2006/relationships/image" Target="media/image132.png"/><Relationship Id="rId201" Type="http://schemas.openxmlformats.org/officeDocument/2006/relationships/image" Target="media/image131.jpeg"/><Relationship Id="rId200" Type="http://schemas.openxmlformats.org/officeDocument/2006/relationships/image" Target="media/image130.jpeg"/><Relationship Id="rId20" Type="http://schemas.openxmlformats.org/officeDocument/2006/relationships/footer" Target="footer9.xml"/><Relationship Id="rId2" Type="http://schemas.openxmlformats.org/officeDocument/2006/relationships/settings" Target="settings.xml"/><Relationship Id="rId199" Type="http://schemas.openxmlformats.org/officeDocument/2006/relationships/image" Target="media/image129.jpeg"/><Relationship Id="rId198" Type="http://schemas.openxmlformats.org/officeDocument/2006/relationships/image" Target="media/image128.jpeg"/><Relationship Id="rId197" Type="http://schemas.openxmlformats.org/officeDocument/2006/relationships/image" Target="media/image127.jpeg"/><Relationship Id="rId196" Type="http://schemas.openxmlformats.org/officeDocument/2006/relationships/image" Target="media/image126.jpeg"/><Relationship Id="rId195" Type="http://schemas.openxmlformats.org/officeDocument/2006/relationships/image" Target="media/image125.png"/><Relationship Id="rId194" Type="http://schemas.openxmlformats.org/officeDocument/2006/relationships/image" Target="media/image124.png"/><Relationship Id="rId193" Type="http://schemas.openxmlformats.org/officeDocument/2006/relationships/image" Target="media/image123.png"/><Relationship Id="rId192" Type="http://schemas.openxmlformats.org/officeDocument/2006/relationships/image" Target="media/image122.png"/><Relationship Id="rId191" Type="http://schemas.openxmlformats.org/officeDocument/2006/relationships/image" Target="media/image121.png"/><Relationship Id="rId190" Type="http://schemas.openxmlformats.org/officeDocument/2006/relationships/image" Target="media/image120.png"/><Relationship Id="rId19" Type="http://schemas.openxmlformats.org/officeDocument/2006/relationships/header" Target="header7.xml"/><Relationship Id="rId189" Type="http://schemas.openxmlformats.org/officeDocument/2006/relationships/image" Target="media/image119.png"/><Relationship Id="rId188" Type="http://schemas.openxmlformats.org/officeDocument/2006/relationships/image" Target="media/image118.png"/><Relationship Id="rId187" Type="http://schemas.openxmlformats.org/officeDocument/2006/relationships/image" Target="media/image117.png"/><Relationship Id="rId186" Type="http://schemas.openxmlformats.org/officeDocument/2006/relationships/image" Target="media/image116.png"/><Relationship Id="rId185" Type="http://schemas.openxmlformats.org/officeDocument/2006/relationships/image" Target="media/image115.png"/><Relationship Id="rId184" Type="http://schemas.openxmlformats.org/officeDocument/2006/relationships/image" Target="media/image114.png"/><Relationship Id="rId183" Type="http://schemas.openxmlformats.org/officeDocument/2006/relationships/image" Target="media/image113.png"/><Relationship Id="rId182" Type="http://schemas.openxmlformats.org/officeDocument/2006/relationships/image" Target="media/image112.png"/><Relationship Id="rId181" Type="http://schemas.openxmlformats.org/officeDocument/2006/relationships/image" Target="media/image111.png"/><Relationship Id="rId180" Type="http://schemas.openxmlformats.org/officeDocument/2006/relationships/image" Target="media/image110.png"/><Relationship Id="rId18" Type="http://schemas.openxmlformats.org/officeDocument/2006/relationships/footer" Target="footer8.xml"/><Relationship Id="rId179" Type="http://schemas.openxmlformats.org/officeDocument/2006/relationships/image" Target="media/image109.png"/><Relationship Id="rId178" Type="http://schemas.openxmlformats.org/officeDocument/2006/relationships/image" Target="media/image108.png"/><Relationship Id="rId177" Type="http://schemas.openxmlformats.org/officeDocument/2006/relationships/image" Target="media/image107.png"/><Relationship Id="rId176" Type="http://schemas.openxmlformats.org/officeDocument/2006/relationships/image" Target="media/image106.png"/><Relationship Id="rId175" Type="http://schemas.openxmlformats.org/officeDocument/2006/relationships/image" Target="media/image105.png"/><Relationship Id="rId174" Type="http://schemas.openxmlformats.org/officeDocument/2006/relationships/image" Target="media/image104.png"/><Relationship Id="rId173" Type="http://schemas.openxmlformats.org/officeDocument/2006/relationships/image" Target="media/image103.png"/><Relationship Id="rId172" Type="http://schemas.openxmlformats.org/officeDocument/2006/relationships/image" Target="media/image102.png"/><Relationship Id="rId171" Type="http://schemas.openxmlformats.org/officeDocument/2006/relationships/image" Target="media/image101.png"/><Relationship Id="rId170" Type="http://schemas.openxmlformats.org/officeDocument/2006/relationships/image" Target="media/image100.png"/><Relationship Id="rId17" Type="http://schemas.openxmlformats.org/officeDocument/2006/relationships/footer" Target="footer7.xml"/><Relationship Id="rId169" Type="http://schemas.openxmlformats.org/officeDocument/2006/relationships/image" Target="media/image99.png"/><Relationship Id="rId168" Type="http://schemas.openxmlformats.org/officeDocument/2006/relationships/image" Target="media/image98.png"/><Relationship Id="rId167" Type="http://schemas.openxmlformats.org/officeDocument/2006/relationships/image" Target="media/image97.png"/><Relationship Id="rId166" Type="http://schemas.openxmlformats.org/officeDocument/2006/relationships/image" Target="media/image96.png"/><Relationship Id="rId165" Type="http://schemas.openxmlformats.org/officeDocument/2006/relationships/image" Target="media/image95.png"/><Relationship Id="rId164" Type="http://schemas.openxmlformats.org/officeDocument/2006/relationships/image" Target="media/image94.png"/><Relationship Id="rId163" Type="http://schemas.openxmlformats.org/officeDocument/2006/relationships/image" Target="media/image93.png"/><Relationship Id="rId162" Type="http://schemas.openxmlformats.org/officeDocument/2006/relationships/image" Target="media/image92.png"/><Relationship Id="rId161" Type="http://schemas.openxmlformats.org/officeDocument/2006/relationships/image" Target="media/image91.png"/><Relationship Id="rId160" Type="http://schemas.openxmlformats.org/officeDocument/2006/relationships/image" Target="media/image90.png"/><Relationship Id="rId16" Type="http://schemas.openxmlformats.org/officeDocument/2006/relationships/footer" Target="footer6.xml"/><Relationship Id="rId159" Type="http://schemas.openxmlformats.org/officeDocument/2006/relationships/image" Target="media/image89.png"/><Relationship Id="rId158" Type="http://schemas.openxmlformats.org/officeDocument/2006/relationships/image" Target="media/image88.png"/><Relationship Id="rId157" Type="http://schemas.openxmlformats.org/officeDocument/2006/relationships/image" Target="media/image87.png"/><Relationship Id="rId156" Type="http://schemas.openxmlformats.org/officeDocument/2006/relationships/image" Target="media/image86.png"/><Relationship Id="rId155" Type="http://schemas.openxmlformats.org/officeDocument/2006/relationships/image" Target="media/image85.png"/><Relationship Id="rId154" Type="http://schemas.openxmlformats.org/officeDocument/2006/relationships/image" Target="media/image84.png"/><Relationship Id="rId153" Type="http://schemas.openxmlformats.org/officeDocument/2006/relationships/image" Target="media/image83.png"/><Relationship Id="rId152" Type="http://schemas.openxmlformats.org/officeDocument/2006/relationships/image" Target="media/image82.png"/><Relationship Id="rId151" Type="http://schemas.openxmlformats.org/officeDocument/2006/relationships/image" Target="media/image81.png"/><Relationship Id="rId150" Type="http://schemas.openxmlformats.org/officeDocument/2006/relationships/image" Target="media/image80.png"/><Relationship Id="rId15" Type="http://schemas.openxmlformats.org/officeDocument/2006/relationships/footer" Target="footer5.xml"/><Relationship Id="rId149" Type="http://schemas.openxmlformats.org/officeDocument/2006/relationships/image" Target="media/image79.png"/><Relationship Id="rId148" Type="http://schemas.openxmlformats.org/officeDocument/2006/relationships/image" Target="media/image78.png"/><Relationship Id="rId147" Type="http://schemas.openxmlformats.org/officeDocument/2006/relationships/image" Target="media/image77.png"/><Relationship Id="rId146" Type="http://schemas.openxmlformats.org/officeDocument/2006/relationships/image" Target="media/image76.png"/><Relationship Id="rId145" Type="http://schemas.openxmlformats.org/officeDocument/2006/relationships/image" Target="media/image75.png"/><Relationship Id="rId144" Type="http://schemas.openxmlformats.org/officeDocument/2006/relationships/image" Target="media/image74.png"/><Relationship Id="rId143" Type="http://schemas.openxmlformats.org/officeDocument/2006/relationships/image" Target="media/image73.png"/><Relationship Id="rId142" Type="http://schemas.openxmlformats.org/officeDocument/2006/relationships/image" Target="media/image72.png"/><Relationship Id="rId141" Type="http://schemas.openxmlformats.org/officeDocument/2006/relationships/image" Target="media/image71.png"/><Relationship Id="rId140" Type="http://schemas.openxmlformats.org/officeDocument/2006/relationships/image" Target="media/image70.png"/><Relationship Id="rId14" Type="http://schemas.openxmlformats.org/officeDocument/2006/relationships/header" Target="header6.xml"/><Relationship Id="rId139" Type="http://schemas.openxmlformats.org/officeDocument/2006/relationships/image" Target="media/image69.png"/><Relationship Id="rId138" Type="http://schemas.openxmlformats.org/officeDocument/2006/relationships/image" Target="media/image68.png"/><Relationship Id="rId137" Type="http://schemas.openxmlformats.org/officeDocument/2006/relationships/image" Target="media/image67.png"/><Relationship Id="rId136" Type="http://schemas.openxmlformats.org/officeDocument/2006/relationships/image" Target="media/image66.png"/><Relationship Id="rId135" Type="http://schemas.openxmlformats.org/officeDocument/2006/relationships/image" Target="media/image65.png"/><Relationship Id="rId134" Type="http://schemas.openxmlformats.org/officeDocument/2006/relationships/image" Target="media/image64.png"/><Relationship Id="rId133" Type="http://schemas.openxmlformats.org/officeDocument/2006/relationships/image" Target="media/image63.png"/><Relationship Id="rId132" Type="http://schemas.openxmlformats.org/officeDocument/2006/relationships/image" Target="media/image62.png"/><Relationship Id="rId131" Type="http://schemas.openxmlformats.org/officeDocument/2006/relationships/image" Target="media/image61.png"/><Relationship Id="rId130" Type="http://schemas.openxmlformats.org/officeDocument/2006/relationships/image" Target="media/image60.png"/><Relationship Id="rId13" Type="http://schemas.openxmlformats.org/officeDocument/2006/relationships/header" Target="header5.xml"/><Relationship Id="rId129" Type="http://schemas.openxmlformats.org/officeDocument/2006/relationships/image" Target="media/image59.png"/><Relationship Id="rId128" Type="http://schemas.openxmlformats.org/officeDocument/2006/relationships/image" Target="media/image58.png"/><Relationship Id="rId127" Type="http://schemas.openxmlformats.org/officeDocument/2006/relationships/image" Target="media/image57.png"/><Relationship Id="rId126" Type="http://schemas.openxmlformats.org/officeDocument/2006/relationships/image" Target="media/image56.png"/><Relationship Id="rId125" Type="http://schemas.openxmlformats.org/officeDocument/2006/relationships/image" Target="media/image55.png"/><Relationship Id="rId124" Type="http://schemas.openxmlformats.org/officeDocument/2006/relationships/image" Target="media/image54.png"/><Relationship Id="rId123" Type="http://schemas.openxmlformats.org/officeDocument/2006/relationships/image" Target="media/image53.png"/><Relationship Id="rId122" Type="http://schemas.openxmlformats.org/officeDocument/2006/relationships/image" Target="media/image52.png"/><Relationship Id="rId121" Type="http://schemas.openxmlformats.org/officeDocument/2006/relationships/image" Target="media/image51.png"/><Relationship Id="rId120" Type="http://schemas.openxmlformats.org/officeDocument/2006/relationships/image" Target="media/image50.png"/><Relationship Id="rId12" Type="http://schemas.openxmlformats.org/officeDocument/2006/relationships/footer" Target="footer4.xml"/><Relationship Id="rId119" Type="http://schemas.openxmlformats.org/officeDocument/2006/relationships/image" Target="media/image49.png"/><Relationship Id="rId118" Type="http://schemas.openxmlformats.org/officeDocument/2006/relationships/image" Target="media/image48.png"/><Relationship Id="rId117" Type="http://schemas.openxmlformats.org/officeDocument/2006/relationships/image" Target="media/image47.png"/><Relationship Id="rId116" Type="http://schemas.openxmlformats.org/officeDocument/2006/relationships/image" Target="media/image46.png"/><Relationship Id="rId115" Type="http://schemas.openxmlformats.org/officeDocument/2006/relationships/image" Target="media/image45.png"/><Relationship Id="rId114" Type="http://schemas.openxmlformats.org/officeDocument/2006/relationships/image" Target="media/image44.png"/><Relationship Id="rId113" Type="http://schemas.openxmlformats.org/officeDocument/2006/relationships/image" Target="media/image43.png"/><Relationship Id="rId112" Type="http://schemas.openxmlformats.org/officeDocument/2006/relationships/image" Target="media/image42.jpeg"/><Relationship Id="rId111" Type="http://schemas.openxmlformats.org/officeDocument/2006/relationships/image" Target="media/image41.jpeg"/><Relationship Id="rId110" Type="http://schemas.openxmlformats.org/officeDocument/2006/relationships/image" Target="media/image40.jpeg"/><Relationship Id="rId11" Type="http://schemas.openxmlformats.org/officeDocument/2006/relationships/footer" Target="footer3.xml"/><Relationship Id="rId109" Type="http://schemas.openxmlformats.org/officeDocument/2006/relationships/image" Target="media/image39.jpeg"/><Relationship Id="rId108" Type="http://schemas.openxmlformats.org/officeDocument/2006/relationships/image" Target="media/image38.png"/><Relationship Id="rId107" Type="http://schemas.openxmlformats.org/officeDocument/2006/relationships/image" Target="media/image37.png"/><Relationship Id="rId106" Type="http://schemas.openxmlformats.org/officeDocument/2006/relationships/image" Target="media/image36.png"/><Relationship Id="rId105" Type="http://schemas.openxmlformats.org/officeDocument/2006/relationships/image" Target="media/image35.png"/><Relationship Id="rId104" Type="http://schemas.openxmlformats.org/officeDocument/2006/relationships/image" Target="media/image34.png"/><Relationship Id="rId103" Type="http://schemas.openxmlformats.org/officeDocument/2006/relationships/image" Target="media/image33.png"/><Relationship Id="rId102" Type="http://schemas.openxmlformats.org/officeDocument/2006/relationships/image" Target="media/image32.png"/><Relationship Id="rId101" Type="http://schemas.openxmlformats.org/officeDocument/2006/relationships/image" Target="media/image31.png"/><Relationship Id="rId100" Type="http://schemas.openxmlformats.org/officeDocument/2006/relationships/image" Target="media/image30.png"/><Relationship Id="rId10" Type="http://schemas.openxmlformats.org/officeDocument/2006/relationships/footer" Target="footer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C:\Users\Administrator\Desktop\2\&#25351;&#266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c:explosion val="0"/>
          <c:dPt>
            <c:idx val="0"/>
            <c:bubble3D val="0"/>
            <c:explosion val="3"/>
            <c:spPr>
              <a:solidFill>
                <a:srgbClr val="5B9BD5"/>
              </a:solidFill>
              <a:ln w="19050">
                <a:solidFill>
                  <a:sysClr val="window" lastClr="FFFFFF"/>
                </a:solidFill>
              </a:ln>
              <a:effectLst/>
            </c:spPr>
          </c:dPt>
          <c:dPt>
            <c:idx val="1"/>
            <c:bubble3D val="0"/>
            <c:spPr>
              <a:solidFill>
                <a:srgbClr val="ED7D31"/>
              </a:solidFill>
              <a:ln w="19050">
                <a:solidFill>
                  <a:sysClr val="window" lastClr="FFFFFF"/>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ysClr val="windowText" lastClr="000000">
                        <a:lumMod val="75000"/>
                        <a:lumOff val="25000"/>
                      </a:sys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ysClr val="windowText" lastClr="000000">
                          <a:lumMod val="35000"/>
                          <a:lumOff val="65000"/>
                        </a:sysClr>
                      </a:solidFill>
                      <a:round/>
                    </a:ln>
                    <a:effectLst/>
                  </c:spPr>
                </c15:leaderLines>
              </c:ext>
            </c:extLst>
          </c:dLbls>
          <c:cat>
            <c:strRef>
              <c:f>[指标.xlsx]Sheet4!$H$25:$H$26</c:f>
              <c:strCache>
                <c:ptCount val="2"/>
                <c:pt idx="0">
                  <c:v>满意</c:v>
                </c:pt>
                <c:pt idx="1">
                  <c:v>不满意</c:v>
                </c:pt>
              </c:strCache>
            </c:strRef>
          </c:cat>
          <c:val>
            <c:numRef>
              <c:f>[指标.xlsx]Sheet4!$I$25:$I$26</c:f>
              <c:numCache>
                <c:formatCode>0.00%</c:formatCode>
                <c:ptCount val="2"/>
                <c:pt idx="0">
                  <c:v>0.935</c:v>
                </c:pt>
                <c:pt idx="1">
                  <c:v>0.065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ysClr val="windowText" lastClr="000000">
                  <a:lumMod val="65000"/>
                  <a:lumOff val="35000"/>
                </a:sysClr>
              </a:solidFill>
              <a:latin typeface="+mn-lt"/>
              <a:ea typeface="+mn-ea"/>
              <a:cs typeface="+mn-cs"/>
            </a:defRPr>
          </a:pPr>
        </a:p>
      </c:txPr>
    </c:legend>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ysClr val="windowText" lastClr="000000">
        <a:lumMod val="65000"/>
        <a:lumOff val="35000"/>
      </a:sysClr>
    </cs:fontRef>
    <cs:defRPr sz="1000" kern="1200"/>
  </cs:axisTitle>
  <cs:categoryAxis>
    <cs:lnRef idx="0"/>
    <cs:fillRef idx="0"/>
    <cs:effectRef idx="0"/>
    <cs:fontRef idx="minor">
      <a:sysClr val="windowText" lastClr="000000">
        <a:lumMod val="65000"/>
        <a:lumOff val="35000"/>
      </a:sysClr>
    </cs:fontRef>
    <cs:spPr>
      <a:ln w="9525" cap="flat" cmpd="sng" algn="ctr">
        <a:solidFill>
          <a:sysClr val="windowText" lastClr="000000">
            <a:lumMod val="15000"/>
            <a:lumOff val="85000"/>
          </a:sysClr>
        </a:solidFill>
        <a:round/>
      </a:ln>
    </cs:spPr>
    <cs:defRPr sz="900" kern="1200"/>
  </cs:categoryAxis>
  <cs:chartArea mods="allowNoFillOverride allowNoLineOverride">
    <cs:lnRef idx="0"/>
    <cs:fillRef idx="0"/>
    <cs:effectRef idx="0"/>
    <cs:fontRef idx="minor">
      <a:sysClr val="windowText" lastClr="000000"/>
    </cs:fontRef>
    <cs:spPr>
      <a:solidFill>
        <a:sysClr val="window" lastClr="FFFFFF"/>
      </a:solidFill>
      <a:ln w="9525" cap="flat" cmpd="sng" algn="ctr">
        <a:solidFill>
          <a:sysClr val="windowText" lastClr="000000">
            <a:lumMod val="15000"/>
            <a:lumOff val="85000"/>
          </a:sysClr>
        </a:solidFill>
        <a:round/>
      </a:ln>
    </cs:spPr>
    <cs:defRPr sz="900" kern="1200"/>
  </cs:chartArea>
  <cs:dataLabel>
    <cs:lnRef idx="0"/>
    <cs:fillRef idx="0"/>
    <cs:effectRef idx="0"/>
    <cs:fontRef idx="minor">
      <a:sysClr val="windowText" lastClr="000000">
        <a:lumMod val="75000"/>
        <a:lumOff val="25000"/>
      </a:sysClr>
    </cs:fontRef>
    <cs:defRPr sz="900" kern="1200"/>
  </cs:dataLabel>
  <cs:dataLabelCallout>
    <cs:lnRef idx="0"/>
    <cs:fillRef idx="0"/>
    <cs:effectRef idx="0"/>
    <cs:fontRef idx="minor">
      <a:sysClr val="windowText" lastClr="000000">
        <a:lumMod val="65000"/>
        <a:lumOff val="35000"/>
      </a:sysClr>
    </cs:fontRef>
    <cs:spPr>
      <a:solidFill>
        <a:sysClr val="window" lastClr="FFFFFF"/>
      </a:solidFill>
      <a:ln>
        <a:solidFill>
          <a:sysClr val="windowText" lastClr="000000">
            <a:lumMod val="25000"/>
            <a:lumOff val="75000"/>
          </a:sys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ysClr val="windowText" lastClr="000000"/>
    </cs:fontRef>
    <cs:spPr>
      <a:ln w="19050">
        <a:solidFill>
          <a:sysClr val="window" lastClr="FFFFFF"/>
        </a:solidFill>
      </a:ln>
    </cs:spPr>
  </cs:dataPoint>
  <cs:dataPoint3D>
    <cs:lnRef idx="0"/>
    <cs:fillRef idx="1">
      <cs:styleClr val="auto"/>
    </cs:fillRef>
    <cs:effectRef idx="0"/>
    <cs:fontRef idx="minor">
      <a:sysClr val="windowText" lastClr="000000"/>
    </cs:fontRef>
    <cs:spPr>
      <a:ln w="25400">
        <a:solidFill>
          <a:sysClr val="window" lastClr="FFFFFF"/>
        </a:solidFill>
      </a:ln>
    </cs:spPr>
  </cs:dataPoint3D>
  <cs:dataPointLine>
    <cs:lnRef idx="0">
      <cs:styleClr val="auto"/>
    </cs:lnRef>
    <cs:fillRef idx="0"/>
    <cs:effectRef idx="0"/>
    <cs:fontRef idx="minor">
      <a:sysClr val="windowText" lastClr="000000"/>
    </cs:fontRef>
    <cs:spPr>
      <a:ln w="28575" cap="rnd">
        <a:solidFill>
          <a:schemeClr val="phClr"/>
        </a:solidFill>
        <a:round/>
      </a:ln>
    </cs:spPr>
  </cs:dataPointLine>
  <cs:dataPointMarker>
    <cs:lnRef idx="0">
      <cs:styleClr val="auto"/>
    </cs:lnRef>
    <cs:fillRef idx="1">
      <cs:styleClr val="auto"/>
    </cs:fillRef>
    <cs:effectRef idx="0"/>
    <cs:fontRef idx="minor">
      <a:sysClr val="windowText" lastClr="000000"/>
    </cs:fontRef>
    <cs:spPr>
      <a:ln w="9525">
        <a:solidFill>
          <a:schemeClr val="phClr"/>
        </a:solidFill>
      </a:ln>
    </cs:spPr>
  </cs:dataPointMarker>
  <cs:dataPointMarkerLayout symbol="circle" size="5"/>
  <cs:dataPointWireframe>
    <cs:lnRef idx="0">
      <cs:styleClr val="auto"/>
    </cs:lnRef>
    <cs:fillRef idx="0"/>
    <cs:effectRef idx="0"/>
    <cs:fontRef idx="minor">
      <a:sysClr val="windowText" lastClr="000000"/>
    </cs:fontRef>
    <cs:spPr>
      <a:ln w="9525" cap="rnd">
        <a:solidFill>
          <a:schemeClr val="phClr"/>
        </a:solidFill>
        <a:round/>
      </a:ln>
    </cs:spPr>
  </cs:dataPointWireframe>
  <cs:dataTable>
    <cs:lnRef idx="0"/>
    <cs:fillRef idx="0"/>
    <cs:effectRef idx="0"/>
    <cs:fontRef idx="minor">
      <a:sysClr val="windowText" lastClr="000000">
        <a:lumMod val="65000"/>
        <a:lumOff val="35000"/>
      </a:sysClr>
    </cs:fontRef>
    <cs:spPr>
      <a:noFill/>
      <a:ln w="9525" cap="flat" cmpd="sng" algn="ctr">
        <a:solidFill>
          <a:sysClr val="windowText" lastClr="000000">
            <a:lumMod val="15000"/>
            <a:lumOff val="85000"/>
          </a:sysClr>
        </a:solidFill>
        <a:round/>
      </a:ln>
    </cs:spPr>
    <cs:defRPr sz="900" kern="1200"/>
  </cs:dataTable>
  <cs:downBar>
    <cs:lnRef idx="0"/>
    <cs:fillRef idx="0"/>
    <cs:effectRef idx="0"/>
    <cs:fontRef idx="minor">
      <a:sysClr val="windowText" lastClr="000000"/>
    </cs:fontRef>
    <cs:spPr>
      <a:solidFill>
        <a:sysClr val="windowText" lastClr="000000">
          <a:lumMod val="75000"/>
          <a:lumOff val="25000"/>
        </a:sysClr>
      </a:solidFill>
      <a:ln w="9525" cap="flat" cmpd="sng" algn="ctr">
        <a:solidFill>
          <a:sysClr val="windowText" lastClr="000000">
            <a:lumMod val="65000"/>
            <a:lumOff val="35000"/>
          </a:sysClr>
        </a:solidFill>
        <a:round/>
      </a:ln>
    </cs:spPr>
  </cs:downBar>
  <cs:dropLine>
    <cs:lnRef idx="0"/>
    <cs:fillRef idx="0"/>
    <cs:effectRef idx="0"/>
    <cs:fontRef idx="minor">
      <a:sysClr val="windowText" lastClr="000000"/>
    </cs:fontRef>
    <cs:spPr>
      <a:ln w="9525" cap="flat" cmpd="sng" algn="ctr">
        <a:solidFill>
          <a:sysClr val="windowText" lastClr="000000">
            <a:lumMod val="35000"/>
            <a:lumOff val="65000"/>
          </a:sysClr>
        </a:solidFill>
        <a:round/>
      </a:ln>
    </cs:spPr>
  </cs:dropLine>
  <cs:errorBar>
    <cs:lnRef idx="0"/>
    <cs:fillRef idx="0"/>
    <cs:effectRef idx="0"/>
    <cs:fontRef idx="minor">
      <a:sysClr val="windowText" lastClr="000000"/>
    </cs:fontRef>
    <cs:spPr>
      <a:ln w="9525" cap="flat" cmpd="sng" algn="ctr">
        <a:solidFill>
          <a:sysClr val="windowText" lastClr="000000">
            <a:lumMod val="65000"/>
            <a:lumOff val="35000"/>
          </a:sysClr>
        </a:solidFill>
        <a:round/>
      </a:ln>
    </cs:spPr>
  </cs:errorBar>
  <cs:floor>
    <cs:lnRef idx="0"/>
    <cs:fillRef idx="0"/>
    <cs:effectRef idx="0"/>
    <cs:fontRef idx="minor">
      <a:sysClr val="windowText" lastClr="000000"/>
    </cs:fontRef>
    <cs:spPr>
      <a:noFill/>
      <a:ln>
        <a:noFill/>
      </a:ln>
    </cs:spPr>
  </cs:floor>
  <cs:gridlineMajor>
    <cs:lnRef idx="0"/>
    <cs:fillRef idx="0"/>
    <cs:effectRef idx="0"/>
    <cs:fontRef idx="minor">
      <a:sysClr val="windowText" lastClr="000000"/>
    </cs:fontRef>
    <cs:spPr>
      <a:ln w="9525" cap="flat" cmpd="sng" algn="ctr">
        <a:solidFill>
          <a:sysClr val="windowText" lastClr="000000">
            <a:lumMod val="15000"/>
            <a:lumOff val="85000"/>
          </a:sysClr>
        </a:solidFill>
        <a:round/>
      </a:ln>
    </cs:spPr>
  </cs:gridlineMajor>
  <cs:gridlineMinor>
    <cs:lnRef idx="0"/>
    <cs:fillRef idx="0"/>
    <cs:effectRef idx="0"/>
    <cs:fontRef idx="minor">
      <a:sysClr val="windowText" lastClr="000000"/>
    </cs:fontRef>
    <cs:spPr>
      <a:ln w="9525" cap="flat" cmpd="sng" algn="ctr">
        <a:solidFill>
          <a:sysClr val="windowText" lastClr="000000">
            <a:lumMod val="5000"/>
            <a:lumOff val="95000"/>
          </a:sysClr>
        </a:solidFill>
        <a:round/>
      </a:ln>
    </cs:spPr>
  </cs:gridlineMinor>
  <cs:hiLoLine>
    <cs:lnRef idx="0"/>
    <cs:fillRef idx="0"/>
    <cs:effectRef idx="0"/>
    <cs:fontRef idx="minor">
      <a:sysClr val="windowText" lastClr="000000"/>
    </cs:fontRef>
    <cs:spPr>
      <a:ln w="9525" cap="flat" cmpd="sng" algn="ctr">
        <a:solidFill>
          <a:sysClr val="windowText" lastClr="000000">
            <a:lumMod val="50000"/>
            <a:lumOff val="50000"/>
          </a:sysClr>
        </a:solidFill>
        <a:round/>
      </a:ln>
    </cs:spPr>
  </cs:hiLoLine>
  <cs:leaderLine>
    <cs:lnRef idx="0"/>
    <cs:fillRef idx="0"/>
    <cs:effectRef idx="0"/>
    <cs:fontRef idx="minor">
      <a:sysClr val="windowText" lastClr="000000"/>
    </cs:fontRef>
    <cs:spPr>
      <a:ln w="9525" cap="flat" cmpd="sng" algn="ctr">
        <a:solidFill>
          <a:sysClr val="windowText" lastClr="000000">
            <a:lumMod val="35000"/>
            <a:lumOff val="65000"/>
          </a:sysClr>
        </a:solidFill>
        <a:round/>
      </a:ln>
    </cs:spPr>
  </cs:leaderLine>
  <cs:legend>
    <cs:lnRef idx="0"/>
    <cs:fillRef idx="0"/>
    <cs:effectRef idx="0"/>
    <cs:fontRef idx="minor">
      <a:sysClr val="windowText" lastClr="000000">
        <a:lumMod val="65000"/>
        <a:lumOff val="35000"/>
      </a:sysClr>
    </cs:fontRef>
    <cs:defRPr sz="900" kern="1200"/>
  </cs:legend>
  <cs:plotArea mods="allowNoFillOverride allowNoLineOverride">
    <cs:lnRef idx="0"/>
    <cs:fillRef idx="0"/>
    <cs:effectRef idx="0"/>
    <cs:fontRef idx="minor">
      <a:sysClr val="windowText" lastClr="000000"/>
    </cs:fontRef>
  </cs:plotArea>
  <cs:plotArea3D mods="allowNoFillOverride allowNoLineOverride">
    <cs:lnRef idx="0"/>
    <cs:fillRef idx="0"/>
    <cs:effectRef idx="0"/>
    <cs:fontRef idx="minor">
      <a:sysClr val="windowText" lastClr="000000"/>
    </cs:fontRef>
  </cs:plotArea3D>
  <cs:seriesAxis>
    <cs:lnRef idx="0"/>
    <cs:fillRef idx="0"/>
    <cs:effectRef idx="0"/>
    <cs:fontRef idx="minor">
      <a:sysClr val="windowText" lastClr="000000">
        <a:lumMod val="65000"/>
        <a:lumOff val="35000"/>
      </a:sysClr>
    </cs:fontRef>
    <cs:defRPr sz="900" kern="1200"/>
  </cs:seriesAxis>
  <cs:seriesLine>
    <cs:lnRef idx="0"/>
    <cs:fillRef idx="0"/>
    <cs:effectRef idx="0"/>
    <cs:fontRef idx="minor">
      <a:sysClr val="windowText" lastClr="000000"/>
    </cs:fontRef>
    <cs:spPr>
      <a:ln w="9525" cap="flat" cmpd="sng" algn="ctr">
        <a:solidFill>
          <a:sysClr val="windowText" lastClr="000000">
            <a:lumMod val="35000"/>
            <a:lumOff val="65000"/>
          </a:sysClr>
        </a:solidFill>
        <a:round/>
      </a:ln>
    </cs:spPr>
  </cs:seriesLine>
  <cs:title>
    <cs:lnRef idx="0"/>
    <cs:fillRef idx="0"/>
    <cs:effectRef idx="0"/>
    <cs:fontRef idx="minor">
      <a:sysClr val="windowText" lastClr="000000">
        <a:lumMod val="65000"/>
        <a:lumOff val="35000"/>
      </a:sysClr>
    </cs:fontRef>
    <cs:defRPr sz="1400" b="0" kern="1200" spc="0" baseline="0"/>
  </cs:title>
  <cs:trendline>
    <cs:lnRef idx="0">
      <cs:styleClr val="auto"/>
    </cs:lnRef>
    <cs:fillRef idx="0"/>
    <cs:effectRef idx="0"/>
    <cs:fontRef idx="minor">
      <a:sysClr val="windowText" lastClr="000000"/>
    </cs:fontRef>
    <cs:spPr>
      <a:ln w="19050" cap="rnd">
        <a:solidFill>
          <a:schemeClr val="phClr"/>
        </a:solidFill>
        <a:prstDash val="sysDot"/>
      </a:ln>
    </cs:spPr>
  </cs:trendline>
  <cs:trendlineLabel>
    <cs:lnRef idx="0"/>
    <cs:fillRef idx="0"/>
    <cs:effectRef idx="0"/>
    <cs:fontRef idx="minor">
      <a:sysClr val="windowText" lastClr="000000">
        <a:lumMod val="65000"/>
        <a:lumOff val="35000"/>
      </a:sysClr>
    </cs:fontRef>
    <cs:defRPr sz="900" kern="1200"/>
  </cs:trendlineLabel>
  <cs:upBar>
    <cs:lnRef idx="0"/>
    <cs:fillRef idx="0"/>
    <cs:effectRef idx="0"/>
    <cs:fontRef idx="minor">
      <a:sysClr val="windowText" lastClr="000000"/>
    </cs:fontRef>
    <cs:spPr>
      <a:solidFill>
        <a:sysClr val="window" lastClr="FFFFFF"/>
      </a:solidFill>
      <a:ln w="9525" cap="flat" cmpd="sng" algn="ctr">
        <a:solidFill>
          <a:sysClr val="windowText" lastClr="000000">
            <a:lumMod val="65000"/>
            <a:lumOff val="35000"/>
          </a:sysClr>
        </a:solidFill>
        <a:round/>
      </a:ln>
    </cs:spPr>
  </cs:upBar>
  <cs:valueAxis>
    <cs:lnRef idx="0"/>
    <cs:fillRef idx="0"/>
    <cs:effectRef idx="0"/>
    <cs:fontRef idx="minor">
      <a:sysClr val="windowText" lastClr="000000">
        <a:lumMod val="65000"/>
        <a:lumOff val="35000"/>
      </a:sysClr>
    </cs:fontRef>
    <cs:defRPr sz="900" kern="1200"/>
  </cs:valueAxis>
  <cs:wall>
    <cs:lnRef idx="0"/>
    <cs:fillRef idx="0"/>
    <cs:effectRef idx="0"/>
    <cs:fontRef idx="minor">
      <a:sysClr val="windowText" lastClr="000000"/>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357</Pages>
  <Words>128354</Words>
  <Characters>141417</Characters>
  <Lines>0</Lines>
  <Paragraphs>0</Paragraphs>
  <TotalTime>15</TotalTime>
  <ScaleCrop>false</ScaleCrop>
  <LinksUpToDate>false</LinksUpToDate>
  <CharactersWithSpaces>143197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2021-12-14T07:34:00Z</dcterms:created>
  <dc:creator>Administrator</dc:creator>
  <cp:lastModifiedBy>Administrator</cp:lastModifiedBy>
  <dcterms:modified xsi:type="dcterms:W3CDTF">2023-11-09T01:52:06Z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456022D914944FD5962D8ABA014F7E4C</vt:lpwstr>
  </property>
</Properties>
</file>